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images display a detailed table related to </w:t>
      </w:r>
      <w:r w:rsidDel="00000000" w:rsidR="00000000" w:rsidRPr="00000000">
        <w:rPr>
          <w:b w:val="1"/>
          <w:rtl w:val="0"/>
        </w:rPr>
        <w:t xml:space="preserve">Histology of Malignancies (Histologie Malignome Allgemein)</w:t>
      </w:r>
      <w:r w:rsidDel="00000000" w:rsidR="00000000" w:rsidRPr="00000000">
        <w:rPr>
          <w:rtl w:val="0"/>
        </w:rPr>
        <w:t xml:space="preserve">. Here's an explanation of the fields visible in the images: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beqb0bc655j6" w:id="0"/>
      <w:bookmarkEnd w:id="0"/>
      <w:r w:rsidDel="00000000" w:rsidR="00000000" w:rsidRPr="00000000">
        <w:rPr>
          <w:b w:val="1"/>
          <w:color w:val="000000"/>
          <w:sz w:val="26"/>
          <w:szCs w:val="26"/>
          <w:rtl w:val="0"/>
        </w:rPr>
        <w:t xml:space="preserve">General Information</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Patientennummer</w:t>
      </w:r>
      <w:r w:rsidDel="00000000" w:rsidR="00000000" w:rsidRPr="00000000">
        <w:rPr>
          <w:rtl w:val="0"/>
        </w:rPr>
        <w:t xml:space="preserve">:</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tl w:val="0"/>
        </w:rPr>
        <w:t xml:space="preserve">Unique identifier for the patient.</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Anzahl Tumorknoten</w:t>
      </w:r>
      <w:r w:rsidDel="00000000" w:rsidR="00000000" w:rsidRPr="00000000">
        <w:rPr>
          <w:rtl w:val="0"/>
        </w:rPr>
        <w:t xml:space="preserve">:</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Number of tumor nodules identified.</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Multiple Tumorknoten</w:t>
      </w:r>
      <w:r w:rsidDel="00000000" w:rsidR="00000000" w:rsidRPr="00000000">
        <w:rPr>
          <w:rtl w:val="0"/>
        </w:rPr>
        <w:t xml:space="preserve">:</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Indicates whether multiple tumor nodules are present (checkbox or selection).</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Keine Angabe Tumorknoten</w:t>
      </w:r>
      <w:r w:rsidDel="00000000" w:rsidR="00000000" w:rsidRPr="00000000">
        <w:rPr>
          <w:rtl w:val="0"/>
        </w:rPr>
        <w:t xml:space="preserve">:</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Indicates if information about tumor nodules is missing or unspecified.</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Minimale Entfernung zum Resektionsrand (mm)</w:t>
      </w:r>
      <w:r w:rsidDel="00000000" w:rsidR="00000000" w:rsidRPr="00000000">
        <w:rPr>
          <w:rtl w:val="0"/>
        </w:rPr>
        <w:t xml:space="preserve">:</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The minimal distance (in millimeters) between the tumor and the surgical resection margin.</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Histologische Diagnose maligne</w:t>
      </w:r>
      <w:r w:rsidDel="00000000" w:rsidR="00000000" w:rsidRPr="00000000">
        <w:rPr>
          <w:rtl w:val="0"/>
        </w:rPr>
        <w:t xml:space="preserve">:</w:t>
      </w:r>
    </w:p>
    <w:p w:rsidR="00000000" w:rsidDel="00000000" w:rsidP="00000000" w:rsidRDefault="00000000" w:rsidRPr="00000000" w14:paraId="0000000F">
      <w:pPr>
        <w:numPr>
          <w:ilvl w:val="1"/>
          <w:numId w:val="1"/>
        </w:numPr>
        <w:spacing w:after="240" w:before="0" w:beforeAutospacing="0" w:lineRule="auto"/>
        <w:ind w:left="1440" w:hanging="360"/>
      </w:pPr>
      <w:r w:rsidDel="00000000" w:rsidR="00000000" w:rsidRPr="00000000">
        <w:rPr>
          <w:rtl w:val="0"/>
        </w:rPr>
        <w:t xml:space="preserve">The histological diagnosis of the malignant tumor.</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t1mr55t8pbq9" w:id="1"/>
      <w:bookmarkEnd w:id="1"/>
      <w:r w:rsidDel="00000000" w:rsidR="00000000" w:rsidRPr="00000000">
        <w:rPr>
          <w:b w:val="1"/>
          <w:color w:val="000000"/>
          <w:sz w:val="26"/>
          <w:szCs w:val="26"/>
          <w:rtl w:val="0"/>
        </w:rPr>
        <w:t xml:space="preserve">Summary and Analysis</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b w:val="1"/>
          <w:rtl w:val="0"/>
        </w:rPr>
        <w:t xml:space="preserve">Histologie Zusammenfassung maligne</w:t>
      </w:r>
      <w:r w:rsidDel="00000000" w:rsidR="00000000" w:rsidRPr="00000000">
        <w:rPr>
          <w:rtl w:val="0"/>
        </w:rPr>
        <w:t xml:space="preserve">:</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Summary of histological findings for malignant cases.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Immunhistochemie</w:t>
      </w:r>
      <w:r w:rsidDel="00000000" w:rsidR="00000000" w:rsidRPr="00000000">
        <w:rPr>
          <w:rtl w:val="0"/>
        </w:rPr>
        <w:t xml:space="preserve">:</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Indicates whether immunohistochemistry was performed (checkbox).</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Immunhistochemie Text</w:t>
      </w:r>
      <w:r w:rsidDel="00000000" w:rsidR="00000000" w:rsidRPr="00000000">
        <w:rPr>
          <w:rtl w:val="0"/>
        </w:rPr>
        <w:t xml:space="preserve">:</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Text field for detailed immunohistochemistry results.</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Molekulare Diagnostik</w:t>
      </w:r>
      <w:r w:rsidDel="00000000" w:rsidR="00000000" w:rsidRPr="00000000">
        <w:rPr>
          <w:rtl w:val="0"/>
        </w:rPr>
        <w:t xml:space="preserve">:</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Indicates whether molecular diagnostics (e.g., genetic tests) were conducted (checkbox).</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Click to Add</w:t>
      </w:r>
      <w:r w:rsidDel="00000000" w:rsidR="00000000" w:rsidRPr="00000000">
        <w:rPr>
          <w:rtl w:val="0"/>
        </w:rPr>
        <w:t xml:space="preserve">:</w:t>
      </w:r>
    </w:p>
    <w:p w:rsidR="00000000" w:rsidDel="00000000" w:rsidP="00000000" w:rsidRDefault="00000000" w:rsidRPr="00000000" w14:paraId="0000001B">
      <w:pPr>
        <w:numPr>
          <w:ilvl w:val="1"/>
          <w:numId w:val="2"/>
        </w:numPr>
        <w:spacing w:after="240" w:before="0" w:beforeAutospacing="0" w:lineRule="auto"/>
        <w:ind w:left="1440" w:hanging="360"/>
      </w:pPr>
      <w:r w:rsidDel="00000000" w:rsidR="00000000" w:rsidRPr="00000000">
        <w:rPr>
          <w:rtl w:val="0"/>
        </w:rPr>
        <w:t xml:space="preserve">Placeholder for adding additional columns or data.</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This table appears to document and summarize key histological, immunohistochemical, and molecular findings for malignant tumors. It also includes details about tumor nodules and their proximity to resection margins, which are crucial for surgical and treatment planning.</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