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image lists fields related to </w:t>
      </w:r>
      <w:r w:rsidDel="00000000" w:rsidR="00000000" w:rsidRPr="00000000">
        <w:rPr>
          <w:b w:val="1"/>
          <w:rtl w:val="0"/>
        </w:rPr>
        <w:t xml:space="preserve">General Histology (Histologie allgemein)</w:t>
      </w:r>
      <w:r w:rsidDel="00000000" w:rsidR="00000000" w:rsidRPr="00000000">
        <w:rPr>
          <w:rtl w:val="0"/>
        </w:rPr>
        <w:t xml:space="preserve">. Here's an explanation of each field: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Patientennummer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unique identifier for the patient.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PathologIn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pathologist responsible for analyzing and reporting the histological findings.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Auftragsnummer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order or case number assigned to the histological examination.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Histologische Diagnose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The specific histological diagnosis resulting from the tissue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Histologie Zusammenfassung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summary of the histological findings, providing an overview of key results.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fields are used to document and manage histological examinations systematically.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