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Here’s an explanation of the "OGI Spezial" table, with each item numbered for clarity:</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Patientennummer</w:t>
        <w:br w:type="textWrapping"/>
      </w:r>
      <w:r w:rsidDel="00000000" w:rsidR="00000000" w:rsidRPr="00000000">
        <w:rPr>
          <w:rtl w:val="0"/>
        </w:rPr>
        <w:t xml:space="preserve">Unique identifier for the patient.</w:t>
      </w:r>
    </w:p>
    <w:p w:rsidR="00000000" w:rsidDel="00000000" w:rsidP="00000000" w:rsidRDefault="00000000" w:rsidRPr="00000000" w14:paraId="00000003">
      <w:pPr>
        <w:numPr>
          <w:ilvl w:val="0"/>
          <w:numId w:val="2"/>
        </w:numPr>
        <w:spacing w:after="0" w:afterAutospacing="0" w:before="0" w:beforeAutospacing="0" w:lineRule="auto"/>
        <w:ind w:left="720" w:hanging="360"/>
      </w:pPr>
      <w:commentRangeStart w:id="0"/>
      <w:r w:rsidDel="00000000" w:rsidR="00000000" w:rsidRPr="00000000">
        <w:rPr>
          <w:b w:val="1"/>
          <w:rtl w:val="0"/>
        </w:rPr>
        <w:t xml:space="preserve">delayed gastric emptying</w:t>
      </w:r>
      <w:commentRangeEnd w:id="0"/>
      <w:r w:rsidDel="00000000" w:rsidR="00000000" w:rsidRPr="00000000">
        <w:commentReference w:id="0"/>
      </w:r>
      <w:r w:rsidDel="00000000" w:rsidR="00000000" w:rsidRPr="00000000">
        <w:rPr>
          <w:b w:val="1"/>
          <w:rtl w:val="0"/>
        </w:rPr>
        <w:br w:type="textWrapping"/>
      </w:r>
      <w:r w:rsidDel="00000000" w:rsidR="00000000" w:rsidRPr="00000000">
        <w:rPr>
          <w:rtl w:val="0"/>
        </w:rPr>
        <w:t xml:space="preserve">Refers to a condition where the stomach empties food into the small intestine slower than normal.</w:t>
      </w:r>
    </w:p>
    <w:p w:rsidR="00000000" w:rsidDel="00000000" w:rsidP="00000000" w:rsidRDefault="00000000" w:rsidRPr="00000000" w14:paraId="00000004">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Reflux</w:t>
        <w:br w:type="textWrapping"/>
      </w:r>
      <w:r w:rsidDel="00000000" w:rsidR="00000000" w:rsidRPr="00000000">
        <w:rPr>
          <w:highlight w:val="green"/>
          <w:rtl w:val="0"/>
        </w:rPr>
        <w:t xml:space="preserve">Indicates the presence of gastroesophageal reflux disease (GERD).</w:t>
      </w:r>
    </w:p>
    <w:p w:rsidR="00000000" w:rsidDel="00000000" w:rsidP="00000000" w:rsidRDefault="00000000" w:rsidRPr="00000000" w14:paraId="00000005">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Barrett-Ösophagus</w:t>
        <w:br w:type="textWrapping"/>
      </w:r>
      <w:r w:rsidDel="00000000" w:rsidR="00000000" w:rsidRPr="00000000">
        <w:rPr>
          <w:highlight w:val="green"/>
          <w:rtl w:val="0"/>
        </w:rPr>
        <w:t xml:space="preserve">Refers to a condition where the lining of the esophagus changes, often due to chronic acid reflux.</w:t>
      </w:r>
    </w:p>
    <w:p w:rsidR="00000000" w:rsidDel="00000000" w:rsidP="00000000" w:rsidRDefault="00000000" w:rsidRPr="00000000" w14:paraId="00000006">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Hiatushernie</w:t>
        <w:br w:type="textWrapping"/>
      </w:r>
      <w:r w:rsidDel="00000000" w:rsidR="00000000" w:rsidRPr="00000000">
        <w:rPr>
          <w:highlight w:val="green"/>
          <w:rtl w:val="0"/>
        </w:rPr>
        <w:t xml:space="preserve">Presence of a hiatal hernia, where part of the stomach pushes up into the chest cavity through the diaphragm.</w:t>
      </w:r>
    </w:p>
    <w:p w:rsidR="00000000" w:rsidDel="00000000" w:rsidP="00000000" w:rsidRDefault="00000000" w:rsidRPr="00000000" w14:paraId="00000007">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Perniziöse Anämie</w:t>
        <w:br w:type="textWrapping"/>
      </w:r>
      <w:r w:rsidDel="00000000" w:rsidR="00000000" w:rsidRPr="00000000">
        <w:rPr>
          <w:highlight w:val="green"/>
          <w:rtl w:val="0"/>
        </w:rPr>
        <w:t xml:space="preserve">A type of anemia caused by a lack of vitamin B12, often related to intrinsic factor deficiency.</w:t>
      </w:r>
    </w:p>
    <w:p w:rsidR="00000000" w:rsidDel="00000000" w:rsidP="00000000" w:rsidRDefault="00000000" w:rsidRPr="00000000" w14:paraId="00000008">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HNPCC / Lynch Syndrom</w:t>
        <w:br w:type="textWrapping"/>
      </w:r>
      <w:r w:rsidDel="00000000" w:rsidR="00000000" w:rsidRPr="00000000">
        <w:rPr>
          <w:highlight w:val="green"/>
          <w:rtl w:val="0"/>
        </w:rPr>
        <w:t xml:space="preserve">Indicates if the patient has a hereditary predisposition to certain cancers, particularly colorectal and endometrial cancer.</w:t>
      </w:r>
    </w:p>
    <w:p w:rsidR="00000000" w:rsidDel="00000000" w:rsidP="00000000" w:rsidRDefault="00000000" w:rsidRPr="00000000" w14:paraId="00000009">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Peutz-Jeghers-Syndrom</w:t>
        <w:br w:type="textWrapping"/>
      </w:r>
      <w:r w:rsidDel="00000000" w:rsidR="00000000" w:rsidRPr="00000000">
        <w:rPr>
          <w:highlight w:val="green"/>
          <w:rtl w:val="0"/>
        </w:rPr>
        <w:t xml:space="preserve">A genetic condition that predisposes individuals to developing polyps in the gastrointestinal tract and increases cancer risk.</w:t>
      </w:r>
    </w:p>
    <w:p w:rsidR="00000000" w:rsidDel="00000000" w:rsidP="00000000" w:rsidRDefault="00000000" w:rsidRPr="00000000" w14:paraId="0000000A">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Abneigung gegen Fleisch</w:t>
        <w:br w:type="textWrapping"/>
      </w:r>
      <w:r w:rsidDel="00000000" w:rsidR="00000000" w:rsidRPr="00000000">
        <w:rPr>
          <w:highlight w:val="green"/>
          <w:rtl w:val="0"/>
        </w:rPr>
        <w:t xml:space="preserve">Describes if the patient has an aversion to meat.</w:t>
      </w:r>
    </w:p>
    <w:p w:rsidR="00000000" w:rsidDel="00000000" w:rsidP="00000000" w:rsidRDefault="00000000" w:rsidRPr="00000000" w14:paraId="0000000B">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Gastrointestinale Blutung</w:t>
        <w:br w:type="textWrapping"/>
      </w:r>
      <w:r w:rsidDel="00000000" w:rsidR="00000000" w:rsidRPr="00000000">
        <w:rPr>
          <w:highlight w:val="green"/>
          <w:rtl w:val="0"/>
        </w:rPr>
        <w:t xml:space="preserve">Refers to bleeding anywhere in the gastrointestinal tract.</w:t>
      </w:r>
    </w:p>
    <w:p w:rsidR="00000000" w:rsidDel="00000000" w:rsidP="00000000" w:rsidRDefault="00000000" w:rsidRPr="00000000" w14:paraId="0000000C">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Dyspepsie</w:t>
        <w:br w:type="textWrapping"/>
      </w:r>
      <w:r w:rsidDel="00000000" w:rsidR="00000000" w:rsidRPr="00000000">
        <w:rPr>
          <w:highlight w:val="green"/>
          <w:rtl w:val="0"/>
        </w:rPr>
        <w:t xml:space="preserve">Chronic or recurrent discomfort in the upper abdomen, often described as indigestion.</w:t>
      </w:r>
    </w:p>
    <w:p w:rsidR="00000000" w:rsidDel="00000000" w:rsidP="00000000" w:rsidRDefault="00000000" w:rsidRPr="00000000" w14:paraId="0000000D">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Meläna</w:t>
        <w:br w:type="textWrapping"/>
      </w:r>
      <w:r w:rsidDel="00000000" w:rsidR="00000000" w:rsidRPr="00000000">
        <w:rPr>
          <w:highlight w:val="green"/>
          <w:rtl w:val="0"/>
        </w:rPr>
        <w:t xml:space="preserve">Presence of black, tarry stools, typically indicative of upper gastrointestinal bleeding.</w:t>
      </w:r>
    </w:p>
    <w:p w:rsidR="00000000" w:rsidDel="00000000" w:rsidP="00000000" w:rsidRDefault="00000000" w:rsidRPr="00000000" w14:paraId="0000000E">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Symptomdauer vor ED (M)</w:t>
        <w:br w:type="textWrapping"/>
      </w:r>
      <w:r w:rsidDel="00000000" w:rsidR="00000000" w:rsidRPr="00000000">
        <w:rPr>
          <w:highlight w:val="green"/>
          <w:rtl w:val="0"/>
        </w:rPr>
        <w:t xml:space="preserve">The duration of symptoms in months before the initial diagnosis or treatment.</w:t>
      </w:r>
    </w:p>
    <w:p w:rsidR="00000000" w:rsidDel="00000000" w:rsidP="00000000" w:rsidRDefault="00000000" w:rsidRPr="00000000" w14:paraId="0000000F">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Activities of daily living (ADL)</w:t>
        <w:br w:type="textWrapping"/>
      </w:r>
      <w:r w:rsidDel="00000000" w:rsidR="00000000" w:rsidRPr="00000000">
        <w:rPr>
          <w:highlight w:val="green"/>
          <w:rtl w:val="0"/>
        </w:rPr>
        <w:t xml:space="preserve">A measure of a patient’s ability to perform daily activities independently.</w:t>
      </w:r>
    </w:p>
    <w:p w:rsidR="00000000" w:rsidDel="00000000" w:rsidP="00000000" w:rsidRDefault="00000000" w:rsidRPr="00000000" w14:paraId="00000010">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Geriatrisches Assessment</w:t>
        <w:br w:type="textWrapping"/>
      </w:r>
      <w:r w:rsidDel="00000000" w:rsidR="00000000" w:rsidRPr="00000000">
        <w:rPr>
          <w:highlight w:val="green"/>
          <w:rtl w:val="0"/>
        </w:rPr>
        <w:t xml:space="preserve">An evaluation of a patient’s functional, psychological, and medical health, usually in elderly patients.</w:t>
      </w:r>
    </w:p>
    <w:p w:rsidR="00000000" w:rsidDel="00000000" w:rsidP="00000000" w:rsidRDefault="00000000" w:rsidRPr="00000000" w14:paraId="00000011">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Abstand Zahnreihe-Tumor (cm)</w:t>
        <w:br w:type="textWrapping"/>
      </w:r>
      <w:r w:rsidDel="00000000" w:rsidR="00000000" w:rsidRPr="00000000">
        <w:rPr>
          <w:highlight w:val="green"/>
          <w:rtl w:val="0"/>
        </w:rPr>
        <w:t xml:space="preserve">Distance in centimeters between the tumor and the dental arch.</w:t>
      </w:r>
    </w:p>
    <w:p w:rsidR="00000000" w:rsidDel="00000000" w:rsidP="00000000" w:rsidRDefault="00000000" w:rsidRPr="00000000" w14:paraId="00000012">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Abstand Tumor-Z-Linie (cm)</w:t>
        <w:br w:type="textWrapping"/>
      </w:r>
      <w:r w:rsidDel="00000000" w:rsidR="00000000" w:rsidRPr="00000000">
        <w:rPr>
          <w:highlight w:val="green"/>
          <w:rtl w:val="0"/>
        </w:rPr>
        <w:t xml:space="preserve">Distance in centimeters between the tumor and the Z-line (esophagogastric junction).</w:t>
      </w:r>
    </w:p>
    <w:p w:rsidR="00000000" w:rsidDel="00000000" w:rsidP="00000000" w:rsidRDefault="00000000" w:rsidRPr="00000000" w14:paraId="00000013">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Oesophaguskarzinom</w:t>
        <w:br w:type="textWrapping"/>
      </w:r>
      <w:r w:rsidDel="00000000" w:rsidR="00000000" w:rsidRPr="00000000">
        <w:rPr>
          <w:highlight w:val="green"/>
          <w:rtl w:val="0"/>
        </w:rPr>
        <w:t xml:space="preserve">Indicates if the patient has esophageal cancer.</w:t>
      </w:r>
    </w:p>
    <w:p w:rsidR="00000000" w:rsidDel="00000000" w:rsidP="00000000" w:rsidRDefault="00000000" w:rsidRPr="00000000" w14:paraId="00000014">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Lokalistaion Oesophaguskarzinom</w:t>
        <w:br w:type="textWrapping"/>
      </w:r>
      <w:r w:rsidDel="00000000" w:rsidR="00000000" w:rsidRPr="00000000">
        <w:rPr>
          <w:highlight w:val="green"/>
          <w:rtl w:val="0"/>
        </w:rPr>
        <w:t xml:space="preserve">Specifies the location of the esophageal cancer.</w:t>
      </w:r>
    </w:p>
    <w:p w:rsidR="00000000" w:rsidDel="00000000" w:rsidP="00000000" w:rsidRDefault="00000000" w:rsidRPr="00000000" w14:paraId="00000015">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Magenkarzinom</w:t>
        <w:br w:type="textWrapping"/>
      </w:r>
      <w:r w:rsidDel="00000000" w:rsidR="00000000" w:rsidRPr="00000000">
        <w:rPr>
          <w:highlight w:val="green"/>
          <w:rtl w:val="0"/>
        </w:rPr>
        <w:t xml:space="preserve">Indicates the presence of stomach cancer.</w:t>
      </w:r>
    </w:p>
    <w:p w:rsidR="00000000" w:rsidDel="00000000" w:rsidP="00000000" w:rsidRDefault="00000000" w:rsidRPr="00000000" w14:paraId="00000016">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Lokalisation Magenkarzinom</w:t>
        <w:br w:type="textWrapping"/>
      </w:r>
      <w:r w:rsidDel="00000000" w:rsidR="00000000" w:rsidRPr="00000000">
        <w:rPr>
          <w:highlight w:val="green"/>
          <w:rtl w:val="0"/>
        </w:rPr>
        <w:t xml:space="preserve">Specifies the location of the stomach cancer.</w:t>
      </w:r>
    </w:p>
    <w:p w:rsidR="00000000" w:rsidDel="00000000" w:rsidP="00000000" w:rsidRDefault="00000000" w:rsidRPr="00000000" w14:paraId="00000017">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AEG-Tumor</w:t>
        <w:br w:type="textWrapping"/>
      </w:r>
      <w:r w:rsidDel="00000000" w:rsidR="00000000" w:rsidRPr="00000000">
        <w:rPr>
          <w:highlight w:val="green"/>
          <w:rtl w:val="0"/>
        </w:rPr>
        <w:t xml:space="preserve">Refers to adenocarcinoma of the esophagogastric junction.</w:t>
      </w:r>
    </w:p>
    <w:p w:rsidR="00000000" w:rsidDel="00000000" w:rsidP="00000000" w:rsidRDefault="00000000" w:rsidRPr="00000000" w14:paraId="00000018">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Siewert Klassifikation</w:t>
        <w:br w:type="textWrapping"/>
      </w:r>
      <w:r w:rsidDel="00000000" w:rsidR="00000000" w:rsidRPr="00000000">
        <w:rPr>
          <w:highlight w:val="green"/>
          <w:rtl w:val="0"/>
        </w:rPr>
        <w:t xml:space="preserve">Classification of AEG tumors into types I, II, or III based on their anatomical location.</w:t>
      </w:r>
    </w:p>
    <w:p w:rsidR="00000000" w:rsidDel="00000000" w:rsidP="00000000" w:rsidRDefault="00000000" w:rsidRPr="00000000" w14:paraId="00000019">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Plattenepithelkarzinom</w:t>
        <w:br w:type="textWrapping"/>
      </w:r>
      <w:r w:rsidDel="00000000" w:rsidR="00000000" w:rsidRPr="00000000">
        <w:rPr>
          <w:highlight w:val="green"/>
          <w:rtl w:val="0"/>
        </w:rPr>
        <w:t xml:space="preserve">Squamous cell carcinoma, a type of esophageal cancer.</w:t>
      </w:r>
    </w:p>
    <w:p w:rsidR="00000000" w:rsidDel="00000000" w:rsidP="00000000" w:rsidRDefault="00000000" w:rsidRPr="00000000" w14:paraId="0000001A">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Adenokarzinom</w:t>
        <w:br w:type="textWrapping"/>
      </w:r>
      <w:r w:rsidDel="00000000" w:rsidR="00000000" w:rsidRPr="00000000">
        <w:rPr>
          <w:highlight w:val="green"/>
          <w:rtl w:val="0"/>
        </w:rPr>
        <w:t xml:space="preserve">Adenocarcinoma, another type of esophageal or gastric cancer.</w:t>
      </w:r>
    </w:p>
    <w:p w:rsidR="00000000" w:rsidDel="00000000" w:rsidP="00000000" w:rsidRDefault="00000000" w:rsidRPr="00000000" w14:paraId="0000001B">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Nachweis von H-pylori</w:t>
        <w:br w:type="textWrapping"/>
      </w:r>
      <w:r w:rsidDel="00000000" w:rsidR="00000000" w:rsidRPr="00000000">
        <w:rPr>
          <w:highlight w:val="green"/>
          <w:rtl w:val="0"/>
        </w:rPr>
        <w:t xml:space="preserve">Indicates the detection of Helicobacter pylori infection.</w:t>
      </w:r>
    </w:p>
    <w:p w:rsidR="00000000" w:rsidDel="00000000" w:rsidP="00000000" w:rsidRDefault="00000000" w:rsidRPr="00000000" w14:paraId="0000001C">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Lauren Klassifikation</w:t>
        <w:br w:type="textWrapping"/>
      </w:r>
      <w:r w:rsidDel="00000000" w:rsidR="00000000" w:rsidRPr="00000000">
        <w:rPr>
          <w:highlight w:val="green"/>
          <w:rtl w:val="0"/>
        </w:rPr>
        <w:t xml:space="preserve">Classification of gastric cancer into intestinal or diffuse types.</w:t>
      </w:r>
    </w:p>
    <w:p w:rsidR="00000000" w:rsidDel="00000000" w:rsidP="00000000" w:rsidRDefault="00000000" w:rsidRPr="00000000" w14:paraId="0000001D">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WHO Klassifikation</w:t>
        <w:br w:type="textWrapping"/>
      </w:r>
      <w:r w:rsidDel="00000000" w:rsidR="00000000" w:rsidRPr="00000000">
        <w:rPr>
          <w:highlight w:val="green"/>
          <w:rtl w:val="0"/>
        </w:rPr>
        <w:t xml:space="preserve">World Health Organization classification of the tumor.</w:t>
      </w:r>
    </w:p>
    <w:p w:rsidR="00000000" w:rsidDel="00000000" w:rsidP="00000000" w:rsidRDefault="00000000" w:rsidRPr="00000000" w14:paraId="0000001E">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Bormann Klassifikation</w:t>
        <w:br w:type="textWrapping"/>
      </w:r>
      <w:r w:rsidDel="00000000" w:rsidR="00000000" w:rsidRPr="00000000">
        <w:rPr>
          <w:highlight w:val="green"/>
          <w:rtl w:val="0"/>
        </w:rPr>
        <w:t xml:space="preserve">Classification of gastric cancer based on its gross morphology (e.g., polypoid, ulcerative, etc.).</w:t>
      </w:r>
    </w:p>
    <w:p w:rsidR="00000000" w:rsidDel="00000000" w:rsidP="00000000" w:rsidRDefault="00000000" w:rsidRPr="00000000" w14:paraId="0000001F">
      <w:pPr>
        <w:numPr>
          <w:ilvl w:val="0"/>
          <w:numId w:val="2"/>
        </w:numPr>
        <w:spacing w:after="0" w:afterAutospacing="0" w:before="0" w:beforeAutospacing="0" w:lineRule="auto"/>
        <w:ind w:left="720" w:hanging="360"/>
      </w:pPr>
      <w:commentRangeStart w:id="1"/>
      <w:r w:rsidDel="00000000" w:rsidR="00000000" w:rsidRPr="00000000">
        <w:rPr>
          <w:b w:val="1"/>
          <w:highlight w:val="green"/>
          <w:rtl w:val="0"/>
        </w:rPr>
        <w:t xml:space="preserve">HER-2 Status</w:t>
        <w:br w:type="textWrapping"/>
      </w:r>
      <w:r w:rsidDel="00000000" w:rsidR="00000000" w:rsidRPr="00000000">
        <w:rPr>
          <w:highlight w:val="green"/>
          <w:rtl w:val="0"/>
        </w:rPr>
        <w:t xml:space="preserve">Indicates the HER-2 status of the tumor, which has implications for targeted therapies</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20">
      <w:pPr>
        <w:numPr>
          <w:ilvl w:val="0"/>
          <w:numId w:val="2"/>
        </w:numPr>
        <w:spacing w:after="0" w:afterAutospacing="0" w:before="0" w:beforeAutospacing="0" w:lineRule="auto"/>
        <w:ind w:left="720" w:hanging="360"/>
        <w:rPr>
          <w:highlight w:val="green"/>
        </w:rPr>
      </w:pPr>
      <w:commentRangeStart w:id="2"/>
      <w:r w:rsidDel="00000000" w:rsidR="00000000" w:rsidRPr="00000000">
        <w:rPr>
          <w:b w:val="1"/>
          <w:highlight w:val="green"/>
          <w:rtl w:val="0"/>
        </w:rPr>
        <w:t xml:space="preserve">MSI-Status</w:t>
        <w:br w:type="textWrapping"/>
      </w:r>
      <w:r w:rsidDel="00000000" w:rsidR="00000000" w:rsidRPr="00000000">
        <w:rPr>
          <w:highlight w:val="green"/>
          <w:rtl w:val="0"/>
        </w:rPr>
        <w:t xml:space="preserve">Microsatellite instability status, which can guide treatment decisions in certain cancers.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1">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Oesophagussegmentresektion</w:t>
        <w:br w:type="textWrapping"/>
      </w:r>
      <w:r w:rsidDel="00000000" w:rsidR="00000000" w:rsidRPr="00000000">
        <w:rPr>
          <w:highlight w:val="green"/>
          <w:rtl w:val="0"/>
        </w:rPr>
        <w:t xml:space="preserve">Segmental resection of the esophagus.</w:t>
      </w:r>
    </w:p>
    <w:p w:rsidR="00000000" w:rsidDel="00000000" w:rsidP="00000000" w:rsidRDefault="00000000" w:rsidRPr="00000000" w14:paraId="00000022">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Oesophagusresektion</w:t>
        <w:br w:type="textWrapping"/>
      </w:r>
      <w:r w:rsidDel="00000000" w:rsidR="00000000" w:rsidRPr="00000000">
        <w:rPr>
          <w:highlight w:val="green"/>
          <w:rtl w:val="0"/>
        </w:rPr>
        <w:t xml:space="preserve">Resection (removal) of the esophagus.</w:t>
      </w:r>
    </w:p>
    <w:p w:rsidR="00000000" w:rsidDel="00000000" w:rsidP="00000000" w:rsidRDefault="00000000" w:rsidRPr="00000000" w14:paraId="00000023">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Magenhochzug</w:t>
        <w:br w:type="textWrapping"/>
      </w:r>
      <w:r w:rsidDel="00000000" w:rsidR="00000000" w:rsidRPr="00000000">
        <w:rPr>
          <w:highlight w:val="green"/>
          <w:rtl w:val="0"/>
        </w:rPr>
        <w:t xml:space="preserve">Procedure where the stomach is pulled up to replace the esophagus.</w:t>
      </w:r>
    </w:p>
    <w:p w:rsidR="00000000" w:rsidDel="00000000" w:rsidP="00000000" w:rsidRDefault="00000000" w:rsidRPr="00000000" w14:paraId="00000024">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Jejunalinterponat</w:t>
        <w:br w:type="textWrapping"/>
      </w:r>
      <w:r w:rsidDel="00000000" w:rsidR="00000000" w:rsidRPr="00000000">
        <w:rPr>
          <w:highlight w:val="green"/>
          <w:rtl w:val="0"/>
        </w:rPr>
        <w:t xml:space="preserve">Reconstruction involving the use of the jejunum (part of the small intestine).</w:t>
      </w:r>
    </w:p>
    <w:p w:rsidR="00000000" w:rsidDel="00000000" w:rsidP="00000000" w:rsidRDefault="00000000" w:rsidRPr="00000000" w14:paraId="00000025">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Koloninterponat</w:t>
        <w:br w:type="textWrapping"/>
      </w:r>
      <w:r w:rsidDel="00000000" w:rsidR="00000000" w:rsidRPr="00000000">
        <w:rPr>
          <w:highlight w:val="green"/>
          <w:rtl w:val="0"/>
        </w:rPr>
        <w:t xml:space="preserve">Reconstruction involving the use of the colon (large intestine).</w:t>
      </w:r>
    </w:p>
    <w:p w:rsidR="00000000" w:rsidDel="00000000" w:rsidP="00000000" w:rsidRDefault="00000000" w:rsidRPr="00000000" w14:paraId="00000026">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Speichelfistel</w:t>
        <w:br w:type="textWrapping"/>
      </w:r>
      <w:r w:rsidDel="00000000" w:rsidR="00000000" w:rsidRPr="00000000">
        <w:rPr>
          <w:highlight w:val="green"/>
          <w:rtl w:val="0"/>
        </w:rPr>
        <w:t xml:space="preserve">Presence of a salivary fistula.</w:t>
      </w:r>
    </w:p>
    <w:p w:rsidR="00000000" w:rsidDel="00000000" w:rsidP="00000000" w:rsidRDefault="00000000" w:rsidRPr="00000000" w14:paraId="00000027">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Myotomie</w:t>
        <w:br w:type="textWrapping"/>
      </w:r>
      <w:r w:rsidDel="00000000" w:rsidR="00000000" w:rsidRPr="00000000">
        <w:rPr>
          <w:highlight w:val="green"/>
          <w:rtl w:val="0"/>
        </w:rPr>
        <w:t xml:space="preserve">Surgical incision into a muscle, often to relieve spasm.</w:t>
      </w:r>
    </w:p>
    <w:p w:rsidR="00000000" w:rsidDel="00000000" w:rsidP="00000000" w:rsidRDefault="00000000" w:rsidRPr="00000000" w14:paraId="00000028">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Divertikelabtragung</w:t>
        <w:br w:type="textWrapping"/>
      </w:r>
      <w:r w:rsidDel="00000000" w:rsidR="00000000" w:rsidRPr="00000000">
        <w:rPr>
          <w:highlight w:val="green"/>
          <w:rtl w:val="0"/>
        </w:rPr>
        <w:t xml:space="preserve">Removal of diverticula (outpouchings in the GI tract).</w:t>
      </w:r>
    </w:p>
    <w:p w:rsidR="00000000" w:rsidDel="00000000" w:rsidP="00000000" w:rsidRDefault="00000000" w:rsidRPr="00000000" w14:paraId="00000029">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Magen Wedge Resektion</w:t>
        <w:br w:type="textWrapping"/>
      </w:r>
      <w:r w:rsidDel="00000000" w:rsidR="00000000" w:rsidRPr="00000000">
        <w:rPr>
          <w:highlight w:val="green"/>
          <w:rtl w:val="0"/>
        </w:rPr>
        <w:t xml:space="preserve">Wedge resection of the stomach.</w:t>
      </w:r>
    </w:p>
    <w:p w:rsidR="00000000" w:rsidDel="00000000" w:rsidP="00000000" w:rsidRDefault="00000000" w:rsidRPr="00000000" w14:paraId="0000002A">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Magen Segmentresektion</w:t>
        <w:br w:type="textWrapping"/>
      </w:r>
      <w:r w:rsidDel="00000000" w:rsidR="00000000" w:rsidRPr="00000000">
        <w:rPr>
          <w:highlight w:val="green"/>
          <w:rtl w:val="0"/>
        </w:rPr>
        <w:t xml:space="preserve">Segmental resection of the stomach.</w:t>
      </w:r>
    </w:p>
    <w:p w:rsidR="00000000" w:rsidDel="00000000" w:rsidP="00000000" w:rsidRDefault="00000000" w:rsidRPr="00000000" w14:paraId="0000002B">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subtotale Magenresektion</w:t>
        <w:br w:type="textWrapping"/>
      </w:r>
      <w:r w:rsidDel="00000000" w:rsidR="00000000" w:rsidRPr="00000000">
        <w:rPr>
          <w:highlight w:val="green"/>
          <w:rtl w:val="0"/>
        </w:rPr>
        <w:t xml:space="preserve">Subtotal resection of the stomach.</w:t>
      </w:r>
    </w:p>
    <w:p w:rsidR="00000000" w:rsidDel="00000000" w:rsidP="00000000" w:rsidRDefault="00000000" w:rsidRPr="00000000" w14:paraId="0000002C">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Gastrektomie</w:t>
        <w:br w:type="textWrapping"/>
      </w:r>
      <w:r w:rsidDel="00000000" w:rsidR="00000000" w:rsidRPr="00000000">
        <w:rPr>
          <w:highlight w:val="green"/>
          <w:rtl w:val="0"/>
        </w:rPr>
        <w:t xml:space="preserve">Complete removal of the stomach.</w:t>
      </w:r>
    </w:p>
    <w:p w:rsidR="00000000" w:rsidDel="00000000" w:rsidP="00000000" w:rsidRDefault="00000000" w:rsidRPr="00000000" w14:paraId="0000002D">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D1-Lymphadenektomie</w:t>
        <w:br w:type="textWrapping"/>
      </w:r>
      <w:r w:rsidDel="00000000" w:rsidR="00000000" w:rsidRPr="00000000">
        <w:rPr>
          <w:highlight w:val="green"/>
          <w:rtl w:val="0"/>
        </w:rPr>
        <w:t xml:space="preserve">Dissection of the first-level lymph nodes.</w:t>
      </w:r>
    </w:p>
    <w:p w:rsidR="00000000" w:rsidDel="00000000" w:rsidP="00000000" w:rsidRDefault="00000000" w:rsidRPr="00000000" w14:paraId="0000002E">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D2-Lymphadenektomie</w:t>
        <w:br w:type="textWrapping"/>
      </w:r>
      <w:r w:rsidDel="00000000" w:rsidR="00000000" w:rsidRPr="00000000">
        <w:rPr>
          <w:highlight w:val="green"/>
          <w:rtl w:val="0"/>
        </w:rPr>
        <w:t xml:space="preserve">Dissection of the second-level lymph nodes.</w:t>
      </w:r>
    </w:p>
    <w:p w:rsidR="00000000" w:rsidDel="00000000" w:rsidP="00000000" w:rsidRDefault="00000000" w:rsidRPr="00000000" w14:paraId="0000002F">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D3-Lymphadenektomie</w:t>
        <w:br w:type="textWrapping"/>
      </w:r>
      <w:r w:rsidDel="00000000" w:rsidR="00000000" w:rsidRPr="00000000">
        <w:rPr>
          <w:highlight w:val="green"/>
          <w:rtl w:val="0"/>
        </w:rPr>
        <w:t xml:space="preserve">Dissection of the third-level lymph nodes.</w:t>
      </w:r>
    </w:p>
    <w:p w:rsidR="00000000" w:rsidDel="00000000" w:rsidP="00000000" w:rsidRDefault="00000000" w:rsidRPr="00000000" w14:paraId="00000030">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Billroth 1 Resektion</w:t>
        <w:br w:type="textWrapping"/>
      </w:r>
      <w:r w:rsidDel="00000000" w:rsidR="00000000" w:rsidRPr="00000000">
        <w:rPr>
          <w:highlight w:val="green"/>
          <w:rtl w:val="0"/>
        </w:rPr>
        <w:t xml:space="preserve">Reconstruction of the stomach after partial removal, connecting the stomach to the duodenum.</w:t>
      </w:r>
    </w:p>
    <w:p w:rsidR="00000000" w:rsidDel="00000000" w:rsidP="00000000" w:rsidRDefault="00000000" w:rsidRPr="00000000" w14:paraId="00000031">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Billroth 2 Resektion</w:t>
        <w:br w:type="textWrapping"/>
      </w:r>
      <w:r w:rsidDel="00000000" w:rsidR="00000000" w:rsidRPr="00000000">
        <w:rPr>
          <w:highlight w:val="green"/>
          <w:rtl w:val="0"/>
        </w:rPr>
        <w:t xml:space="preserve">Another reconstruction method, connecting the stomach to the jejunum.</w:t>
      </w:r>
    </w:p>
    <w:p w:rsidR="00000000" w:rsidDel="00000000" w:rsidP="00000000" w:rsidRDefault="00000000" w:rsidRPr="00000000" w14:paraId="00000032">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Roux-Y Rekonstruktion</w:t>
        <w:br w:type="textWrapping"/>
      </w:r>
      <w:r w:rsidDel="00000000" w:rsidR="00000000" w:rsidRPr="00000000">
        <w:rPr>
          <w:highlight w:val="green"/>
          <w:rtl w:val="0"/>
        </w:rPr>
        <w:t xml:space="preserve">A specific reconstruction technique for the digestive tract, often used in gastric surgery.</w:t>
      </w:r>
    </w:p>
    <w:p w:rsidR="00000000" w:rsidDel="00000000" w:rsidP="00000000" w:rsidRDefault="00000000" w:rsidRPr="00000000" w14:paraId="00000033">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Braun’scher Fußpunkt</w:t>
        <w:br w:type="textWrapping"/>
      </w:r>
      <w:r w:rsidDel="00000000" w:rsidR="00000000" w:rsidRPr="00000000">
        <w:rPr>
          <w:highlight w:val="green"/>
          <w:rtl w:val="0"/>
        </w:rPr>
        <w:t xml:space="preserve">A type of surgical connection between segments of the small intestine.</w:t>
      </w:r>
    </w:p>
    <w:p w:rsidR="00000000" w:rsidDel="00000000" w:rsidP="00000000" w:rsidRDefault="00000000" w:rsidRPr="00000000" w14:paraId="00000034">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proximale Magenresektion</w:t>
        <w:br w:type="textWrapping"/>
      </w:r>
      <w:r w:rsidDel="00000000" w:rsidR="00000000" w:rsidRPr="00000000">
        <w:rPr>
          <w:highlight w:val="green"/>
          <w:rtl w:val="0"/>
        </w:rPr>
        <w:t xml:space="preserve">Resection of the upper part of the stomach.</w:t>
      </w:r>
    </w:p>
    <w:p w:rsidR="00000000" w:rsidDel="00000000" w:rsidP="00000000" w:rsidRDefault="00000000" w:rsidRPr="00000000" w14:paraId="00000035">
      <w:pPr>
        <w:numPr>
          <w:ilvl w:val="0"/>
          <w:numId w:val="2"/>
        </w:numPr>
        <w:spacing w:after="0" w:afterAutospacing="0" w:before="0" w:beforeAutospacing="0" w:lineRule="auto"/>
        <w:ind w:left="720" w:hanging="360"/>
        <w:rPr>
          <w:highlight w:val="green"/>
        </w:rPr>
      </w:pPr>
      <w:r w:rsidDel="00000000" w:rsidR="00000000" w:rsidRPr="00000000">
        <w:rPr>
          <w:b w:val="1"/>
          <w:highlight w:val="green"/>
          <w:rtl w:val="0"/>
        </w:rPr>
        <w:t xml:space="preserve">distale Magenresektion</w:t>
        <w:br w:type="textWrapping"/>
      </w:r>
      <w:r w:rsidDel="00000000" w:rsidR="00000000" w:rsidRPr="00000000">
        <w:rPr>
          <w:highlight w:val="green"/>
          <w:rtl w:val="0"/>
        </w:rPr>
        <w:t xml:space="preserve">Resection of the lower part of the stomach.</w:t>
      </w:r>
    </w:p>
    <w:p w:rsidR="00000000" w:rsidDel="00000000" w:rsidP="00000000" w:rsidRDefault="00000000" w:rsidRPr="00000000" w14:paraId="00000036">
      <w:pPr>
        <w:numPr>
          <w:ilvl w:val="0"/>
          <w:numId w:val="2"/>
        </w:numPr>
        <w:spacing w:after="240" w:before="0" w:beforeAutospacing="0" w:lineRule="auto"/>
        <w:ind w:left="720" w:hanging="360"/>
        <w:rPr>
          <w:highlight w:val="green"/>
        </w:rPr>
      </w:pPr>
      <w:r w:rsidDel="00000000" w:rsidR="00000000" w:rsidRPr="00000000">
        <w:rPr>
          <w:b w:val="1"/>
          <w:highlight w:val="green"/>
          <w:rtl w:val="0"/>
        </w:rPr>
        <w:t xml:space="preserve">OGI OP Methode Freitext</w:t>
        <w:br w:type="textWrapping"/>
      </w:r>
      <w:r w:rsidDel="00000000" w:rsidR="00000000" w:rsidRPr="00000000">
        <w:rPr>
          <w:highlight w:val="green"/>
          <w:rtl w:val="0"/>
        </w:rPr>
        <w:t xml:space="preserve">Free-text entry for describing specific surgical methods used in operations related to the upper gastrointestinal tract.</w:t>
      </w:r>
    </w:p>
    <w:p w:rsidR="00000000" w:rsidDel="00000000" w:rsidP="00000000" w:rsidRDefault="00000000" w:rsidRPr="00000000" w14:paraId="00000037">
      <w:pPr>
        <w:spacing w:after="240" w:before="240" w:lineRule="auto"/>
        <w:rPr/>
      </w:pPr>
      <w:r w:rsidDel="00000000" w:rsidR="00000000" w:rsidRPr="00000000">
        <w:rPr>
          <w:rtl w:val="0"/>
        </w:rPr>
        <w:t xml:space="preserve">This table appears to catalog detailed medical and surgical information related to the diagnosis, classification, and treatment of upper gastrointestinal (OGI) cancers and conditions.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The "OGI Spezial" table is primarily focused on </w:t>
      </w:r>
      <w:r w:rsidDel="00000000" w:rsidR="00000000" w:rsidRPr="00000000">
        <w:rPr>
          <w:b w:val="1"/>
          <w:rtl w:val="0"/>
        </w:rPr>
        <w:t xml:space="preserve">upper gastrointestinal (OGI)</w:t>
      </w:r>
      <w:r w:rsidDel="00000000" w:rsidR="00000000" w:rsidRPr="00000000">
        <w:rPr>
          <w:rtl w:val="0"/>
        </w:rPr>
        <w:t xml:space="preserve"> conditions, such as esophageal and gastric cancers, and their related diagnostic, surgical, and treatment methods. While it doesn't directly focus on liver cancer (Hepatocellular Carcinoma, HCC), it may still be indirectly related to liver cancer in the following ways: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zde014kw5sw3" w:id="0"/>
      <w:bookmarkEnd w:id="0"/>
      <w:r w:rsidDel="00000000" w:rsidR="00000000" w:rsidRPr="00000000">
        <w:rPr>
          <w:b w:val="1"/>
          <w:color w:val="000000"/>
          <w:sz w:val="26"/>
          <w:szCs w:val="26"/>
          <w:rtl w:val="0"/>
        </w:rPr>
        <w:t xml:space="preserve">1. Shared Pathways and Risk Factors</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b w:val="1"/>
          <w:rtl w:val="0"/>
        </w:rPr>
        <w:t xml:space="preserve">Helicobacter pylori infection</w:t>
      </w:r>
      <w:r w:rsidDel="00000000" w:rsidR="00000000" w:rsidRPr="00000000">
        <w:rPr>
          <w:rtl w:val="0"/>
        </w:rPr>
        <w:t xml:space="preserve"> (item 26) and </w:t>
      </w:r>
      <w:r w:rsidDel="00000000" w:rsidR="00000000" w:rsidRPr="00000000">
        <w:rPr>
          <w:b w:val="1"/>
          <w:rtl w:val="0"/>
        </w:rPr>
        <w:t xml:space="preserve">gastric cancers</w:t>
      </w:r>
      <w:r w:rsidDel="00000000" w:rsidR="00000000" w:rsidRPr="00000000">
        <w:rPr>
          <w:rtl w:val="0"/>
        </w:rPr>
        <w:t xml:space="preserve"> (items 20, 21, etc.) can lead to chronic inflammation and liver disease progression. Chronic liver disease is a known risk factor for liver cancer.</w:t>
      </w:r>
    </w:p>
    <w:p w:rsidR="00000000" w:rsidDel="00000000" w:rsidP="00000000" w:rsidRDefault="00000000" w:rsidRPr="00000000" w14:paraId="00000045">
      <w:pPr>
        <w:numPr>
          <w:ilvl w:val="0"/>
          <w:numId w:val="1"/>
        </w:numPr>
        <w:spacing w:after="240" w:before="0" w:beforeAutospacing="0" w:lineRule="auto"/>
        <w:ind w:left="720" w:hanging="360"/>
      </w:pPr>
      <w:r w:rsidDel="00000000" w:rsidR="00000000" w:rsidRPr="00000000">
        <w:rPr>
          <w:rtl w:val="0"/>
        </w:rPr>
        <w:t xml:space="preserve">Conditions like </w:t>
      </w:r>
      <w:r w:rsidDel="00000000" w:rsidR="00000000" w:rsidRPr="00000000">
        <w:rPr>
          <w:b w:val="1"/>
          <w:rtl w:val="0"/>
        </w:rPr>
        <w:t xml:space="preserve">Barrett’s esophagus</w:t>
      </w:r>
      <w:r w:rsidDel="00000000" w:rsidR="00000000" w:rsidRPr="00000000">
        <w:rPr>
          <w:rtl w:val="0"/>
        </w:rPr>
        <w:t xml:space="preserve">, </w:t>
      </w:r>
      <w:r w:rsidDel="00000000" w:rsidR="00000000" w:rsidRPr="00000000">
        <w:rPr>
          <w:b w:val="1"/>
          <w:rtl w:val="0"/>
        </w:rPr>
        <w:t xml:space="preserve">reflux</w:t>
      </w:r>
      <w:r w:rsidDel="00000000" w:rsidR="00000000" w:rsidRPr="00000000">
        <w:rPr>
          <w:rtl w:val="0"/>
        </w:rPr>
        <w:t xml:space="preserve">, or </w:t>
      </w:r>
      <w:r w:rsidDel="00000000" w:rsidR="00000000" w:rsidRPr="00000000">
        <w:rPr>
          <w:b w:val="1"/>
          <w:rtl w:val="0"/>
        </w:rPr>
        <w:t xml:space="preserve">gastritis</w:t>
      </w:r>
      <w:r w:rsidDel="00000000" w:rsidR="00000000" w:rsidRPr="00000000">
        <w:rPr>
          <w:rtl w:val="0"/>
        </w:rPr>
        <w:t xml:space="preserve"> might coexist with liver-related diseases in the same patient population, especially those with systemic gastrointestinal involvement.</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7cvmr554z17k" w:id="1"/>
      <w:bookmarkEnd w:id="1"/>
      <w:r w:rsidDel="00000000" w:rsidR="00000000" w:rsidRPr="00000000">
        <w:rPr>
          <w:b w:val="1"/>
          <w:color w:val="000000"/>
          <w:sz w:val="26"/>
          <w:szCs w:val="26"/>
          <w:rtl w:val="0"/>
        </w:rPr>
        <w:t xml:space="preserve">2. Metastasis</w:t>
      </w:r>
    </w:p>
    <w:p w:rsidR="00000000" w:rsidDel="00000000" w:rsidP="00000000" w:rsidRDefault="00000000" w:rsidRPr="00000000" w14:paraId="00000047">
      <w:pPr>
        <w:numPr>
          <w:ilvl w:val="0"/>
          <w:numId w:val="6"/>
        </w:numPr>
        <w:spacing w:after="240" w:before="240" w:lineRule="auto"/>
        <w:ind w:left="720" w:hanging="360"/>
      </w:pPr>
      <w:r w:rsidDel="00000000" w:rsidR="00000000" w:rsidRPr="00000000">
        <w:rPr>
          <w:b w:val="1"/>
          <w:rtl w:val="0"/>
        </w:rPr>
        <w:t xml:space="preserve">Esophageal cancer</w:t>
      </w:r>
      <w:r w:rsidDel="00000000" w:rsidR="00000000" w:rsidRPr="00000000">
        <w:rPr>
          <w:rtl w:val="0"/>
        </w:rPr>
        <w:t xml:space="preserve"> (items 18–19) and </w:t>
      </w:r>
      <w:r w:rsidDel="00000000" w:rsidR="00000000" w:rsidRPr="00000000">
        <w:rPr>
          <w:b w:val="1"/>
          <w:rtl w:val="0"/>
        </w:rPr>
        <w:t xml:space="preserve">stomach cancer</w:t>
      </w:r>
      <w:r w:rsidDel="00000000" w:rsidR="00000000" w:rsidRPr="00000000">
        <w:rPr>
          <w:rtl w:val="0"/>
        </w:rPr>
        <w:t xml:space="preserve"> (items 20–21) often metastasize to the liver due to its role as a primary filtration site for blood from the gastrointestinal tract via the portal vein. Tracking cancers in the OGI region is critical for identifying secondary liver metastases.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t73pft7u2jo8" w:id="2"/>
      <w:bookmarkEnd w:id="2"/>
      <w:r w:rsidDel="00000000" w:rsidR="00000000" w:rsidRPr="00000000">
        <w:rPr>
          <w:b w:val="1"/>
          <w:color w:val="000000"/>
          <w:sz w:val="26"/>
          <w:szCs w:val="26"/>
          <w:rtl w:val="0"/>
        </w:rPr>
        <w:t xml:space="preserve">3. Combined Surgical and Diagnostic Approaches</w:t>
      </w:r>
    </w:p>
    <w:p w:rsidR="00000000" w:rsidDel="00000000" w:rsidP="00000000" w:rsidRDefault="00000000" w:rsidRPr="00000000" w14:paraId="00000049">
      <w:pPr>
        <w:numPr>
          <w:ilvl w:val="0"/>
          <w:numId w:val="7"/>
        </w:numPr>
        <w:spacing w:after="240" w:before="240" w:lineRule="auto"/>
        <w:ind w:left="720" w:hanging="360"/>
      </w:pPr>
      <w:r w:rsidDel="00000000" w:rsidR="00000000" w:rsidRPr="00000000">
        <w:rPr>
          <w:rtl w:val="0"/>
        </w:rPr>
        <w:t xml:space="preserve">Some of the surgical approaches listed in the table (e.g., </w:t>
      </w:r>
      <w:r w:rsidDel="00000000" w:rsidR="00000000" w:rsidRPr="00000000">
        <w:rPr>
          <w:b w:val="1"/>
          <w:rtl w:val="0"/>
        </w:rPr>
        <w:t xml:space="preserve">subtotal gastrectomy</w:t>
      </w:r>
      <w:r w:rsidDel="00000000" w:rsidR="00000000" w:rsidRPr="00000000">
        <w:rPr>
          <w:rtl w:val="0"/>
        </w:rPr>
        <w:t xml:space="preserve">, </w:t>
      </w:r>
      <w:r w:rsidDel="00000000" w:rsidR="00000000" w:rsidRPr="00000000">
        <w:rPr>
          <w:b w:val="1"/>
          <w:rtl w:val="0"/>
        </w:rPr>
        <w:t xml:space="preserve">Roux-en-Y reconstruction</w:t>
      </w:r>
      <w:r w:rsidDel="00000000" w:rsidR="00000000" w:rsidRPr="00000000">
        <w:rPr>
          <w:rtl w:val="0"/>
        </w:rPr>
        <w:t xml:space="preserve">, or </w:t>
      </w:r>
      <w:r w:rsidDel="00000000" w:rsidR="00000000" w:rsidRPr="00000000">
        <w:rPr>
          <w:b w:val="1"/>
          <w:rtl w:val="0"/>
        </w:rPr>
        <w:t xml:space="preserve">lymphadenectomy</w:t>
      </w:r>
      <w:r w:rsidDel="00000000" w:rsidR="00000000" w:rsidRPr="00000000">
        <w:rPr>
          <w:rtl w:val="0"/>
        </w:rPr>
        <w:t xml:space="preserve">) might be performed alongside liver surgeries in patients with </w:t>
      </w:r>
      <w:r w:rsidDel="00000000" w:rsidR="00000000" w:rsidRPr="00000000">
        <w:rPr>
          <w:b w:val="1"/>
          <w:rtl w:val="0"/>
        </w:rPr>
        <w:t xml:space="preserve">combined gastrointestinal and liver involvement</w:t>
      </w:r>
      <w:r w:rsidDel="00000000" w:rsidR="00000000" w:rsidRPr="00000000">
        <w:rPr>
          <w:rtl w:val="0"/>
        </w:rPr>
        <w:t xml:space="preserve">. For example, a patient with liver metastases from gastric cancer might require both liver and gastrointestinal surgeries.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ugond21q7gg3" w:id="3"/>
      <w:bookmarkEnd w:id="3"/>
      <w:r w:rsidDel="00000000" w:rsidR="00000000" w:rsidRPr="00000000">
        <w:rPr>
          <w:b w:val="1"/>
          <w:color w:val="000000"/>
          <w:sz w:val="26"/>
          <w:szCs w:val="26"/>
          <w:rtl w:val="0"/>
        </w:rPr>
        <w:t xml:space="preserve">4. Adjacent Anatomical Structures</w:t>
      </w:r>
    </w:p>
    <w:p w:rsidR="00000000" w:rsidDel="00000000" w:rsidP="00000000" w:rsidRDefault="00000000" w:rsidRPr="00000000" w14:paraId="0000004B">
      <w:pPr>
        <w:numPr>
          <w:ilvl w:val="0"/>
          <w:numId w:val="3"/>
        </w:numPr>
        <w:spacing w:after="240" w:before="240" w:lineRule="auto"/>
        <w:ind w:left="720" w:hanging="360"/>
      </w:pPr>
      <w:r w:rsidDel="00000000" w:rsidR="00000000" w:rsidRPr="00000000">
        <w:rPr>
          <w:rtl w:val="0"/>
        </w:rPr>
        <w:t xml:space="preserve">The liver and gastrointestinal tract (particularly the stomach and esophagus) are anatomically close. Tumors in one organ may affect the adjacent organ, leading to complications or requiring combined interventions.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xgl9ktk7ljo4" w:id="4"/>
      <w:bookmarkEnd w:id="4"/>
      <w:r w:rsidDel="00000000" w:rsidR="00000000" w:rsidRPr="00000000">
        <w:rPr>
          <w:b w:val="1"/>
          <w:color w:val="000000"/>
          <w:sz w:val="26"/>
          <w:szCs w:val="26"/>
          <w:rtl w:val="0"/>
        </w:rPr>
        <w:t xml:space="preserve">5. HER-2 and MSI Testing</w:t>
      </w:r>
    </w:p>
    <w:p w:rsidR="00000000" w:rsidDel="00000000" w:rsidP="00000000" w:rsidRDefault="00000000" w:rsidRPr="00000000" w14:paraId="0000004D">
      <w:pPr>
        <w:numPr>
          <w:ilvl w:val="0"/>
          <w:numId w:val="5"/>
        </w:numPr>
        <w:spacing w:after="240" w:before="240" w:lineRule="auto"/>
        <w:ind w:left="720" w:hanging="360"/>
      </w:pPr>
      <w:r w:rsidDel="00000000" w:rsidR="00000000" w:rsidRPr="00000000">
        <w:rPr>
          <w:rtl w:val="0"/>
        </w:rPr>
        <w:t xml:space="preserve">Testing for </w:t>
      </w:r>
      <w:r w:rsidDel="00000000" w:rsidR="00000000" w:rsidRPr="00000000">
        <w:rPr>
          <w:b w:val="1"/>
          <w:rtl w:val="0"/>
        </w:rPr>
        <w:t xml:space="preserve">HER-2 status</w:t>
      </w:r>
      <w:r w:rsidDel="00000000" w:rsidR="00000000" w:rsidRPr="00000000">
        <w:rPr>
          <w:rtl w:val="0"/>
        </w:rPr>
        <w:t xml:space="preserve"> (item 30) and </w:t>
      </w:r>
      <w:r w:rsidDel="00000000" w:rsidR="00000000" w:rsidRPr="00000000">
        <w:rPr>
          <w:b w:val="1"/>
          <w:rtl w:val="0"/>
        </w:rPr>
        <w:t xml:space="preserve">MSI status</w:t>
      </w:r>
      <w:r w:rsidDel="00000000" w:rsidR="00000000" w:rsidRPr="00000000">
        <w:rPr>
          <w:rtl w:val="0"/>
        </w:rPr>
        <w:t xml:space="preserve"> (item 31) is relevant for both liver metastases and primary gastrointestinal tumors. These markers may guide targeted therapies for both liver and gastrointestinal cancers.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edmwh9jmhw7d" w:id="5"/>
      <w:bookmarkEnd w:id="5"/>
      <w:r w:rsidDel="00000000" w:rsidR="00000000" w:rsidRPr="00000000">
        <w:rPr>
          <w:b w:val="1"/>
          <w:color w:val="000000"/>
          <w:sz w:val="26"/>
          <w:szCs w:val="26"/>
          <w:rtl w:val="0"/>
        </w:rPr>
        <w:t xml:space="preserve">6. Diagnostics and Monitoring</w:t>
      </w:r>
    </w:p>
    <w:p w:rsidR="00000000" w:rsidDel="00000000" w:rsidP="00000000" w:rsidRDefault="00000000" w:rsidRPr="00000000" w14:paraId="0000004F">
      <w:pPr>
        <w:numPr>
          <w:ilvl w:val="0"/>
          <w:numId w:val="4"/>
        </w:numPr>
        <w:spacing w:after="240" w:before="240" w:lineRule="auto"/>
        <w:ind w:left="720" w:hanging="360"/>
      </w:pPr>
      <w:r w:rsidDel="00000000" w:rsidR="00000000" w:rsidRPr="00000000">
        <w:rPr>
          <w:rtl w:val="0"/>
        </w:rPr>
        <w:t xml:space="preserve">Imaging and diagnostic approaches mentioned here, such as distance measurements (e.g., </w:t>
      </w:r>
      <w:r w:rsidDel="00000000" w:rsidR="00000000" w:rsidRPr="00000000">
        <w:rPr>
          <w:b w:val="1"/>
          <w:rtl w:val="0"/>
        </w:rPr>
        <w:t xml:space="preserve">Abstand Zahnreihe-Tumor</w:t>
      </w:r>
      <w:r w:rsidDel="00000000" w:rsidR="00000000" w:rsidRPr="00000000">
        <w:rPr>
          <w:rtl w:val="0"/>
        </w:rPr>
        <w:t xml:space="preserve">) or classifications like </w:t>
      </w:r>
      <w:r w:rsidDel="00000000" w:rsidR="00000000" w:rsidRPr="00000000">
        <w:rPr>
          <w:b w:val="1"/>
          <w:rtl w:val="0"/>
        </w:rPr>
        <w:t xml:space="preserve">Lauren classification</w:t>
      </w:r>
      <w:r w:rsidDel="00000000" w:rsidR="00000000" w:rsidRPr="00000000">
        <w:rPr>
          <w:rtl w:val="0"/>
        </w:rPr>
        <w:t xml:space="preserve"> and </w:t>
      </w:r>
      <w:r w:rsidDel="00000000" w:rsidR="00000000" w:rsidRPr="00000000">
        <w:rPr>
          <w:b w:val="1"/>
          <w:rtl w:val="0"/>
        </w:rPr>
        <w:t xml:space="preserve">Siewert classification</w:t>
      </w:r>
      <w:r w:rsidDel="00000000" w:rsidR="00000000" w:rsidRPr="00000000">
        <w:rPr>
          <w:rtl w:val="0"/>
        </w:rPr>
        <w:t xml:space="preserve">, may be helpful in understanding cancer spread patterns that could involve the liver.</w:t>
      </w:r>
    </w:p>
    <w:p w:rsidR="00000000" w:rsidDel="00000000" w:rsidP="00000000" w:rsidRDefault="00000000" w:rsidRPr="00000000" w14:paraId="00000050">
      <w:pPr>
        <w:spacing w:after="240" w:before="240" w:lineRule="auto"/>
        <w:rPr/>
      </w:pPr>
      <w:r w:rsidDel="00000000" w:rsidR="00000000" w:rsidRPr="00000000">
        <w:rPr>
          <w:rtl w:val="0"/>
        </w:rPr>
        <w:t xml:space="preserve">In summary, while this table doesn't directly describe liver cancer, it includes information about conditions, diagnostics, and surgical methods that can be </w:t>
      </w:r>
      <w:r w:rsidDel="00000000" w:rsidR="00000000" w:rsidRPr="00000000">
        <w:rPr>
          <w:b w:val="1"/>
          <w:rtl w:val="0"/>
        </w:rPr>
        <w:t xml:space="preserve">relevant to patients with liver cancer</w:t>
      </w:r>
      <w:r w:rsidDel="00000000" w:rsidR="00000000" w:rsidRPr="00000000">
        <w:rPr>
          <w:rtl w:val="0"/>
        </w:rPr>
        <w:t xml:space="preserve"> due to metastasis, shared risk factors, or the anatomical and clinical overlap between liver and gastrointestinal diseases. </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ojtaba nayyeri" w:id="1" w:date="2025-02-15T20:59:07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more explanation about values it takes</w:t>
      </w:r>
    </w:p>
  </w:comment>
  <w:comment w:author="mojtaba nayyeri" w:id="0" w:date="2025-02-15T17:30:19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variable used in Pankreas spezial? do they refer to same thing?</w:t>
      </w:r>
    </w:p>
  </w:comment>
  <w:comment w:author="mojtaba nayyeri" w:id="2" w:date="2025-02-15T21:01:46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some connection to palliavar chemeotherapy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