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 lists fields related to </w:t>
      </w:r>
      <w:r w:rsidDel="00000000" w:rsidR="00000000" w:rsidRPr="00000000">
        <w:rPr>
          <w:b w:val="1"/>
          <w:rtl w:val="0"/>
        </w:rPr>
        <w:t xml:space="preserve">Tumor Markers</w:t>
      </w:r>
      <w:r w:rsidDel="00000000" w:rsidR="00000000" w:rsidRPr="00000000">
        <w:rPr>
          <w:rtl w:val="0"/>
        </w:rPr>
        <w:t xml:space="preserve"> for tracking and monitoring cancer biomarkers during different treatment phases. Here's an explanation of each field: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mksxj8f62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identifier for the patient.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3ho7i1gmk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Alpha-Fetoprotein (AFP)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commentRangeStart w:id="0"/>
      <w:r w:rsidDel="00000000" w:rsidR="00000000" w:rsidRPr="00000000">
        <w:rPr>
          <w:b w:val="1"/>
          <w:rtl w:val="0"/>
        </w:rPr>
        <w:t xml:space="preserve">AFP neoadjuvant</w:t>
      </w:r>
      <w:r w:rsidDel="00000000" w:rsidR="00000000" w:rsidRPr="00000000">
        <w:rPr>
          <w:rtl w:val="0"/>
        </w:rPr>
        <w:t xml:space="preserve">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AFP levels before surgery or therapy aimed at shrinking the tumor.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AFP praeoperativ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AFP levels before surgery.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AFP postoperativ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AFP levels after surgery.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gsp3aypa0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Carcinoembryonic Antigen (CEA)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CEA neoadjuvant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CEA levels before neoadjuvant therapy.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CEA praeoperativ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CEA levels before surgery.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CEA postoperativ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CEA levels after surgery.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tg61s0x3h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Carbohydrate Antigen 19-9 (CA 19-9)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 19-9 neoadjuvant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 19-9 levels before neoadjuvant therapy.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 19-9 praeoperativ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 19-9 levels before surgery.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 19-9 postoperativ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 19-9 levels after surgery.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zqfs13jm5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Carbohydrate Antigen 72-4 (CA 72-4)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 72-4 neoadjuvant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 72-4 levels before neoadjuvant therapy.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 72-4 praeoperativ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 72-4 levels before surgery.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 72-4 postoperativ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 72-4 levels after surgery.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z3ic38kul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Tumor Markers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Anderer Tumormarker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Another tumor marker not listed above.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Tumormarker 1 Wert praeop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 of the first tumor marker before surgery.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Tumormarker 1 Wert postop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 of the first tumor marker after surgery.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Anderer Tumormarker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second unspecified tumor marker.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Tumormarker 2 Wert praeop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 of the second tumor marker before surgery.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Tumormarker 2 Wert postop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 of the second tumor marker after surgery.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Anderer Tumormarker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third unspecified tumor marker.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Tumormarker 3 Wert praeop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 of the third tumor marker before surgery.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Tumormarker 3 Wert postop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 of the third tumor marker after surgery.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nyiojjq0q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These tumor markers help in: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Diagnosing cancer.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Monitoring response to treatments like surgery, chemotherapy, or radiation.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Detecting recurrence or progression of the disease.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ojtaba nayyeri" w:id="0" w:date="2025-02-13T15:29:45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add something like low high etc as level not value only?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