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512C9" w14:textId="77777777" w:rsidR="00933CF9" w:rsidRDefault="00933CF9" w:rsidP="00933CF9">
      <w:pPr>
        <w:pStyle w:val="Titre1"/>
      </w:pPr>
      <w:r>
        <w:t>Présentation :</w:t>
      </w:r>
    </w:p>
    <w:p w14:paraId="1FC8C9E9" w14:textId="77777777" w:rsidR="00666236" w:rsidRDefault="00666236" w:rsidP="00666236"/>
    <w:p w14:paraId="3840C6E1" w14:textId="77777777" w:rsidR="00666236" w:rsidRDefault="00666236" w:rsidP="00666236"/>
    <w:p w14:paraId="19024072" w14:textId="0388E2F6" w:rsidR="00666236" w:rsidRDefault="00666236" w:rsidP="00666236">
      <w:r>
        <w:tab/>
      </w:r>
      <w:r>
        <w:tab/>
      </w:r>
      <w:r>
        <w:tab/>
      </w:r>
      <w:r>
        <w:rPr>
          <w:noProof/>
        </w:rPr>
        <w:drawing>
          <wp:inline distT="0" distB="0" distL="0" distR="0" wp14:anchorId="7A0AC0C5" wp14:editId="6B0F4152">
            <wp:extent cx="2544445" cy="1733550"/>
            <wp:effectExtent l="0" t="0" r="8255" b="0"/>
            <wp:docPr id="794720301" name="Image 1" descr="Une image contenant texte, jaun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720301" name="Image 1" descr="Une image contenant texte, jaune, clipart&#10;&#10;Description générée automatiquemen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44445" cy="1733550"/>
                    </a:xfrm>
                    <a:prstGeom prst="rect">
                      <a:avLst/>
                    </a:prstGeom>
                    <a:noFill/>
                    <a:ln>
                      <a:noFill/>
                    </a:ln>
                  </pic:spPr>
                </pic:pic>
              </a:graphicData>
            </a:graphic>
          </wp:inline>
        </w:drawing>
      </w:r>
    </w:p>
    <w:p w14:paraId="528A071D" w14:textId="77777777" w:rsidR="00666236" w:rsidRPr="00666236" w:rsidRDefault="00666236" w:rsidP="00666236"/>
    <w:p w14:paraId="74E6DAC6" w14:textId="77777777" w:rsidR="00933CF9" w:rsidRPr="00FE1F2A" w:rsidRDefault="00933CF9" w:rsidP="00933CF9">
      <w:pPr>
        <w:rPr>
          <w:rFonts w:ascii="Segoe-UI" w:hAnsi="Segoe-UI"/>
          <w:color w:val="64676E"/>
          <w:kern w:val="0"/>
          <w:sz w:val="26"/>
          <w:szCs w:val="26"/>
          <w:shd w:val="clear" w:color="auto" w:fill="FFFFFF"/>
          <w14:ligatures w14:val="none"/>
        </w:rPr>
      </w:pPr>
    </w:p>
    <w:p w14:paraId="5763D42A" w14:textId="77777777" w:rsidR="00933CF9" w:rsidRDefault="00933CF9" w:rsidP="00933CF9">
      <w:pPr>
        <w:rPr>
          <w:rFonts w:ascii="Segoe-UI" w:hAnsi="Segoe-UI"/>
          <w:color w:val="64676E"/>
          <w:kern w:val="0"/>
          <w:sz w:val="26"/>
          <w:szCs w:val="26"/>
          <w:shd w:val="clear" w:color="auto" w:fill="FFFFFF"/>
          <w14:ligatures w14:val="none"/>
        </w:rPr>
      </w:pPr>
      <w:r>
        <w:rPr>
          <w:rFonts w:ascii="Segoe-UI" w:hAnsi="Segoe-UI"/>
          <w:color w:val="64676E"/>
          <w:kern w:val="0"/>
          <w:sz w:val="26"/>
          <w:szCs w:val="26"/>
          <w:shd w:val="clear" w:color="auto" w:fill="FFFFFF"/>
          <w14:ligatures w14:val="none"/>
        </w:rPr>
        <w:t xml:space="preserve">M2L : </w:t>
      </w:r>
      <w:r w:rsidRPr="00FE1F2A">
        <w:rPr>
          <w:rFonts w:ascii="Segoe-UI" w:hAnsi="Segoe-UI"/>
          <w:color w:val="64676E"/>
          <w:kern w:val="0"/>
          <w:sz w:val="26"/>
          <w:szCs w:val="26"/>
          <w:shd w:val="clear" w:color="auto" w:fill="FFFFFF"/>
          <w14:ligatures w14:val="none"/>
        </w:rPr>
        <w:t>La Maison des Ligues de Lorraine (M2L) a pour mission de mettre à disposition des espaces et des services pour les différentes ligues sportives régionales et autres structures hébergées. La M2L est financée par le Conseil Régional de Lorraine, et son administration est déléguée au Comité Régional Olympique et Sportif de Lorraine (CROSL).</w:t>
      </w:r>
    </w:p>
    <w:p w14:paraId="55E22A73" w14:textId="77777777" w:rsidR="00822A04" w:rsidRDefault="00822A04"/>
    <w:p w14:paraId="0A731259" w14:textId="77777777" w:rsidR="00933CF9" w:rsidRDefault="00933CF9" w:rsidP="00933CF9">
      <w:pPr>
        <w:pStyle w:val="Titre1"/>
      </w:pPr>
      <w:r>
        <w:t>Problématiques :</w:t>
      </w:r>
    </w:p>
    <w:p w14:paraId="73130A97" w14:textId="77777777" w:rsidR="00933CF9" w:rsidRPr="00FE1F2A" w:rsidRDefault="00933CF9" w:rsidP="00933CF9">
      <w:pPr>
        <w:rPr>
          <w:rFonts w:ascii="Segoe-UI" w:hAnsi="Segoe-UI"/>
          <w:color w:val="64676E"/>
          <w:kern w:val="0"/>
          <w:sz w:val="26"/>
          <w:szCs w:val="26"/>
          <w:shd w:val="clear" w:color="auto" w:fill="FFFFFF"/>
          <w14:ligatures w14:val="none"/>
        </w:rPr>
      </w:pPr>
    </w:p>
    <w:p w14:paraId="3C8A3173" w14:textId="77777777" w:rsidR="00933CF9" w:rsidRPr="00FE1F2A" w:rsidRDefault="00933CF9" w:rsidP="00933CF9">
      <w:pPr>
        <w:rPr>
          <w:rFonts w:ascii="Segoe-UI" w:hAnsi="Segoe-UI"/>
          <w:color w:val="64676E"/>
          <w:kern w:val="0"/>
          <w:sz w:val="26"/>
          <w:szCs w:val="26"/>
          <w:shd w:val="clear" w:color="auto" w:fill="FFFFFF"/>
          <w14:ligatures w14:val="none"/>
        </w:rPr>
      </w:pPr>
      <w:r>
        <w:rPr>
          <w:rFonts w:ascii="Segoe-UI" w:hAnsi="Segoe-UI"/>
          <w:color w:val="64676E"/>
          <w:kern w:val="0"/>
          <w:sz w:val="26"/>
          <w:szCs w:val="26"/>
          <w:shd w:val="clear" w:color="auto" w:fill="FFFFFF"/>
          <w14:ligatures w14:val="none"/>
        </w:rPr>
        <w:t xml:space="preserve">M2L : </w:t>
      </w:r>
      <w:r w:rsidRPr="00FE1F2A">
        <w:rPr>
          <w:rFonts w:ascii="Segoe-UI" w:hAnsi="Segoe-UI"/>
          <w:color w:val="64676E"/>
          <w:kern w:val="0"/>
          <w:sz w:val="26"/>
          <w:szCs w:val="26"/>
          <w:shd w:val="clear" w:color="auto" w:fill="FFFFFF"/>
          <w14:ligatures w14:val="none"/>
        </w:rPr>
        <w:t>Comment faciliter l'accès aux espaces de réservation d’une salle ?</w:t>
      </w:r>
    </w:p>
    <w:p w14:paraId="33FFB016" w14:textId="77777777" w:rsidR="00933CF9" w:rsidRDefault="00933CF9"/>
    <w:sectPr w:rsidR="00933C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UI">
    <w:altName w:val="Segoe U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A04"/>
    <w:rsid w:val="00666236"/>
    <w:rsid w:val="00822A04"/>
    <w:rsid w:val="00933C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72FD5"/>
  <w15:chartTrackingRefBased/>
  <w15:docId w15:val="{2F0A2EC0-7931-497C-99EF-428180FE7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CF9"/>
  </w:style>
  <w:style w:type="paragraph" w:styleId="Titre1">
    <w:name w:val="heading 1"/>
    <w:basedOn w:val="Normal"/>
    <w:next w:val="Normal"/>
    <w:link w:val="Titre1Car"/>
    <w:uiPriority w:val="9"/>
    <w:qFormat/>
    <w:rsid w:val="00933CF9"/>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3CF9"/>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Words>
  <Characters>392</Characters>
  <Application>Microsoft Office Word</Application>
  <DocSecurity>0</DocSecurity>
  <Lines>3</Lines>
  <Paragraphs>1</Paragraphs>
  <ScaleCrop>false</ScaleCrop>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Nader El ashry</dc:creator>
  <cp:keywords/>
  <dc:description/>
  <cp:lastModifiedBy>Nader El ashry</cp:lastModifiedBy>
  <cp:revision>5</cp:revision>
  <dcterms:created xsi:type="dcterms:W3CDTF">2023-04-14T00:36:00Z</dcterms:created>
  <dcterms:modified xsi:type="dcterms:W3CDTF">2023-04-14T00:41:00Z</dcterms:modified>
</cp:coreProperties>
</file>