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BA63" w14:textId="6D444D29" w:rsidR="007E675D" w:rsidRDefault="004112FD" w:rsidP="004112FD">
      <w:pPr>
        <w:pStyle w:val="Titre1"/>
      </w:pPr>
      <w:r>
        <w:t xml:space="preserve">Projet AP2 : </w:t>
      </w:r>
      <w:r w:rsidRPr="004112FD">
        <w:t>Le laboratoire Galaxy Swiss Bourdin</w:t>
      </w:r>
    </w:p>
    <w:p w14:paraId="4FE68B21" w14:textId="77777777" w:rsidR="004112FD" w:rsidRPr="004112FD" w:rsidRDefault="004112FD" w:rsidP="004112FD"/>
    <w:p w14:paraId="0F34A203" w14:textId="559CADC4" w:rsidR="001722CB" w:rsidRDefault="004112FD" w:rsidP="004112FD">
      <w:pPr>
        <w:ind w:left="2124" w:firstLine="708"/>
      </w:pPr>
      <w:r>
        <w:rPr>
          <w:noProof/>
        </w:rPr>
        <w:drawing>
          <wp:inline distT="0" distB="0" distL="0" distR="0" wp14:anchorId="01DAC682" wp14:editId="46DB5E98">
            <wp:extent cx="2433402" cy="1343660"/>
            <wp:effectExtent l="0" t="0" r="5080" b="8890"/>
            <wp:docPr id="226034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014" cy="1344550"/>
                    </a:xfrm>
                    <a:prstGeom prst="rect">
                      <a:avLst/>
                    </a:prstGeom>
                    <a:noFill/>
                    <a:ln>
                      <a:noFill/>
                    </a:ln>
                  </pic:spPr>
                </pic:pic>
              </a:graphicData>
            </a:graphic>
          </wp:inline>
        </w:drawing>
      </w:r>
    </w:p>
    <w:p w14:paraId="3A397AC2" w14:textId="77777777" w:rsidR="004112FD" w:rsidRDefault="004112FD" w:rsidP="004112FD">
      <w:pPr>
        <w:ind w:left="2124" w:firstLine="708"/>
      </w:pPr>
    </w:p>
    <w:p w14:paraId="5CDF4E7F" w14:textId="77777777" w:rsidR="004112FD" w:rsidRDefault="004112FD" w:rsidP="004112FD">
      <w:pPr>
        <w:ind w:left="2124" w:firstLine="708"/>
      </w:pPr>
    </w:p>
    <w:p w14:paraId="0C804C18" w14:textId="654D0701" w:rsidR="001722CB" w:rsidRDefault="001722CB" w:rsidP="00FE1F2A">
      <w:pPr>
        <w:pStyle w:val="Titre1"/>
      </w:pPr>
      <w:bookmarkStart w:id="0" w:name="_Hlk132332216"/>
      <w:r>
        <w:t>Présentation :</w:t>
      </w:r>
    </w:p>
    <w:p w14:paraId="6CF41E9D" w14:textId="77777777" w:rsidR="001943EF" w:rsidRPr="001943EF" w:rsidRDefault="001943EF" w:rsidP="001943EF"/>
    <w:bookmarkEnd w:id="0"/>
    <w:p w14:paraId="2C6A2F46" w14:textId="19D93711" w:rsidR="00FE1F2A" w:rsidRDefault="00FE1F2A" w:rsidP="001722CB">
      <w:pPr>
        <w:rPr>
          <w:rFonts w:ascii="Segoe-UI" w:hAnsi="Segoe-UI"/>
          <w:color w:val="64676E"/>
          <w:kern w:val="0"/>
          <w:sz w:val="26"/>
          <w:szCs w:val="26"/>
          <w:shd w:val="clear" w:color="auto" w:fill="FFFFFF"/>
          <w14:ligatures w14:val="none"/>
        </w:rPr>
      </w:pPr>
      <w:r>
        <w:rPr>
          <w:rFonts w:ascii="Segoe-UI" w:hAnsi="Segoe-UI"/>
          <w:color w:val="64676E"/>
          <w:kern w:val="0"/>
          <w:sz w:val="26"/>
          <w:szCs w:val="26"/>
          <w:shd w:val="clear" w:color="auto" w:fill="FFFFFF"/>
          <w14:ligatures w14:val="none"/>
        </w:rPr>
        <w:t xml:space="preserve">GSB : </w:t>
      </w:r>
      <w:r w:rsidR="001722CB" w:rsidRPr="00FE1F2A">
        <w:rPr>
          <w:rFonts w:ascii="Segoe-UI" w:hAnsi="Segoe-UI"/>
          <w:color w:val="64676E"/>
          <w:kern w:val="0"/>
          <w:sz w:val="26"/>
          <w:szCs w:val="26"/>
          <w:shd w:val="clear" w:color="auto" w:fill="FFFFFF"/>
          <w14:ligatures w14:val="none"/>
        </w:rPr>
        <w:t>Le laboratoire Galaxy Swiss Bourdin (GSB) est le fruit de la fusion entre la grande entreprise américaine PharmaGalax, spécialisée dans la recherche sur les maladies virales comme le VIH(SIDA) et les hépatites, et le conglomérat européen Bourdin, qui se concentre sur les médicaments conventionnels. Ce regroupement a été réalisé en 2009 pour devenir le leader de l'industrie pharmaceutique. Le siège administratif de cette nouvelle entité, PharmaGalax-Bourdin Europe, a été établi à Paris.</w:t>
      </w:r>
    </w:p>
    <w:p w14:paraId="3970FA79" w14:textId="720CD38E" w:rsidR="00FE1F2A" w:rsidRDefault="001722CB" w:rsidP="001722CB">
      <w:pPr>
        <w:rPr>
          <w:rFonts w:ascii="Segoe-UI" w:hAnsi="Segoe-UI"/>
          <w:color w:val="64676E"/>
          <w:kern w:val="0"/>
          <w:sz w:val="26"/>
          <w:szCs w:val="26"/>
          <w:shd w:val="clear" w:color="auto" w:fill="FFFFFF"/>
          <w14:ligatures w14:val="none"/>
        </w:rPr>
      </w:pPr>
      <w:r w:rsidRPr="00FE1F2A">
        <w:rPr>
          <w:rFonts w:ascii="Segoe-UI" w:hAnsi="Segoe-UI"/>
          <w:color w:val="64676E"/>
          <w:kern w:val="0"/>
          <w:sz w:val="26"/>
          <w:szCs w:val="26"/>
          <w:shd w:val="clear" w:color="auto" w:fill="FFFFFF"/>
          <w14:ligatures w14:val="none"/>
        </w:rPr>
        <w:t>Le siège social de cette multinationale se trouve à Philadelphie, en Pennsylvanie, aux États-Unis.</w:t>
      </w:r>
    </w:p>
    <w:p w14:paraId="080B850F" w14:textId="77777777" w:rsidR="00FE1F2A" w:rsidRDefault="00FE1F2A" w:rsidP="00FE1F2A">
      <w:pPr>
        <w:pStyle w:val="Titre1"/>
      </w:pPr>
      <w:bookmarkStart w:id="1" w:name="_Hlk132332241"/>
      <w:r>
        <w:t>Problématiques :</w:t>
      </w:r>
    </w:p>
    <w:bookmarkEnd w:id="1"/>
    <w:p w14:paraId="159ECC2D" w14:textId="77777777" w:rsidR="00FE1F2A" w:rsidRDefault="00FE1F2A" w:rsidP="001722CB">
      <w:pPr>
        <w:rPr>
          <w:rFonts w:ascii="Segoe-UI" w:hAnsi="Segoe-UI"/>
          <w:color w:val="64676E"/>
          <w:kern w:val="0"/>
          <w:sz w:val="26"/>
          <w:szCs w:val="26"/>
          <w:shd w:val="clear" w:color="auto" w:fill="FFFFFF"/>
          <w14:ligatures w14:val="none"/>
        </w:rPr>
      </w:pPr>
    </w:p>
    <w:p w14:paraId="75DEF7C6" w14:textId="5EFAF72B" w:rsidR="00FE1F2A" w:rsidRDefault="00FE1F2A" w:rsidP="00FE1F2A">
      <w:pPr>
        <w:rPr>
          <w:rFonts w:ascii="Segoe-UI" w:hAnsi="Segoe-UI"/>
          <w:color w:val="64676E"/>
          <w:kern w:val="0"/>
          <w:sz w:val="26"/>
          <w:szCs w:val="26"/>
          <w:shd w:val="clear" w:color="auto" w:fill="FFFFFF"/>
          <w14:ligatures w14:val="none"/>
        </w:rPr>
      </w:pPr>
      <w:r>
        <w:rPr>
          <w:rFonts w:ascii="Segoe-UI" w:hAnsi="Segoe-UI"/>
          <w:color w:val="64676E"/>
          <w:kern w:val="0"/>
          <w:sz w:val="26"/>
          <w:szCs w:val="26"/>
          <w:shd w:val="clear" w:color="auto" w:fill="FFFFFF"/>
          <w14:ligatures w14:val="none"/>
        </w:rPr>
        <w:t xml:space="preserve">GSB : </w:t>
      </w:r>
      <w:r w:rsidRPr="00FE1F2A">
        <w:rPr>
          <w:rFonts w:ascii="Segoe-UI" w:hAnsi="Segoe-UI"/>
          <w:color w:val="64676E"/>
          <w:kern w:val="0"/>
          <w:sz w:val="26"/>
          <w:szCs w:val="26"/>
          <w:shd w:val="clear" w:color="auto" w:fill="FFFFFF"/>
          <w14:ligatures w14:val="none"/>
        </w:rPr>
        <w:t>Comment sont gérés les appels d’offres aux prestataires ?</w:t>
      </w:r>
    </w:p>
    <w:p w14:paraId="7A0F5B2E" w14:textId="77777777" w:rsidR="00FE1F2A" w:rsidRPr="00FE1F2A" w:rsidRDefault="00FE1F2A" w:rsidP="00FE1F2A">
      <w:pPr>
        <w:rPr>
          <w:rFonts w:ascii="Segoe-UI" w:hAnsi="Segoe-UI"/>
          <w:color w:val="64676E"/>
          <w:kern w:val="0"/>
          <w:sz w:val="26"/>
          <w:szCs w:val="26"/>
          <w:shd w:val="clear" w:color="auto" w:fill="FFFFFF"/>
          <w14:ligatures w14:val="none"/>
        </w:rPr>
      </w:pPr>
      <w:bookmarkStart w:id="2" w:name="_Hlk132332234"/>
    </w:p>
    <w:bookmarkEnd w:id="2"/>
    <w:p w14:paraId="79FCE4B5" w14:textId="77777777" w:rsidR="00FE1F2A" w:rsidRPr="00FE1F2A" w:rsidRDefault="00FE1F2A" w:rsidP="001722CB">
      <w:pPr>
        <w:rPr>
          <w:rFonts w:ascii="Segoe-UI" w:hAnsi="Segoe-UI"/>
          <w:color w:val="64676E"/>
          <w:kern w:val="0"/>
          <w:sz w:val="26"/>
          <w:szCs w:val="26"/>
          <w:shd w:val="clear" w:color="auto" w:fill="FFFFFF"/>
          <w14:ligatures w14:val="none"/>
        </w:rPr>
      </w:pPr>
    </w:p>
    <w:sectPr w:rsidR="00FE1F2A" w:rsidRPr="00FE1F2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E8FF1" w14:textId="77777777" w:rsidR="00B67899" w:rsidRDefault="00B67899" w:rsidP="00161CB8">
      <w:pPr>
        <w:spacing w:after="0" w:line="240" w:lineRule="auto"/>
      </w:pPr>
      <w:r>
        <w:separator/>
      </w:r>
    </w:p>
  </w:endnote>
  <w:endnote w:type="continuationSeparator" w:id="0">
    <w:p w14:paraId="01166A63" w14:textId="77777777" w:rsidR="00B67899" w:rsidRDefault="00B67899" w:rsidP="0016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6C76" w14:textId="77777777" w:rsidR="00161CB8" w:rsidRDefault="00161C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540A" w14:textId="77777777" w:rsidR="00161CB8" w:rsidRDefault="00161CB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744B" w14:textId="77777777" w:rsidR="00161CB8" w:rsidRDefault="00161C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7B5A" w14:textId="77777777" w:rsidR="00B67899" w:rsidRDefault="00B67899" w:rsidP="00161CB8">
      <w:pPr>
        <w:spacing w:after="0" w:line="240" w:lineRule="auto"/>
      </w:pPr>
      <w:r>
        <w:separator/>
      </w:r>
    </w:p>
  </w:footnote>
  <w:footnote w:type="continuationSeparator" w:id="0">
    <w:p w14:paraId="29BB0B68" w14:textId="77777777" w:rsidR="00B67899" w:rsidRDefault="00B67899" w:rsidP="00161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DCBE" w14:textId="77777777" w:rsidR="00161CB8" w:rsidRDefault="00161C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2B4C" w14:textId="77777777" w:rsidR="00161CB8" w:rsidRDefault="00161C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1438" w14:textId="77777777" w:rsidR="00161CB8" w:rsidRDefault="00161CB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DB"/>
    <w:rsid w:val="000A0663"/>
    <w:rsid w:val="000D7384"/>
    <w:rsid w:val="00161CB8"/>
    <w:rsid w:val="001722CB"/>
    <w:rsid w:val="001943EF"/>
    <w:rsid w:val="004112FD"/>
    <w:rsid w:val="00451989"/>
    <w:rsid w:val="007E675D"/>
    <w:rsid w:val="00851E7B"/>
    <w:rsid w:val="00917CC4"/>
    <w:rsid w:val="00B67899"/>
    <w:rsid w:val="00C517DB"/>
    <w:rsid w:val="00CC5F25"/>
    <w:rsid w:val="00FE1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3506"/>
  <w15:chartTrackingRefBased/>
  <w15:docId w15:val="{B8408AF4-E774-4692-BE57-79794996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1CB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1CB8"/>
    <w:rPr>
      <w:rFonts w:asciiTheme="majorHAnsi" w:eastAsiaTheme="majorEastAsia" w:hAnsiTheme="majorHAnsi" w:cstheme="majorBidi"/>
      <w:color w:val="2F5496" w:themeColor="accent1" w:themeShade="BF"/>
      <w:kern w:val="0"/>
      <w:sz w:val="32"/>
      <w:szCs w:val="32"/>
      <w14:ligatures w14:val="none"/>
    </w:rPr>
  </w:style>
  <w:style w:type="paragraph" w:styleId="En-tte">
    <w:name w:val="header"/>
    <w:basedOn w:val="Normal"/>
    <w:link w:val="En-tteCar"/>
    <w:uiPriority w:val="99"/>
    <w:unhideWhenUsed/>
    <w:rsid w:val="00161CB8"/>
    <w:pPr>
      <w:tabs>
        <w:tab w:val="center" w:pos="4536"/>
        <w:tab w:val="right" w:pos="9072"/>
      </w:tabs>
      <w:spacing w:after="0" w:line="240" w:lineRule="auto"/>
    </w:pPr>
  </w:style>
  <w:style w:type="character" w:customStyle="1" w:styleId="En-tteCar">
    <w:name w:val="En-tête Car"/>
    <w:basedOn w:val="Policepardfaut"/>
    <w:link w:val="En-tte"/>
    <w:uiPriority w:val="99"/>
    <w:rsid w:val="00161CB8"/>
  </w:style>
  <w:style w:type="paragraph" w:styleId="Pieddepage">
    <w:name w:val="footer"/>
    <w:basedOn w:val="Normal"/>
    <w:link w:val="PieddepageCar"/>
    <w:uiPriority w:val="99"/>
    <w:unhideWhenUsed/>
    <w:rsid w:val="00161C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635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9</cp:revision>
  <dcterms:created xsi:type="dcterms:W3CDTF">2023-04-13T22:51:00Z</dcterms:created>
  <dcterms:modified xsi:type="dcterms:W3CDTF">2023-04-18T19:39:00Z</dcterms:modified>
</cp:coreProperties>
</file>