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ErpLite Documentation</w:t>
      </w:r>
    </w:p>
    <w:p>
      <w:r>
        <w:t xml:space="preserve">Documentation for the </w:t>
      </w:r>
      <w:r>
        <w:rPr>
          <w:b/>
        </w:rPr>
        <w:t>ErpLite</w:t>
      </w:r>
      <w:r>
        <w:t xml:space="preserve"> accounting &amp; sales ERP (Angular 17 frontend · CashVanApi .NET backend · SQL Server).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t>[SYSTEM_DOCUMENTATION.md](./SYSTEM_DOCUMENTATION.md)</w:t>
            </w:r>
          </w:p>
        </w:tc>
        <w:tc>
          <w:tcPr>
            <w:tcW w:type="dxa" w:w="4320"/>
          </w:tcPr>
          <w:p>
            <w:r/>
            <w:r>
              <w:t>Purpose, technology stack, architecture (multi‑tenant), auth &amp; permissions, module catalog, data model, deployment (IIS + cache‑busting).</w:t>
            </w:r>
          </w:p>
        </w:tc>
      </w:tr>
      <w:tr>
        <w:tc>
          <w:tcPr>
            <w:tcW w:type="dxa" w:w="4320"/>
          </w:tcPr>
          <w:p>
            <w:r/>
            <w:r>
              <w:t>[USE_CASES.md](./USE_CASES.md)</w:t>
            </w:r>
          </w:p>
        </w:tc>
        <w:tc>
          <w:tcPr>
            <w:tcW w:type="dxa" w:w="4320"/>
          </w:tcPr>
          <w:p>
            <w:r/>
            <w:r>
              <w:t>Actors and actor‑level use cases (login, GL, vouchers, cheques, sales, definitions, reporting, administration) with flows and a permission map.</w:t>
            </w:r>
          </w:p>
        </w:tc>
      </w:tr>
    </w:tbl>
    <w:p/>
    <w:p>
      <w:pPr>
        <w:pStyle w:val="Heading2"/>
      </w:pPr>
      <w:r>
        <w:t>Quick facts</w:t>
      </w:r>
    </w:p>
    <w:p>
      <w:pPr>
        <w:pStyle w:val="ListBullet"/>
      </w:pPr>
      <w:r>
        <w:rPr>
          <w:b/>
        </w:rPr>
        <w:t>Default landing page:</w:t>
      </w:r>
      <w:r>
        <w:t xml:space="preserve"> </w:t>
      </w:r>
      <w:r>
        <w:rPr>
          <w:rFonts w:ascii="Consolas" w:hAnsi="Consolas"/>
          <w:color w:val="C0392B"/>
          <w:sz w:val="19"/>
        </w:rPr>
        <w:t>/home2</w:t>
      </w:r>
      <w:r>
        <w:t xml:space="preserve"> (voucher analytics dashboard + shortcuts).</w:t>
      </w:r>
    </w:p>
    <w:p>
      <w:pPr>
        <w:pStyle w:val="ListBullet"/>
      </w:pPr>
      <w:r>
        <w:rPr>
          <w:b/>
        </w:rPr>
        <w:t>Languages:</w:t>
      </w:r>
      <w:r>
        <w:t xml:space="preserve"> Arabic / English (</w:t>
      </w:r>
      <w:r>
        <w:rPr>
          <w:rFonts w:ascii="Consolas" w:hAnsi="Consolas"/>
          <w:color w:val="C0392B"/>
          <w:sz w:val="19"/>
        </w:rPr>
        <w:t>src/assets/i18n/ar.json</w:t>
      </w:r>
      <w:r>
        <w:t xml:space="preserve">, </w:t>
      </w:r>
      <w:r>
        <w:rPr>
          <w:rFonts w:ascii="Consolas" w:hAnsi="Consolas"/>
          <w:color w:val="C0392B"/>
          <w:sz w:val="19"/>
        </w:rPr>
        <w:t>en.json</w:t>
      </w:r>
      <w:r>
        <w:t xml:space="preserve">) — add new keys to </w:t>
      </w:r>
      <w:r>
        <w:rPr>
          <w:b/>
        </w:rPr>
        <w:t>both</w:t>
      </w:r>
      <w:r>
        <w:t>.</w:t>
      </w:r>
    </w:p>
    <w:p>
      <w:pPr>
        <w:pStyle w:val="ListBullet"/>
      </w:pPr>
      <w:r>
        <w:rPr>
          <w:b/>
        </w:rPr>
        <w:t>Build:</w:t>
      </w:r>
      <w:r>
        <w:t xml:space="preserve"> </w:t>
      </w:r>
      <w:r>
        <w:rPr>
          <w:rFonts w:ascii="Consolas" w:hAnsi="Consolas"/>
          <w:color w:val="C0392B"/>
          <w:sz w:val="19"/>
        </w:rPr>
        <w:t>npm run build</w:t>
      </w:r>
      <w:r>
        <w:t xml:space="preserve"> → </w:t>
      </w:r>
      <w:r>
        <w:rPr>
          <w:rFonts w:ascii="Consolas" w:hAnsi="Consolas"/>
          <w:color w:val="C0392B"/>
          <w:sz w:val="19"/>
        </w:rPr>
        <w:t>dist/preview/browser/</w:t>
      </w:r>
      <w:r>
        <w:t xml:space="preserve"> (production). Bump </w:t>
      </w:r>
      <w:r>
        <w:rPr>
          <w:rFonts w:ascii="Consolas" w:hAnsi="Consolas"/>
          <w:color w:val="C0392B"/>
          <w:sz w:val="19"/>
        </w:rPr>
        <w:t>appVersion</w:t>
      </w:r>
      <w:r>
        <w:t xml:space="preserve"> (env files + </w:t>
      </w:r>
      <w:r>
        <w:rPr>
          <w:rFonts w:ascii="Consolas" w:hAnsi="Consolas"/>
          <w:color w:val="C0392B"/>
          <w:sz w:val="19"/>
        </w:rPr>
        <w:t>app.component.ts</w:t>
      </w:r>
      <w:r>
        <w:t>) on every deploy.</w:t>
      </w:r>
    </w:p>
    <w:p>
      <w:pPr>
        <w:pStyle w:val="ListBullet"/>
      </w:pPr>
      <w:r>
        <w:rPr>
          <w:b/>
        </w:rPr>
        <w:t>API:</w:t>
      </w:r>
      <w:r>
        <w:t xml:space="preserve"> </w:t>
      </w:r>
      <w:r>
        <w:rPr>
          <w:rFonts w:ascii="Consolas" w:hAnsi="Consolas"/>
          <w:color w:val="C0392B"/>
          <w:sz w:val="19"/>
        </w:rPr>
        <w:t>CashVanApi</w:t>
      </w:r>
      <w:r>
        <w:t xml:space="preserve"> — feature layering DTO→Repository(Dapper)→Service→Controller, stored‑procedure driven, JWT auth.</w:t>
      </w:r>
    </w:p>
    <w:p>
      <w:pPr>
        <w:pStyle w:val="ListBullet"/>
      </w:pPr>
      <w:r>
        <w:rPr>
          <w:b/>
        </w:rPr>
        <w:t>Databases:</w:t>
      </w:r>
      <w:r>
        <w:t xml:space="preserve"> tenant DBs (</w:t>
      </w:r>
      <w:r>
        <w:rPr>
          <w:rFonts w:ascii="Consolas" w:hAnsi="Consolas"/>
          <w:color w:val="C0392B"/>
          <w:sz w:val="19"/>
        </w:rPr>
        <w:t>SC_ERP*</w:t>
      </w:r>
      <w:r>
        <w:t xml:space="preserve">) for accounting + permissions; </w:t>
      </w:r>
      <w:r>
        <w:rPr>
          <w:rFonts w:ascii="Consolas" w:hAnsi="Consolas"/>
          <w:color w:val="C0392B"/>
          <w:sz w:val="19"/>
        </w:rPr>
        <w:t>SEC_ERP</w:t>
      </w:r>
      <w:r>
        <w:t xml:space="preserve"> central users; </w:t>
      </w:r>
      <w:r>
        <w:rPr>
          <w:rFonts w:ascii="Consolas" w:hAnsi="Consolas"/>
          <w:color w:val="C0392B"/>
          <w:sz w:val="19"/>
        </w:rPr>
        <w:t>ERP_Manager</w:t>
      </w:r>
      <w:r>
        <w:t xml:space="preserve"> connection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