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ErpLite — System Documentation</w:t>
      </w:r>
    </w:p>
    <w:p>
      <w:pPr>
        <w:ind w:left="432"/>
      </w:pPr>
      <w:r>
        <w:rPr>
          <w:i/>
          <w:color w:val="555555"/>
        </w:rPr>
        <w:t>Skyline Innovation — Cloud ERP / Accounting platform</w:t>
      </w:r>
    </w:p>
    <w:p>
      <w:pPr>
        <w:ind w:left="432"/>
      </w:pPr>
      <w:r>
        <w:rPr>
          <w:i/>
          <w:color w:val="555555"/>
        </w:rPr>
        <w:t xml:space="preserve">Frontend: </w:t>
      </w:r>
      <w:r>
        <w:rPr>
          <w:b/>
          <w:i/>
          <w:color w:val="555555"/>
        </w:rPr>
        <w:t>ErpLite</w:t>
      </w:r>
      <w:r>
        <w:rPr>
          <w:i/>
          <w:color w:val="555555"/>
        </w:rPr>
        <w:t xml:space="preserve"> (Angular 17) · Backend: </w:t>
      </w:r>
      <w:r>
        <w:rPr>
          <w:b/>
          <w:i/>
          <w:color w:val="555555"/>
        </w:rPr>
        <w:t>CashVanApi</w:t>
      </w:r>
      <w:r>
        <w:rPr>
          <w:i/>
          <w:color w:val="555555"/>
        </w:rPr>
        <w:t xml:space="preserve"> (.NET / ASP.NET Core) · Database: </w:t>
      </w:r>
      <w:r>
        <w:rPr>
          <w:b/>
          <w:i/>
          <w:color w:val="555555"/>
        </w:rPr>
        <w:t>SQL Server</w:t>
      </w:r>
      <w:r>
        <w:rPr>
          <w:i/>
          <w:color w:val="555555"/>
        </w:rPr>
        <w:t xml:space="preserve"> (multi‑tenant)</w:t>
      </w:r>
    </w:p>
    <w:p>
      <w:pPr>
        <w:pStyle w:val="Heading2"/>
      </w:pPr>
      <w:r>
        <w:t>1. Purpose &amp; Scope</w:t>
      </w:r>
    </w:p>
    <w:p>
      <w:r>
        <w:t xml:space="preserve">ErpLite is a bilingual (Arabic / English) </w:t>
      </w:r>
      <w:r>
        <w:rPr>
          <w:b/>
        </w:rPr>
        <w:t>accounting &amp; sales ERP</w:t>
      </w:r>
      <w:r>
        <w:t xml:space="preserve"> delivered as a web application. It covers the full</w:t>
      </w:r>
    </w:p>
    <w:p>
      <w:r>
        <w:t>financial cycle for small‑to‑mid businesses:</w:t>
      </w:r>
    </w:p>
    <w:p>
      <w:pPr>
        <w:pStyle w:val="ListBullet"/>
      </w:pPr>
      <w:r>
        <w:rPr>
          <w:b/>
        </w:rPr>
        <w:t>General Ledger</w:t>
      </w:r>
      <w:r>
        <w:t xml:space="preserve"> – chart of accounts, journal vouchers, posting/un‑posting, year‑end closing.</w:t>
      </w:r>
    </w:p>
    <w:p>
      <w:pPr>
        <w:pStyle w:val="ListBullet"/>
      </w:pPr>
      <w:r>
        <w:rPr>
          <w:b/>
        </w:rPr>
        <w:t>Receivables &amp; Payables</w:t>
      </w:r>
      <w:r>
        <w:t xml:space="preserve"> – customers, suppliers, receipt &amp; payment vouchers.</w:t>
      </w:r>
    </w:p>
    <w:p>
      <w:pPr>
        <w:pStyle w:val="ListBullet"/>
      </w:pPr>
      <w:r>
        <w:rPr>
          <w:b/>
        </w:rPr>
        <w:t>Cheque management</w:t>
      </w:r>
      <w:r>
        <w:t xml:space="preserve"> – full incoming/outgoing cheque lifecycle (deposit, collection, return, endorsement, withdrawal, tracking).</w:t>
      </w:r>
    </w:p>
    <w:p>
      <w:pPr>
        <w:pStyle w:val="ListBullet"/>
      </w:pPr>
      <w:r>
        <w:rPr>
          <w:b/>
        </w:rPr>
        <w:t>Sales &amp; Invoicing</w:t>
      </w:r>
      <w:r>
        <w:t xml:space="preserve"> – sales / service / virtual invoices, transfers, refunds, and Jordan e‑invoicing (JoFawtara / Fotara) QR.</w:t>
      </w:r>
    </w:p>
    <w:p>
      <w:pPr>
        <w:pStyle w:val="ListBullet"/>
      </w:pPr>
      <w:r>
        <w:rPr>
          <w:b/>
        </w:rPr>
        <w:t>Reporting</w:t>
      </w:r>
      <w:r>
        <w:t xml:space="preserve"> – statements, trial balance, income statement, balance sheet, aging, cost‑center and cheque reports, dashboards.</w:t>
      </w:r>
    </w:p>
    <w:p>
      <w:pPr>
        <w:pStyle w:val="ListBullet"/>
      </w:pPr>
      <w:r>
        <w:rPr>
          <w:b/>
        </w:rPr>
        <w:t>Definitions</w:t>
      </w:r>
      <w:r>
        <w:t xml:space="preserve"> – banks, currencies, taxes, stamps, cost centers, account groups.</w:t>
      </w:r>
    </w:p>
    <w:p>
      <w:pPr>
        <w:pStyle w:val="ListBullet"/>
      </w:pPr>
      <w:r>
        <w:rPr>
          <w:b/>
        </w:rPr>
        <w:t>Administration</w:t>
      </w:r>
      <w:r>
        <w:t xml:space="preserve"> – company info, appearance/theme, </w:t>
      </w:r>
      <w:r>
        <w:rPr>
          <w:b/>
        </w:rPr>
        <w:t>fine‑grained permissions</w:t>
      </w:r>
      <w:r>
        <w:t>, activity log.</w:t>
      </w:r>
    </w:p>
    <w:p>
      <w:pPr>
        <w:pStyle w:val="Heading2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t>Frontend</w:t>
            </w:r>
          </w:p>
        </w:tc>
        <w:tc>
          <w:tcPr>
            <w:tcW w:type="dxa" w:w="4320"/>
          </w:tcPr>
          <w:p>
            <w:r/>
            <w:r>
              <w:t xml:space="preserve">Angular </w:t>
            </w:r>
            <w:r>
              <w:rPr>
                <w:b/>
              </w:rPr>
              <w:t>17</w:t>
            </w:r>
            <w:r>
              <w:t xml:space="preserve"> (standalone components), TypeScript</w:t>
            </w:r>
          </w:p>
        </w:tc>
      </w:tr>
      <w:tr>
        <w:tc>
          <w:tcPr>
            <w:tcW w:type="dxa" w:w="4320"/>
          </w:tcPr>
          <w:p>
            <w:r/>
            <w:r>
              <w:t>UI</w:t>
            </w:r>
          </w:p>
        </w:tc>
        <w:tc>
          <w:tcPr>
            <w:tcW w:type="dxa" w:w="4320"/>
          </w:tcPr>
          <w:p>
            <w:r/>
            <w:r>
              <w:t xml:space="preserve">Bootstrap 5.3, Angular Material 17, </w:t>
            </w:r>
            <w:r>
              <w:rPr>
                <w:rFonts w:ascii="Consolas" w:hAnsi="Consolas"/>
                <w:color w:val="C0392B"/>
                <w:sz w:val="19"/>
              </w:rPr>
              <w:t>@ng-select/ng-select</w:t>
            </w:r>
            <w:r>
              <w:t>, Tabler/Bootstrap icons</w:t>
            </w:r>
          </w:p>
        </w:tc>
      </w:tr>
      <w:tr>
        <w:tc>
          <w:tcPr>
            <w:tcW w:type="dxa" w:w="4320"/>
          </w:tcPr>
          <w:p>
            <w:r/>
            <w:r>
              <w:t>Charts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ng-apexcharts</w:t>
            </w:r>
            <w:r>
              <w:t xml:space="preserve"> (ApexCharts)</w:t>
            </w:r>
          </w:p>
        </w:tc>
      </w:tr>
      <w:tr>
        <w:tc>
          <w:tcPr>
            <w:tcW w:type="dxa" w:w="4320"/>
          </w:tcPr>
          <w:p>
            <w:r/>
            <w:r>
              <w:t>i18n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@ngx-translate/core</w:t>
            </w:r>
            <w:r>
              <w:t xml:space="preserve"> (Arabic </w:t>
            </w:r>
            <w:r>
              <w:rPr>
                <w:rFonts w:ascii="Consolas" w:hAnsi="Consolas"/>
                <w:color w:val="C0392B"/>
                <w:sz w:val="19"/>
              </w:rPr>
              <w:t>ar.json</w:t>
            </w:r>
            <w:r>
              <w:t xml:space="preserve"> / English </w:t>
            </w:r>
            <w:r>
              <w:rPr>
                <w:rFonts w:ascii="Consolas" w:hAnsi="Consolas"/>
                <w:color w:val="C0392B"/>
                <w:sz w:val="19"/>
              </w:rPr>
              <w:t>en.json</w:t>
            </w:r>
            <w:r>
              <w:t>), RTL/LTR switching</w:t>
            </w:r>
          </w:p>
        </w:tc>
      </w:tr>
      <w:tr>
        <w:tc>
          <w:tcPr>
            <w:tcW w:type="dxa" w:w="4320"/>
          </w:tcPr>
          <w:p>
            <w:r/>
            <w:r>
              <w:t>Notifications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ngx-toastr</w:t>
            </w:r>
          </w:p>
        </w:tc>
      </w:tr>
      <w:tr>
        <w:tc>
          <w:tcPr>
            <w:tcW w:type="dxa" w:w="4320"/>
          </w:tcPr>
          <w:p>
            <w:r/>
            <w:r>
              <w:t>Excel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xlsx</w:t>
            </w:r>
            <w:r>
              <w:t xml:space="preserve"> (SheetJS) for import/export</w:t>
            </w:r>
          </w:p>
        </w:tc>
      </w:tr>
      <w:tr>
        <w:tc>
          <w:tcPr>
            <w:tcW w:type="dxa" w:w="4320"/>
          </w:tcPr>
          <w:p>
            <w:r/>
            <w:r>
              <w:t>Backend</w:t>
            </w:r>
          </w:p>
        </w:tc>
        <w:tc>
          <w:tcPr>
            <w:tcW w:type="dxa" w:w="4320"/>
          </w:tcPr>
          <w:p>
            <w:r/>
            <w:r>
              <w:t xml:space="preserve">ASP.NET Core Web API (.NET), </w:t>
            </w:r>
            <w:r>
              <w:rPr>
                <w:b/>
              </w:rPr>
              <w:t>Dapper</w:t>
            </w:r>
            <w:r>
              <w:t xml:space="preserve"> (micro‑ORM)</w:t>
            </w:r>
          </w:p>
        </w:tc>
      </w:tr>
      <w:tr>
        <w:tc>
          <w:tcPr>
            <w:tcW w:type="dxa" w:w="4320"/>
          </w:tcPr>
          <w:p>
            <w:r/>
            <w:r>
              <w:t>Database</w:t>
            </w:r>
          </w:p>
        </w:tc>
        <w:tc>
          <w:tcPr>
            <w:tcW w:type="dxa" w:w="4320"/>
          </w:tcPr>
          <w:p>
            <w:r/>
            <w:r>
              <w:t>Microsoft SQL Server, stored‑procedure driven</w:t>
            </w:r>
          </w:p>
        </w:tc>
      </w:tr>
      <w:tr>
        <w:tc>
          <w:tcPr>
            <w:tcW w:type="dxa" w:w="4320"/>
          </w:tcPr>
          <w:p>
            <w:r/>
            <w:r>
              <w:t>Auth</w:t>
            </w:r>
          </w:p>
        </w:tc>
        <w:tc>
          <w:tcPr>
            <w:tcW w:type="dxa" w:w="4320"/>
          </w:tcPr>
          <w:p>
            <w:r/>
            <w:r>
              <w:t>JWT bearer tokens with permission claims</w:t>
            </w:r>
          </w:p>
        </w:tc>
      </w:tr>
      <w:tr>
        <w:tc>
          <w:tcPr>
            <w:tcW w:type="dxa" w:w="4320"/>
          </w:tcPr>
          <w:p>
            <w:r/>
            <w:r>
              <w:t>Hosting</w:t>
            </w:r>
          </w:p>
        </w:tc>
        <w:tc>
          <w:tcPr>
            <w:tcW w:type="dxa" w:w="4320"/>
          </w:tcPr>
          <w:p>
            <w:r/>
            <w:r>
              <w:t xml:space="preserve">IIS (frontend SPA + </w:t>
            </w:r>
            <w:r>
              <w:rPr>
                <w:rFonts w:ascii="Consolas" w:hAnsi="Consolas"/>
                <w:color w:val="C0392B"/>
                <w:sz w:val="19"/>
              </w:rPr>
              <w:t>web.config</w:t>
            </w:r>
            <w:r>
              <w:t xml:space="preserve"> rewrite), Kestrel/IIS (API)</w:t>
            </w:r>
          </w:p>
        </w:tc>
      </w:tr>
    </w:tbl>
    <w:p/>
    <w:p>
      <w:pPr>
        <w:pStyle w:val="Heading2"/>
      </w:pPr>
      <w:r>
        <w:t>3. Architecture</w:t>
      </w:r>
    </w:p>
    <w:p>
      <w:pPr>
        <w:ind w:left="216"/>
        <w:shd w:val="clear" w:fill="F2F3F5"/>
      </w:pPr>
      <w:r>
        <w:rPr>
          <w:rFonts w:ascii="Consolas" w:hAnsi="Consolas"/>
          <w:sz w:val="17"/>
        </w:rPr>
        <w:t>┌──────────────────────────┐      HTTPS/JSON      ┌──────────────────────────┐</w:t>
        <w:br/>
        <w:t>│   ErpLite (Angular SPA)   │  ───────────────▶   │   CashVanApi (.NET API)   │</w:t>
        <w:br/>
        <w:t>│   served by IIS            │  ◀───────────────   │   Controllers→Services→   │</w:t>
        <w:br/>
        <w:t>│   web.config SPA rewrite   │      JWT bearer      │   Repositories (Dapper)   │</w:t>
        <w:br/>
        <w:t>└──────────────────────────┘                      └────────────┬─────────────┘</w:t>
        <w:br/>
        <w:t xml:space="preserve">                                                                │ SQL (stored procs)</w:t>
        <w:br/>
        <w:t xml:space="preserve">                       ┌────────────────────────────────────────┼───────────────────────────┐</w:t>
        <w:br/>
        <w:t xml:space="preserve">                       ▼                                         ▼                           ▼</w:t>
        <w:br/>
        <w:t xml:space="preserve">              ┌─────────────────┐                     ┌────────────────────┐       ┌────────────────────┐</w:t>
        <w:br/>
        <w:t xml:space="preserve">              │  ERP_Manager     │  login → resolve    │  SEC_ERP            │       │  Tenant DBs         │</w:t>
        <w:br/>
        <w:t xml:space="preserve">              │  (connection      │  user's server/db   │  (central security: │       │  SC_ERP49 / 78 /…   │</w:t>
        <w:br/>
        <w:t xml:space="preserve">              │   registry)       │                     │  SEC_USERS_DEF, …) │       │  (accounting data + │</w:t>
        <w:br/>
        <w:t xml:space="preserve">              └─────────────────┘                     └────────────────────┘       │   Permissions/Roles)│</w:t>
        <w:br/>
        <w:t xml:space="preserve">                                                                                     └────────────────────┘</w:t>
      </w:r>
    </w:p>
    <w:p>
      <w:pPr>
        <w:pStyle w:val="Heading3"/>
      </w:pPr>
      <w:r>
        <w:t>3.1 Layered backend (per feature)</w:t>
      </w:r>
    </w:p>
    <w:p>
      <w:r>
        <w:t xml:space="preserve">Each feature follows: </w:t>
      </w:r>
      <w:r>
        <w:rPr>
          <w:b/>
        </w:rPr>
        <w:t>DTO → IRepository → Repository (Dapper) → IService → Service → Controller</w:t>
      </w:r>
      <w:r>
        <w:t>, registered in</w:t>
      </w:r>
    </w:p>
    <w:p>
      <w:r>
        <w:rPr>
          <w:rFonts w:ascii="Consolas" w:hAnsi="Consolas"/>
          <w:color w:val="C0392B"/>
          <w:sz w:val="19"/>
        </w:rPr>
        <w:t>Program.cs</w:t>
      </w:r>
      <w:r>
        <w:t xml:space="preserve">. Repositories call </w:t>
      </w:r>
      <w:r>
        <w:rPr>
          <w:b/>
        </w:rPr>
        <w:t>stored procedures</w:t>
      </w:r>
      <w:r>
        <w:t xml:space="preserve"> via </w:t>
      </w:r>
      <w:r>
        <w:rPr>
          <w:rFonts w:ascii="Consolas" w:hAnsi="Consolas"/>
          <w:color w:val="C0392B"/>
          <w:sz w:val="19"/>
        </w:rPr>
        <w:t>_dbContext.CreateConnection()</w:t>
      </w:r>
      <w:r>
        <w:t>.</w:t>
      </w:r>
    </w:p>
    <w:p>
      <w:pPr>
        <w:pStyle w:val="Heading3"/>
      </w:pPr>
      <w:r>
        <w:t>3.2 Multi‑tenant connection model</w:t>
      </w:r>
    </w:p>
    <w:p>
      <w:pPr>
        <w:pStyle w:val="ListBullet"/>
      </w:pPr>
      <w:r>
        <w:rPr>
          <w:b/>
        </w:rPr>
        <w:t>`ERP_Manager`</w:t>
      </w:r>
      <w:r>
        <w:t xml:space="preserve"> holds the registry that maps a login → its SQL server, tenant database and credentials.</w:t>
      </w:r>
    </w:p>
    <w:p>
      <w:pPr>
        <w:pStyle w:val="ListBullet"/>
      </w:pPr>
      <w:r>
        <w:t xml:space="preserve">On login, </w:t>
      </w:r>
      <w:r>
        <w:rPr>
          <w:rFonts w:ascii="Consolas" w:hAnsi="Consolas"/>
          <w:color w:val="C0392B"/>
          <w:sz w:val="19"/>
        </w:rPr>
        <w:t>AuthRepository.GetDatabaseConnection</w:t>
      </w:r>
      <w:r>
        <w:t xml:space="preserve"> resolves the user’s connection; subsequent requests run against the</w:t>
      </w:r>
    </w:p>
    <w:p>
      <w:r>
        <w:rPr>
          <w:b/>
        </w:rPr>
        <w:t>tenant database</w:t>
      </w:r>
      <w:r>
        <w:t xml:space="preserve"> (e.g. </w:t>
      </w:r>
      <w:r>
        <w:rPr>
          <w:rFonts w:ascii="Consolas" w:hAnsi="Consolas"/>
          <w:color w:val="C0392B"/>
          <w:sz w:val="19"/>
        </w:rPr>
        <w:t>SC_ERP49</w:t>
      </w:r>
      <w:r>
        <w:t xml:space="preserve">), set per‑request by </w:t>
      </w:r>
      <w:r>
        <w:rPr>
          <w:rFonts w:ascii="Consolas" w:hAnsi="Consolas"/>
          <w:color w:val="C0392B"/>
          <w:sz w:val="19"/>
        </w:rPr>
        <w:t>DatabaseConnectionMiddleware</w:t>
      </w:r>
      <w:r>
        <w:t>.</w:t>
      </w:r>
    </w:p>
    <w:p>
      <w:pPr>
        <w:pStyle w:val="ListBullet"/>
      </w:pPr>
      <w:r>
        <w:rPr>
          <w:b/>
        </w:rPr>
        <w:t>`SEC_ERP`</w:t>
      </w:r>
      <w:r>
        <w:t xml:space="preserve"> is the central security database holding the master </w:t>
      </w:r>
      <w:r>
        <w:rPr>
          <w:b/>
        </w:rPr>
        <w:t>user list</w:t>
      </w:r>
      <w:r>
        <w:t xml:space="preserve"> (</w:t>
      </w:r>
      <w:r>
        <w:rPr>
          <w:rFonts w:ascii="Consolas" w:hAnsi="Consolas"/>
          <w:color w:val="C0392B"/>
          <w:sz w:val="19"/>
        </w:rPr>
        <w:t>SEC_USERS_DEF</w:t>
      </w:r>
      <w:r>
        <w:t>). The permission‑grant</w:t>
      </w:r>
    </w:p>
    <w:p>
      <w:r>
        <w:t>tables (</w:t>
      </w:r>
      <w:r>
        <w:rPr>
          <w:rFonts w:ascii="Consolas" w:hAnsi="Consolas"/>
          <w:color w:val="C0392B"/>
          <w:sz w:val="19"/>
        </w:rPr>
        <w:t>Permissions</w:t>
      </w:r>
      <w:r>
        <w:t xml:space="preserve">, </w:t>
      </w:r>
      <w:r>
        <w:rPr>
          <w:rFonts w:ascii="Consolas" w:hAnsi="Consolas"/>
          <w:color w:val="C0392B"/>
          <w:sz w:val="19"/>
        </w:rPr>
        <w:t>UserPermissions</w:t>
      </w:r>
      <w:r>
        <w:t xml:space="preserve">, </w:t>
      </w:r>
      <w:r>
        <w:rPr>
          <w:rFonts w:ascii="Consolas" w:hAnsi="Consolas"/>
          <w:color w:val="C0392B"/>
          <w:sz w:val="19"/>
        </w:rPr>
        <w:t>Roles</w:t>
      </w:r>
      <w:r>
        <w:t xml:space="preserve">, </w:t>
      </w:r>
      <w:r>
        <w:rPr>
          <w:rFonts w:ascii="Consolas" w:hAnsi="Consolas"/>
          <w:color w:val="C0392B"/>
          <w:sz w:val="19"/>
        </w:rPr>
        <w:t>RolePermissions</w:t>
      </w:r>
      <w:r>
        <w:t xml:space="preserve">, </w:t>
      </w:r>
      <w:r>
        <w:rPr>
          <w:rFonts w:ascii="Consolas" w:hAnsi="Consolas"/>
          <w:color w:val="C0392B"/>
          <w:sz w:val="19"/>
        </w:rPr>
        <w:t>UserRoles</w:t>
      </w:r>
      <w:r>
        <w:t xml:space="preserve">) live </w:t>
      </w:r>
      <w:r>
        <w:rPr>
          <w:b/>
        </w:rPr>
        <w:t>inside each tenant DB</w:t>
      </w:r>
      <w:r>
        <w:t>;</w:t>
      </w:r>
    </w:p>
    <w:p>
      <w:r>
        <w:t xml:space="preserve">the admin “users” list reads </w:t>
      </w:r>
      <w:r>
        <w:rPr>
          <w:rFonts w:ascii="Consolas" w:hAnsi="Consolas"/>
          <w:color w:val="C0392B"/>
          <w:sz w:val="19"/>
        </w:rPr>
        <w:t>SEC_ERP.dbo.SEC_USERS_DEF</w:t>
      </w:r>
      <w:r>
        <w:t xml:space="preserve"> via a cross‑database reference.</w:t>
      </w:r>
    </w:p>
    <w:p>
      <w:pPr>
        <w:pStyle w:val="Heading2"/>
      </w:pPr>
      <w:r>
        <w:t>4. Authentication &amp; Authorization</w:t>
      </w:r>
    </w:p>
    <w:p>
      <w:pPr>
        <w:pStyle w:val="Heading3"/>
      </w:pPr>
      <w:r>
        <w:t>4.1 Authentication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POST /api/Auth</w:t>
      </w:r>
      <w:r>
        <w:t xml:space="preserve"> validates credentials against the resolved security DB and returns a </w:t>
      </w:r>
      <w:r>
        <w:rPr>
          <w:b/>
        </w:rPr>
        <w:t>JWT</w:t>
      </w:r>
      <w:r>
        <w:t xml:space="preserve"> containing user id,</w:t>
      </w:r>
    </w:p>
    <w:p>
      <w:r>
        <w:t xml:space="preserve">roles, the tenant database name, and </w:t>
      </w:r>
      <w:r>
        <w:rPr>
          <w:b/>
        </w:rPr>
        <w:t>permission claims</w:t>
      </w:r>
      <w:r>
        <w:t>.</w:t>
      </w:r>
    </w:p>
    <w:p>
      <w:pPr>
        <w:pStyle w:val="ListBullet"/>
      </w:pPr>
      <w:r>
        <w:t xml:space="preserve">The token is attached as </w:t>
      </w:r>
      <w:r>
        <w:rPr>
          <w:rFonts w:ascii="Consolas" w:hAnsi="Consolas"/>
          <w:color w:val="C0392B"/>
          <w:sz w:val="19"/>
        </w:rPr>
        <w:t>Authorization: Bearer …</w:t>
      </w:r>
      <w:r>
        <w:t xml:space="preserve"> to every API call.</w:t>
      </w:r>
    </w:p>
    <w:p>
      <w:pPr>
        <w:pStyle w:val="ListBullet"/>
      </w:pPr>
      <w:r>
        <w:t>After login the user is routed to the configured landing page (</w:t>
      </w:r>
      <w:r>
        <w:rPr>
          <w:rFonts w:ascii="Consolas" w:hAnsi="Consolas"/>
          <w:color w:val="C0392B"/>
          <w:sz w:val="19"/>
        </w:rPr>
        <w:t>AuthService.getHomepageByRole()</w:t>
      </w:r>
      <w:r>
        <w:t xml:space="preserve"> → </w:t>
      </w:r>
      <w:r>
        <w:rPr>
          <w:rFonts w:ascii="Consolas" w:hAnsi="Consolas"/>
          <w:color w:val="C0392B"/>
          <w:sz w:val="19"/>
        </w:rPr>
        <w:t>/home2</w:t>
      </w:r>
      <w:r>
        <w:t>).</w:t>
      </w:r>
    </w:p>
    <w:p>
      <w:pPr>
        <w:pStyle w:val="Heading3"/>
      </w:pPr>
      <w:r>
        <w:t>4.2 Authorization — two complementary layers</w:t>
      </w:r>
    </w:p>
    <w:p>
      <w:pPr>
        <w:pStyle w:val="ListNumber"/>
      </w:pPr>
      <w:r>
        <w:rPr>
          <w:b/>
        </w:rPr>
        <w:t>Roles</w:t>
      </w:r>
      <w:r>
        <w:t xml:space="preserve"> (coarse) — e.g. </w:t>
      </w:r>
      <w:r>
        <w:rPr>
          <w:rFonts w:ascii="Consolas" w:hAnsi="Consolas"/>
          <w:color w:val="C0392B"/>
          <w:sz w:val="19"/>
        </w:rPr>
        <w:t>Admin</w:t>
      </w:r>
      <w:r>
        <w:t xml:space="preserve">, </w:t>
      </w:r>
      <w:r>
        <w:rPr>
          <w:rFonts w:ascii="Consolas" w:hAnsi="Consolas"/>
          <w:color w:val="C0392B"/>
          <w:sz w:val="19"/>
        </w:rPr>
        <w:t>Manager</w:t>
      </w:r>
      <w:r>
        <w:t xml:space="preserve">, </w:t>
      </w:r>
      <w:r>
        <w:rPr>
          <w:rFonts w:ascii="Consolas" w:hAnsi="Consolas"/>
          <w:color w:val="C0392B"/>
          <w:sz w:val="19"/>
        </w:rPr>
        <w:t>Sales</w:t>
      </w:r>
      <w:r>
        <w:t xml:space="preserve">, </w:t>
      </w:r>
      <w:r>
        <w:rPr>
          <w:rFonts w:ascii="Consolas" w:hAnsi="Consolas"/>
          <w:color w:val="C0392B"/>
          <w:sz w:val="19"/>
        </w:rPr>
        <w:t>VirtualSales</w:t>
      </w:r>
      <w:r>
        <w:t xml:space="preserve">, </w:t>
      </w:r>
      <w:r>
        <w:rPr>
          <w:rFonts w:ascii="Consolas" w:hAnsi="Consolas"/>
          <w:color w:val="C0392B"/>
          <w:sz w:val="19"/>
        </w:rPr>
        <w:t>DeliveryDriver</w:t>
      </w:r>
      <w:r>
        <w:t xml:space="preserve">, </w:t>
      </w:r>
      <w:r>
        <w:rPr>
          <w:rFonts w:ascii="Consolas" w:hAnsi="Consolas"/>
          <w:color w:val="C0392B"/>
          <w:sz w:val="19"/>
        </w:rPr>
        <w:t>ServiceInvoices</w:t>
      </w:r>
      <w:r>
        <w:t>,</w:t>
      </w:r>
    </w:p>
    <w:p>
      <w:r>
        <w:rPr>
          <w:rFonts w:ascii="Consolas" w:hAnsi="Consolas"/>
          <w:color w:val="C0392B"/>
          <w:sz w:val="19"/>
        </w:rPr>
        <w:t>Accountant</w:t>
      </w:r>
      <w:r>
        <w:t xml:space="preserve">, </w:t>
      </w:r>
      <w:r>
        <w:rPr>
          <w:rFonts w:ascii="Consolas" w:hAnsi="Consolas"/>
          <w:color w:val="C0392B"/>
          <w:sz w:val="19"/>
        </w:rPr>
        <w:t>CashLink</w:t>
      </w:r>
      <w:r>
        <w:t>/</w:t>
      </w:r>
      <w:r>
        <w:rPr>
          <w:rFonts w:ascii="Consolas" w:hAnsi="Consolas"/>
          <w:color w:val="C0392B"/>
          <w:sz w:val="19"/>
        </w:rPr>
        <w:t>CashLinkLimit</w:t>
      </w:r>
      <w:r>
        <w:t xml:space="preserve">, </w:t>
      </w:r>
      <w:r>
        <w:rPr>
          <w:rFonts w:ascii="Consolas" w:hAnsi="Consolas"/>
          <w:color w:val="C0392B"/>
          <w:sz w:val="19"/>
        </w:rPr>
        <w:t>VirtualCashLink</w:t>
      </w:r>
      <w:r>
        <w:t>/</w:t>
      </w:r>
      <w:r>
        <w:rPr>
          <w:rFonts w:ascii="Consolas" w:hAnsi="Consolas"/>
          <w:color w:val="C0392B"/>
          <w:sz w:val="19"/>
        </w:rPr>
        <w:t>VirtualCashLinkLimit</w:t>
      </w:r>
      <w:r>
        <w:t>. Drive menu visibility and (where</w:t>
      </w:r>
    </w:p>
    <w:p>
      <w:r>
        <w:t>used) route guards.</w:t>
      </w:r>
    </w:p>
    <w:p>
      <w:pPr>
        <w:pStyle w:val="ListNumber"/>
      </w:pPr>
      <w:r>
        <w:rPr>
          <w:b/>
        </w:rPr>
        <w:t>Permissions</w:t>
      </w:r>
      <w:r>
        <w:t xml:space="preserve"> (fine‑grained, </w:t>
      </w:r>
      <w:r>
        <w:rPr>
          <w:rFonts w:ascii="Consolas" w:hAnsi="Consolas"/>
          <w:color w:val="C0392B"/>
          <w:sz w:val="19"/>
        </w:rPr>
        <w:t>Module.Action</w:t>
      </w:r>
      <w:r>
        <w:t xml:space="preserve">) — e.g. </w:t>
      </w:r>
      <w:r>
        <w:rPr>
          <w:rFonts w:ascii="Consolas" w:hAnsi="Consolas"/>
          <w:color w:val="C0392B"/>
          <w:sz w:val="19"/>
        </w:rPr>
        <w:t>Currencies.Print</w:t>
      </w:r>
      <w:r>
        <w:t xml:space="preserve">, </w:t>
      </w:r>
      <w:r>
        <w:rPr>
          <w:rFonts w:ascii="Consolas" w:hAnsi="Consolas"/>
          <w:color w:val="C0392B"/>
          <w:sz w:val="19"/>
        </w:rPr>
        <w:t>YearEndClosing.Execute</w:t>
      </w:r>
      <w:r>
        <w:t>,</w:t>
      </w:r>
    </w:p>
    <w:p>
      <w:r>
        <w:rPr>
          <w:rFonts w:ascii="Consolas" w:hAnsi="Consolas"/>
          <w:color w:val="C0392B"/>
          <w:sz w:val="19"/>
        </w:rPr>
        <w:t>AccountLedger.Print</w:t>
      </w:r>
      <w:r>
        <w:t xml:space="preserve">. Enforced in the UI via the </w:t>
      </w:r>
      <w:r>
        <w:rPr>
          <w:rFonts w:ascii="Consolas" w:hAnsi="Consolas"/>
          <w:color w:val="C0392B"/>
          <w:sz w:val="19"/>
        </w:rPr>
        <w:t>*hasPermission</w:t>
      </w:r>
      <w:r>
        <w:t xml:space="preserve"> structural directive on action buttons, sourced</w:t>
      </w:r>
    </w:p>
    <w:p>
      <w:r>
        <w:t>from the JWT permission claims.</w:t>
      </w:r>
    </w:p>
    <w:p>
      <w:pPr>
        <w:pStyle w:val="Heading3"/>
      </w:pPr>
      <w:r>
        <w:t>4.3 Managing permissions</w:t>
      </w:r>
    </w:p>
    <w:p>
      <w:pPr>
        <w:pStyle w:val="ListBullet"/>
      </w:pPr>
      <w:r>
        <w:rPr>
          <w:b/>
        </w:rPr>
        <w:t>`/accounting/admin/permissions`</w:t>
      </w:r>
      <w:r>
        <w:t xml:space="preserve"> (gated by </w:t>
      </w:r>
      <w:r>
        <w:rPr>
          <w:rFonts w:ascii="Consolas" w:hAnsi="Consolas"/>
          <w:color w:val="C0392B"/>
          <w:sz w:val="19"/>
        </w:rPr>
        <w:t>Admin.ManagePermissions</w:t>
      </w:r>
      <w:r>
        <w:t xml:space="preserve">) shows a user × permission </w:t>
      </w:r>
      <w:r>
        <w:rPr>
          <w:b/>
        </w:rPr>
        <w:t>matrix</w:t>
      </w:r>
      <w:r>
        <w:t xml:space="preserve"> grouped</w:t>
      </w:r>
    </w:p>
    <w:p>
      <w:r>
        <w:t>by system/module. Granting/revoking a key shows/hides the corresponding UI actions after the user’s next login.</w:t>
      </w:r>
    </w:p>
    <w:p>
      <w:pPr>
        <w:pStyle w:val="ListBullet"/>
      </w:pPr>
      <w:r>
        <w:t xml:space="preserve">Permission definitions are seeded with </w:t>
      </w:r>
      <w:r>
        <w:rPr>
          <w:rFonts w:ascii="Consolas" w:hAnsi="Consolas"/>
          <w:color w:val="C0392B"/>
          <w:sz w:val="19"/>
        </w:rPr>
        <w:t>SQL/Permissions/*.sql</w:t>
      </w:r>
      <w:r>
        <w:t xml:space="preserve"> (</w:t>
      </w:r>
      <w:r>
        <w:rPr>
          <w:rFonts w:ascii="Consolas" w:hAnsi="Consolas"/>
          <w:color w:val="C0392B"/>
          <w:sz w:val="19"/>
        </w:rPr>
        <w:t>02_SeedPermissions.sql</w:t>
      </w:r>
      <w:r>
        <w:t xml:space="preserve">, </w:t>
      </w:r>
      <w:r>
        <w:rPr>
          <w:rFonts w:ascii="Consolas" w:hAnsi="Consolas"/>
          <w:color w:val="C0392B"/>
          <w:sz w:val="19"/>
        </w:rPr>
        <w:t>06_SeedNewPagePermissions.sql</w:t>
      </w:r>
      <w:r>
        <w:t>)</w:t>
      </w:r>
    </w:p>
    <w:p>
      <w:r>
        <w:t xml:space="preserve">and auto‑granted to the </w:t>
      </w:r>
      <w:r>
        <w:rPr>
          <w:b/>
        </w:rPr>
        <w:t>Administrator</w:t>
      </w:r>
      <w:r>
        <w:t xml:space="preserve"> role.</w:t>
      </w:r>
    </w:p>
    <w:p>
      <w:pPr>
        <w:pStyle w:val="Heading2"/>
      </w:pPr>
      <w:r>
        <w:t>5. Module Catalog</w:t>
      </w:r>
    </w:p>
    <w:p>
      <w:pPr>
        <w:pStyle w:val="Heading3"/>
      </w:pPr>
      <w:r>
        <w:t>5.1 Accounting — General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Chart of Accounts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gl/accounts-list</w:t>
            </w:r>
          </w:p>
        </w:tc>
        <w:tc>
          <w:tcPr>
            <w:tcW w:type="dxa" w:w="2880"/>
          </w:tcPr>
          <w:p>
            <w:r/>
            <w:r>
              <w:t>Tree editor, inline add/edit/delete, Excel import/export</w:t>
            </w:r>
          </w:p>
        </w:tc>
      </w:tr>
      <w:tr>
        <w:tc>
          <w:tcPr>
            <w:tcW w:type="dxa" w:w="2880"/>
          </w:tcPr>
          <w:p>
            <w:r/>
            <w:r>
              <w:t>Opening Balances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gl/opening-balances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Link Groups to Accounts / Link Accounts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gl/link-groups-accounts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gl/link-accounts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Edit Account Name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gl/edit-account-name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Clear Cost Centers / Transfer Account Movements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gl/clear-cost-centers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gl/transfer-account-movements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Cost‑Center Opening Balances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gl/cc-opening-balances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5.2 Vouchers &amp;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doctype</w:t>
            </w:r>
          </w:p>
        </w:tc>
      </w:tr>
      <w:tr>
        <w:tc>
          <w:tcPr>
            <w:tcW w:type="dxa" w:w="2880"/>
          </w:tcPr>
          <w:p>
            <w:r/>
            <w:r>
              <w:t>Journal Vouchers (القيود)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vouchers/journal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Receipt Vouchers (سند قبض)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receipt-vouchers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</w:tr>
      <w:tr>
        <w:tc>
          <w:tcPr>
            <w:tcW w:type="dxa" w:w="2880"/>
          </w:tcPr>
          <w:p>
            <w:r/>
            <w:r>
              <w:t>Cheque Payment Voucher (صرف شيكات)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cheques/payment-voucher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Cash Payment Voucher (صرف نقدي)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vouchers/cash-payment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</w:tr>
      <w:tr>
        <w:tc>
          <w:tcPr>
            <w:tcW w:type="dxa" w:w="2880"/>
          </w:tcPr>
          <w:p>
            <w:r/>
            <w:r>
              <w:t>Document Posting / Un‑posting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misc/document-posting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misc/document-unposting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Year‑End Closing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misc/year-end-closing</w:t>
            </w:r>
          </w:p>
        </w:tc>
        <w:tc>
          <w:tcPr>
            <w:tcW w:type="dxa" w:w="2880"/>
          </w:tcPr>
          <w:p>
            <w:r/>
            <w:r>
              <w:t>73</w:t>
            </w:r>
          </w:p>
        </w:tc>
      </w:tr>
    </w:tbl>
    <w:p/>
    <w:p>
      <w:pPr>
        <w:pStyle w:val="Heading3"/>
      </w:pPr>
      <w:r>
        <w:t>5.3 Cheque Management</w:t>
      </w:r>
    </w:p>
    <w:p>
      <w:r>
        <w:rPr>
          <w:rFonts w:ascii="Consolas" w:hAnsi="Consolas"/>
          <w:color w:val="C0392B"/>
          <w:sz w:val="19"/>
        </w:rPr>
        <w:t>cheques/incoming-first</w:t>
      </w:r>
      <w:r>
        <w:t xml:space="preserve">, </w:t>
      </w:r>
      <w:r>
        <w:rPr>
          <w:rFonts w:ascii="Consolas" w:hAnsi="Consolas"/>
          <w:color w:val="C0392B"/>
          <w:sz w:val="19"/>
        </w:rPr>
        <w:t>cheques/outgoing-first</w:t>
      </w:r>
      <w:r>
        <w:t xml:space="preserve">, </w:t>
      </w:r>
      <w:r>
        <w:rPr>
          <w:rFonts w:ascii="Consolas" w:hAnsi="Consolas"/>
          <w:color w:val="C0392B"/>
          <w:sz w:val="19"/>
        </w:rPr>
        <w:t>cheques/deposit</w:t>
      </w:r>
      <w:r>
        <w:t xml:space="preserve">, </w:t>
      </w:r>
      <w:r>
        <w:rPr>
          <w:rFonts w:ascii="Consolas" w:hAnsi="Consolas"/>
          <w:color w:val="C0392B"/>
          <w:sz w:val="19"/>
        </w:rPr>
        <w:t>cheques/collection</w:t>
      </w:r>
      <w:r>
        <w:t xml:space="preserve">, </w:t>
      </w:r>
      <w:r>
        <w:rPr>
          <w:rFonts w:ascii="Consolas" w:hAnsi="Consolas"/>
          <w:color w:val="C0392B"/>
          <w:sz w:val="19"/>
        </w:rPr>
        <w:t>cheques/return</w:t>
      </w:r>
      <w:r>
        <w:t>,</w:t>
      </w:r>
    </w:p>
    <w:p>
      <w:r>
        <w:rPr>
          <w:rFonts w:ascii="Consolas" w:hAnsi="Consolas"/>
          <w:color w:val="C0392B"/>
          <w:sz w:val="19"/>
        </w:rPr>
        <w:t>cheques/re-return</w:t>
      </w:r>
      <w:r>
        <w:t xml:space="preserve">, </w:t>
      </w:r>
      <w:r>
        <w:rPr>
          <w:rFonts w:ascii="Consolas" w:hAnsi="Consolas"/>
          <w:color w:val="C0392B"/>
          <w:sz w:val="19"/>
        </w:rPr>
        <w:t>cheques/withdrawal</w:t>
      </w:r>
      <w:r>
        <w:t xml:space="preserve">, </w:t>
      </w:r>
      <w:r>
        <w:rPr>
          <w:rFonts w:ascii="Consolas" w:hAnsi="Consolas"/>
          <w:color w:val="C0392B"/>
          <w:sz w:val="19"/>
        </w:rPr>
        <w:t>cheques/endorse</w:t>
      </w:r>
      <w:r>
        <w:t xml:space="preserve">, </w:t>
      </w:r>
      <w:r>
        <w:rPr>
          <w:rFonts w:ascii="Consolas" w:hAnsi="Consolas"/>
          <w:color w:val="C0392B"/>
          <w:sz w:val="19"/>
        </w:rPr>
        <w:t>cheques/tracking</w:t>
      </w:r>
      <w:r>
        <w:t xml:space="preserve">. Backed by </w:t>
      </w:r>
      <w:r>
        <w:rPr>
          <w:rFonts w:ascii="Consolas" w:hAnsi="Consolas"/>
          <w:color w:val="C0392B"/>
          <w:sz w:val="19"/>
        </w:rPr>
        <w:t>cheq1</w:t>
      </w:r>
      <w:r>
        <w:t xml:space="preserve"> (incoming) /</w:t>
      </w:r>
    </w:p>
    <w:p>
      <w:r>
        <w:rPr>
          <w:rFonts w:ascii="Consolas" w:hAnsi="Consolas"/>
          <w:color w:val="C0392B"/>
          <w:sz w:val="19"/>
        </w:rPr>
        <w:t>cheq2</w:t>
      </w:r>
      <w:r>
        <w:t xml:space="preserve"> (outgoing) tables and </w:t>
      </w:r>
      <w:r>
        <w:rPr>
          <w:rFonts w:ascii="Consolas" w:hAnsi="Consolas"/>
          <w:color w:val="C0392B"/>
          <w:sz w:val="19"/>
        </w:rPr>
        <w:t>VoucherType</w:t>
      </w:r>
      <w:r>
        <w:t xml:space="preserve"> codes.</w:t>
      </w:r>
    </w:p>
    <w:p>
      <w:pPr>
        <w:pStyle w:val="Heading3"/>
      </w:pPr>
      <w:r>
        <w:t>5.4 Reports</w:t>
      </w:r>
    </w:p>
    <w:p>
      <w:r>
        <w:t xml:space="preserve">Detailed Statement, Account Belong, </w:t>
      </w:r>
      <w:r>
        <w:rPr>
          <w:b/>
        </w:rPr>
        <w:t>Trial Balance</w:t>
      </w:r>
      <w:r>
        <w:t xml:space="preserve">, </w:t>
      </w:r>
      <w:r>
        <w:rPr>
          <w:b/>
        </w:rPr>
        <w:t>Income Statement</w:t>
      </w:r>
      <w:r>
        <w:t xml:space="preserve">, </w:t>
      </w:r>
      <w:r>
        <w:rPr>
          <w:b/>
        </w:rPr>
        <w:t>Balance Sheet</w:t>
      </w:r>
      <w:r>
        <w:t>, Aging Analysis,</w:t>
      </w:r>
    </w:p>
    <w:p>
      <w:r>
        <w:t xml:space="preserve">Accounts List, Beginning/Monthly Balances, Account Groups, </w:t>
      </w:r>
      <w:r>
        <w:rPr>
          <w:b/>
        </w:rPr>
        <w:t>Cost‑Center Account Balances</w:t>
      </w:r>
      <w:r>
        <w:t xml:space="preserve">, </w:t>
      </w:r>
      <w:r>
        <w:rPr>
          <w:b/>
        </w:rPr>
        <w:t>Cost‑Center Transactions</w:t>
      </w:r>
      <w:r>
        <w:t>,</w:t>
      </w:r>
    </w:p>
    <w:p>
      <w:r>
        <w:rPr>
          <w:b/>
        </w:rPr>
        <w:t>Incoming Cheque Movement</w:t>
      </w:r>
      <w:r>
        <w:t xml:space="preserve">, </w:t>
      </w:r>
      <w:r>
        <w:rPr>
          <w:b/>
        </w:rPr>
        <w:t>Inward/Outward Cheques</w:t>
      </w:r>
      <w:r>
        <w:t xml:space="preserve">, </w:t>
      </w:r>
      <w:r>
        <w:rPr>
          <w:b/>
        </w:rPr>
        <w:t>Cheques to Beneficiary</w:t>
      </w:r>
      <w:r>
        <w:t xml:space="preserve">, </w:t>
      </w:r>
      <w:r>
        <w:rPr>
          <w:b/>
        </w:rPr>
        <w:t>Payment Vouchers</w:t>
      </w:r>
      <w:r>
        <w:t>,</w:t>
      </w:r>
    </w:p>
    <w:p>
      <w:r>
        <w:rPr>
          <w:b/>
        </w:rPr>
        <w:t>Missing Vouchers</w:t>
      </w:r>
      <w:r>
        <w:t xml:space="preserve">, </w:t>
      </w:r>
      <w:r>
        <w:rPr>
          <w:b/>
        </w:rPr>
        <w:t>Account Ledger</w:t>
      </w:r>
      <w:r>
        <w:t>. All support filter‑driven generation and print; many export to Excel.</w:t>
      </w:r>
    </w:p>
    <w:p>
      <w:pPr>
        <w:pStyle w:val="Heading3"/>
      </w:pPr>
      <w:r>
        <w:t>5.5 Definitions &amp; Sales</w:t>
      </w:r>
    </w:p>
    <w:p>
      <w:pPr>
        <w:pStyle w:val="ListBullet"/>
      </w:pPr>
      <w:r>
        <w:rPr>
          <w:b/>
        </w:rPr>
        <w:t>Definitions:</w:t>
      </w:r>
      <w:r>
        <w:t xml:space="preserve"> Banks, Currencies, Taxes, Stamps, Cost Centers, Account Groups.</w:t>
      </w:r>
    </w:p>
    <w:p>
      <w:pPr>
        <w:pStyle w:val="ListBullet"/>
      </w:pPr>
      <w:r>
        <w:rPr>
          <w:b/>
        </w:rPr>
        <w:t>Sales:</w:t>
      </w:r>
      <w:r>
        <w:t xml:space="preserve"> sales/service/virtual invoices, transfers, refunds, transferred lists, and </w:t>
      </w:r>
      <w:r>
        <w:rPr>
          <w:b/>
        </w:rPr>
        <w:t>JoFawtara (Fotara)</w:t>
      </w:r>
      <w:r>
        <w:t xml:space="preserve"> e‑invoice</w:t>
      </w:r>
    </w:p>
    <w:p>
      <w:r>
        <w:t xml:space="preserve">QR generation via </w:t>
      </w:r>
      <w:r>
        <w:rPr>
          <w:rFonts w:ascii="Consolas" w:hAnsi="Consolas"/>
          <w:color w:val="C0392B"/>
          <w:sz w:val="19"/>
        </w:rPr>
        <w:t>FotaraProxy</w:t>
      </w:r>
      <w:r>
        <w:t>.</w:t>
      </w:r>
    </w:p>
    <w:p>
      <w:pPr>
        <w:pStyle w:val="Heading3"/>
      </w:pPr>
      <w:r>
        <w:t>5.6 Dashboards</w:t>
      </w:r>
    </w:p>
    <w:p>
      <w:pPr>
        <w:pStyle w:val="ListBullet"/>
      </w:pPr>
      <w:r>
        <w:rPr>
          <w:b/>
        </w:rPr>
        <w:t>Home</w:t>
      </w:r>
      <w:r>
        <w:t xml:space="preserve"> (</w:t>
      </w:r>
      <w:r>
        <w:rPr>
          <w:rFonts w:ascii="Consolas" w:hAnsi="Consolas"/>
          <w:color w:val="C0392B"/>
          <w:sz w:val="19"/>
        </w:rPr>
        <w:t>/home2</w:t>
      </w:r>
      <w:r>
        <w:t>) — default landing: filterable voucher analytics (date range, currency, posted status) with</w:t>
      </w:r>
    </w:p>
    <w:p>
      <w:r>
        <w:t>switchable, persisted chart types (column/line/area/pie/donut) for Journal, Cash Payment, Cheque Payment, Receipt;</w:t>
      </w:r>
    </w:p>
    <w:p>
      <w:r>
        <w:t xml:space="preserve">plus all page shortcuts. (Legacy </w:t>
      </w:r>
      <w:r>
        <w:rPr>
          <w:rFonts w:ascii="Consolas" w:hAnsi="Consolas"/>
          <w:color w:val="C0392B"/>
          <w:sz w:val="19"/>
        </w:rPr>
        <w:t>/home</w:t>
      </w:r>
      <w:r>
        <w:t xml:space="preserve"> and </w:t>
      </w:r>
      <w:r>
        <w:rPr>
          <w:rFonts w:ascii="Consolas" w:hAnsi="Consolas"/>
          <w:color w:val="C0392B"/>
          <w:sz w:val="19"/>
        </w:rPr>
        <w:t>/dashboard2</w:t>
      </w:r>
      <w:r>
        <w:t xml:space="preserve"> exist but are hidden from the menu.)</w:t>
      </w:r>
    </w:p>
    <w:p>
      <w:pPr>
        <w:pStyle w:val="ListBullet"/>
      </w:pPr>
      <w:r>
        <w:rPr>
          <w:b/>
        </w:rPr>
        <w:t>Financial Dashboard</w:t>
      </w:r>
      <w:r>
        <w:t xml:space="preserve"> — balance‑sheet / income / trial‑balance / aging summaries.</w:t>
      </w:r>
    </w:p>
    <w:p>
      <w:pPr>
        <w:pStyle w:val="Heading3"/>
      </w:pPr>
      <w:r>
        <w:t>5.7 Administration</w:t>
      </w:r>
    </w:p>
    <w:p>
      <w:r>
        <w:t>Company Info, Appearance (theme/RTL), Permissions matrix, Activity Log.</w:t>
      </w:r>
    </w:p>
    <w:p>
      <w:pPr>
        <w:pStyle w:val="Heading2"/>
      </w:pPr>
      <w:r>
        <w:t>6. Cross‑Cutting Features</w:t>
      </w:r>
    </w:p>
    <w:p>
      <w:pPr>
        <w:pStyle w:val="ListBullet"/>
      </w:pPr>
      <w:r>
        <w:rPr>
          <w:b/>
        </w:rPr>
        <w:t>Internationalization:</w:t>
      </w:r>
      <w:r>
        <w:t xml:space="preserve"> every label uses a translation key (</w:t>
      </w:r>
      <w:r>
        <w:rPr>
          <w:rFonts w:ascii="Consolas" w:hAnsi="Consolas"/>
          <w:color w:val="C0392B"/>
          <w:sz w:val="19"/>
        </w:rPr>
        <w:t>Nav.*</w:t>
      </w:r>
      <w:r>
        <w:t xml:space="preserve">, </w:t>
      </w:r>
      <w:r>
        <w:rPr>
          <w:rFonts w:ascii="Consolas" w:hAnsi="Consolas"/>
          <w:color w:val="C0392B"/>
          <w:sz w:val="19"/>
        </w:rPr>
        <w:t>Home2.*</w:t>
      </w:r>
      <w:r>
        <w:t xml:space="preserve">, </w:t>
      </w:r>
      <w:r>
        <w:rPr>
          <w:rFonts w:ascii="Consolas" w:hAnsi="Consolas"/>
          <w:color w:val="C0392B"/>
          <w:sz w:val="19"/>
        </w:rPr>
        <w:t>&lt;Feature&gt;.*</w:t>
      </w:r>
      <w:r>
        <w:t>). Switching language</w:t>
      </w:r>
    </w:p>
    <w:p>
      <w:r>
        <w:t xml:space="preserve">toggles </w:t>
      </w:r>
      <w:r>
        <w:rPr>
          <w:rFonts w:ascii="Consolas" w:hAnsi="Consolas"/>
          <w:color w:val="C0392B"/>
          <w:sz w:val="19"/>
        </w:rPr>
        <w:t>ar</w:t>
      </w:r>
      <w:r>
        <w:t>/</w:t>
      </w:r>
      <w:r>
        <w:rPr>
          <w:rFonts w:ascii="Consolas" w:hAnsi="Consolas"/>
          <w:color w:val="C0392B"/>
          <w:sz w:val="19"/>
        </w:rPr>
        <w:t>en</w:t>
      </w:r>
      <w:r>
        <w:t xml:space="preserve"> and document direction (RTL/LTR). Missing keys render the raw key — always add to </w:t>
      </w:r>
      <w:r>
        <w:rPr>
          <w:b/>
        </w:rPr>
        <w:t>both</w:t>
      </w:r>
      <w:r>
        <w:t xml:space="preserve"> JSON files.</w:t>
      </w:r>
    </w:p>
    <w:p>
      <w:pPr>
        <w:pStyle w:val="ListBullet"/>
      </w:pPr>
      <w:r>
        <w:rPr>
          <w:b/>
        </w:rPr>
        <w:t>Theming:</w:t>
      </w:r>
      <w:r>
        <w:t xml:space="preserve"> light/dark via </w:t>
      </w:r>
      <w:r>
        <w:rPr>
          <w:rFonts w:ascii="Consolas" w:hAnsi="Consolas"/>
          <w:color w:val="C0392B"/>
          <w:sz w:val="19"/>
        </w:rPr>
        <w:t>data-theme-mode</w:t>
      </w:r>
      <w:r>
        <w:t xml:space="preserve">, plus an </w:t>
      </w:r>
      <w:r>
        <w:rPr>
          <w:rFonts w:ascii="Consolas" w:hAnsi="Consolas"/>
          <w:color w:val="C0392B"/>
          <w:sz w:val="19"/>
        </w:rPr>
        <w:t>editorial</w:t>
      </w:r>
      <w:r>
        <w:t xml:space="preserve"> app theme. Table styling is globally unified to the</w:t>
      </w:r>
    </w:p>
    <w:p>
      <w:r>
        <w:t>*currencies* table look (brand‑tinted header, bordered, hover) for both Bootstrap and Material tables.</w:t>
      </w:r>
    </w:p>
    <w:p>
      <w:pPr>
        <w:pStyle w:val="ListBullet"/>
      </w:pPr>
      <w:r>
        <w:rPr>
          <w:b/>
        </w:rPr>
        <w:t>Printing:</w:t>
      </w:r>
      <w:r>
        <w:t xml:space="preserve"> a shared </w:t>
      </w:r>
      <w:r>
        <w:rPr>
          <w:rFonts w:ascii="Consolas" w:hAnsi="Consolas"/>
          <w:color w:val="C0392B"/>
          <w:sz w:val="19"/>
        </w:rPr>
        <w:t>ReportService.printReport(...)</w:t>
      </w:r>
      <w:r>
        <w:t xml:space="preserve"> renders consistent printable report layouts.</w:t>
      </w:r>
    </w:p>
    <w:p>
      <w:pPr>
        <w:pStyle w:val="ListBullet"/>
      </w:pPr>
      <w:r>
        <w:rPr>
          <w:b/>
        </w:rPr>
        <w:t>Excel:</w:t>
      </w:r>
      <w:r>
        <w:t xml:space="preserve"> import/export via </w:t>
      </w:r>
      <w:r>
        <w:rPr>
          <w:rFonts w:ascii="Consolas" w:hAnsi="Consolas"/>
          <w:color w:val="C0392B"/>
          <w:sz w:val="19"/>
        </w:rPr>
        <w:t>xlsx</w:t>
      </w:r>
      <w:r>
        <w:t xml:space="preserve"> (e.g. chart of accounts, opening balances).</w:t>
      </w:r>
    </w:p>
    <w:p>
      <w:pPr>
        <w:pStyle w:val="ListBullet"/>
      </w:pPr>
      <w:r>
        <w:rPr>
          <w:b/>
        </w:rPr>
        <w:t>Calculator:</w:t>
      </w:r>
      <w:r>
        <w:t xml:space="preserve"> press </w:t>
      </w:r>
      <w:r>
        <w:rPr>
          <w:b/>
        </w:rPr>
        <w:t>F2</w:t>
      </w:r>
      <w:r>
        <w:t xml:space="preserve"> in any numeric field under the accounting module to open an in‑place calculator.</w:t>
      </w:r>
    </w:p>
    <w:p>
      <w:pPr>
        <w:pStyle w:val="Heading2"/>
      </w:pPr>
      <w:r>
        <w:t>7. Data Model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Object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transf1</w:t>
            </w:r>
            <w:r>
              <w:t xml:space="preserve"> / </w:t>
            </w:r>
            <w:r>
              <w:rPr>
                <w:rFonts w:ascii="Consolas" w:hAnsi="Consolas"/>
                <w:color w:val="C0392B"/>
                <w:sz w:val="19"/>
              </w:rPr>
              <w:t>transf2</w:t>
            </w:r>
          </w:p>
        </w:tc>
        <w:tc>
          <w:tcPr>
            <w:tcW w:type="dxa" w:w="4320"/>
          </w:tcPr>
          <w:p>
            <w:r/>
            <w:r>
              <w:t xml:space="preserve">GL voucher header / lines. </w:t>
            </w:r>
            <w:r>
              <w:rPr>
                <w:rFonts w:ascii="Consolas" w:hAnsi="Consolas"/>
                <w:color w:val="C0392B"/>
                <w:sz w:val="19"/>
              </w:rPr>
              <w:t>doctype</w:t>
            </w:r>
            <w:r>
              <w:t xml:space="preserve"> (→ </w:t>
            </w:r>
            <w:r>
              <w:rPr>
                <w:rFonts w:ascii="Consolas" w:hAnsi="Consolas"/>
                <w:color w:val="C0392B"/>
                <w:sz w:val="19"/>
              </w:rPr>
              <w:t>VoucherType.VTypeNo</w:t>
            </w:r>
            <w:r>
              <w:t xml:space="preserve">), </w:t>
            </w:r>
            <w:r>
              <w:rPr>
                <w:rFonts w:ascii="Consolas" w:hAnsi="Consolas"/>
                <w:color w:val="C0392B"/>
                <w:sz w:val="19"/>
              </w:rPr>
              <w:t>V_Type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post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myear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date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cur_no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rate</w:t>
            </w:r>
            <w:r>
              <w:t xml:space="preserve">. </w:t>
            </w:r>
            <w:r>
              <w:rPr>
                <w:rFonts w:ascii="Consolas" w:hAnsi="Consolas"/>
                <w:color w:val="C0392B"/>
                <w:sz w:val="19"/>
              </w:rPr>
              <w:t>Trans_Num</w:t>
            </w:r>
            <w:r>
              <w:t xml:space="preserve"> links header↔lines; </w:t>
            </w:r>
            <w:r>
              <w:rPr>
                <w:rFonts w:ascii="Consolas" w:hAnsi="Consolas"/>
                <w:color w:val="C0392B"/>
                <w:sz w:val="19"/>
              </w:rPr>
              <w:t>transf2.amt</w:t>
            </w:r>
            <w:r>
              <w:t xml:space="preserve"> is signed (debit &gt; 0).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VoucherType</w:t>
            </w:r>
          </w:p>
        </w:tc>
        <w:tc>
          <w:tcPr>
            <w:tcW w:type="dxa" w:w="4320"/>
          </w:tcPr>
          <w:p>
            <w:r/>
            <w:r>
              <w:t>Voucher type catalog: 1 G.L, 2 Receipt, 3 Cheque Payment, 4 Cash Payment, 5 Beg. inward cheques, 73 Year‑end close, 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cheq1</w:t>
            </w:r>
            <w:r>
              <w:t xml:space="preserve"> / </w:t>
            </w:r>
            <w:r>
              <w:rPr>
                <w:rFonts w:ascii="Consolas" w:hAnsi="Consolas"/>
                <w:color w:val="C0392B"/>
                <w:sz w:val="19"/>
              </w:rPr>
              <w:t>cheq2</w:t>
            </w:r>
          </w:p>
        </w:tc>
        <w:tc>
          <w:tcPr>
            <w:tcW w:type="dxa" w:w="4320"/>
          </w:tcPr>
          <w:p>
            <w:r/>
            <w:r>
              <w:t>Incoming / outgoing cheques (status, dates, bank, drawer, amount).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accf</w:t>
            </w:r>
          </w:p>
        </w:tc>
        <w:tc>
          <w:tcPr>
            <w:tcW w:type="dxa" w:w="4320"/>
          </w:tcPr>
          <w:p>
            <w:r/>
            <w:r>
              <w:t>Account master (no, name/Ename, branch, belong, level). A trigger blocks posting to parent (non‑leaf) accounts.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Permissions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Roles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UserPermissions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RolePermissions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UserRoles</w:t>
            </w:r>
          </w:p>
        </w:tc>
        <w:tc>
          <w:tcPr>
            <w:tcW w:type="dxa" w:w="4320"/>
          </w:tcPr>
          <w:p>
            <w:r/>
            <w:r>
              <w:t>Authorization (per tenant DB).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SEC_USERS_DEF</w:t>
            </w:r>
          </w:p>
        </w:tc>
        <w:tc>
          <w:tcPr>
            <w:tcW w:type="dxa" w:w="4320"/>
          </w:tcPr>
          <w:p>
            <w:r/>
            <w:r>
              <w:t xml:space="preserve">Central user definitions (in </w:t>
            </w:r>
            <w:r>
              <w:rPr>
                <w:rFonts w:ascii="Consolas" w:hAnsi="Consolas"/>
                <w:color w:val="C0392B"/>
                <w:sz w:val="19"/>
              </w:rPr>
              <w:t>SEC_ERP</w:t>
            </w:r>
            <w:r>
              <w:t>).</w:t>
            </w:r>
          </w:p>
        </w:tc>
      </w:tr>
    </w:tbl>
    <w:p/>
    <w:p>
      <w:pPr>
        <w:pStyle w:val="Heading2"/>
      </w:pPr>
      <w:r>
        <w:t>8. Deployment</w:t>
      </w:r>
    </w:p>
    <w:p>
      <w:pPr>
        <w:pStyle w:val="Heading3"/>
      </w:pPr>
      <w:r>
        <w:t>8.1 Frontend (IIS)</w:t>
      </w:r>
    </w:p>
    <w:p>
      <w:pPr>
        <w:pStyle w:val="ListNumber"/>
      </w:pPr>
      <w:r>
        <w:rPr>
          <w:rFonts w:ascii="Consolas" w:hAnsi="Consolas"/>
          <w:color w:val="C0392B"/>
          <w:sz w:val="19"/>
        </w:rPr>
        <w:t>npm run build</w:t>
      </w:r>
      <w:r>
        <w:t xml:space="preserve"> → output in </w:t>
      </w:r>
      <w:r>
        <w:rPr>
          <w:b/>
        </w:rPr>
        <w:t>`dist/preview/browser/`</w:t>
      </w:r>
      <w:r>
        <w:t xml:space="preserve"> (production config swaps in </w:t>
      </w:r>
      <w:r>
        <w:rPr>
          <w:rFonts w:ascii="Consolas" w:hAnsi="Consolas"/>
          <w:color w:val="C0392B"/>
          <w:sz w:val="19"/>
        </w:rPr>
        <w:t>environment.prod.ts</w:t>
      </w:r>
      <w:r>
        <w:t>).</w:t>
      </w:r>
    </w:p>
    <w:p>
      <w:pPr>
        <w:pStyle w:val="ListNumber"/>
      </w:pPr>
      <w:r>
        <w:t xml:space="preserve">Copy the </w:t>
      </w:r>
      <w:r>
        <w:rPr>
          <w:b/>
        </w:rPr>
        <w:t>contents</w:t>
      </w:r>
      <w:r>
        <w:t xml:space="preserve"> of that folder to the IIS site path; app pool </w:t>
      </w:r>
      <w:r>
        <w:rPr>
          <w:b/>
        </w:rPr>
        <w:t>No Managed Code</w:t>
      </w:r>
      <w:r>
        <w:t>.</w:t>
      </w:r>
    </w:p>
    <w:p>
      <w:pPr>
        <w:pStyle w:val="ListNumber"/>
      </w:pPr>
      <w:r>
        <w:t xml:space="preserve">The included </w:t>
      </w:r>
      <w:r>
        <w:rPr>
          <w:b/>
        </w:rPr>
        <w:t>`web.config`</w:t>
      </w:r>
      <w:r>
        <w:t xml:space="preserve"> rewrites all routes to </w:t>
      </w:r>
      <w:r>
        <w:rPr>
          <w:rFonts w:ascii="Consolas" w:hAnsi="Consolas"/>
          <w:color w:val="C0392B"/>
          <w:sz w:val="19"/>
        </w:rPr>
        <w:t>index.html</w:t>
      </w:r>
      <w:r>
        <w:t xml:space="preserve"> — requires the IIS </w:t>
      </w:r>
      <w:r>
        <w:rPr>
          <w:b/>
        </w:rPr>
        <w:t>URL Rewrite</w:t>
      </w:r>
      <w:r>
        <w:t xml:space="preserve"> module.</w:t>
      </w:r>
    </w:p>
    <w:p>
      <w:pPr>
        <w:pStyle w:val="ListNumber"/>
      </w:pPr>
      <w:r>
        <w:t>The site is built for root (</w:t>
      </w:r>
      <w:r>
        <w:rPr>
          <w:rFonts w:ascii="Consolas" w:hAnsi="Consolas"/>
          <w:color w:val="C0392B"/>
          <w:sz w:val="19"/>
        </w:rPr>
        <w:t>&lt;base href="/"&gt;</w:t>
      </w:r>
      <w:r>
        <w:t xml:space="preserve">); for a sub‑application rebuild with </w:t>
      </w:r>
      <w:r>
        <w:rPr>
          <w:rFonts w:ascii="Consolas" w:hAnsi="Consolas"/>
          <w:color w:val="C0392B"/>
          <w:sz w:val="19"/>
        </w:rPr>
        <w:t>--base-href /subpath/</w:t>
      </w:r>
      <w:r>
        <w:t>.</w:t>
      </w:r>
    </w:p>
    <w:p>
      <w:pPr>
        <w:pStyle w:val="Heading3"/>
      </w:pPr>
      <w:r>
        <w:t>8.2 Cache‑busting (important)</w:t>
      </w:r>
    </w:p>
    <w:p>
      <w:r>
        <w:t>Non‑hashed assets (</w:t>
      </w:r>
      <w:r>
        <w:rPr>
          <w:rFonts w:ascii="Consolas" w:hAnsi="Consolas"/>
          <w:color w:val="C0392B"/>
          <w:sz w:val="19"/>
        </w:rPr>
        <w:t>assets/i18n/*.json</w:t>
      </w:r>
      <w:r>
        <w:t xml:space="preserve">) are requested with </w:t>
      </w:r>
      <w:r>
        <w:rPr>
          <w:rFonts w:ascii="Consolas" w:hAnsi="Consolas"/>
          <w:color w:val="C0392B"/>
          <w:sz w:val="19"/>
        </w:rPr>
        <w:t>?v=${appVersion}</w:t>
      </w:r>
      <w:r>
        <w:t xml:space="preserve">. </w:t>
      </w:r>
      <w:r>
        <w:rPr>
          <w:b/>
        </w:rPr>
        <w:t>Bump `appVersion`</w:t>
      </w:r>
      <w:r>
        <w:t xml:space="preserve"> in</w:t>
      </w:r>
    </w:p>
    <w:p>
      <w:r>
        <w:rPr>
          <w:rFonts w:ascii="Consolas" w:hAnsi="Consolas"/>
          <w:color w:val="C0392B"/>
          <w:sz w:val="19"/>
        </w:rPr>
        <w:t>environment.ts</w:t>
      </w:r>
      <w:r>
        <w:t xml:space="preserve">, </w:t>
      </w:r>
      <w:r>
        <w:rPr>
          <w:rFonts w:ascii="Consolas" w:hAnsi="Consolas"/>
          <w:color w:val="C0392B"/>
          <w:sz w:val="19"/>
        </w:rPr>
        <w:t>environment.prod.ts</w:t>
      </w:r>
      <w:r>
        <w:t xml:space="preserve"> </w:t>
      </w:r>
      <w:r>
        <w:rPr>
          <w:b/>
        </w:rPr>
        <w:t>and</w:t>
      </w:r>
      <w:r>
        <w:t xml:space="preserve"> the </w:t>
      </w:r>
      <w:r>
        <w:rPr>
          <w:rFonts w:ascii="Consolas" w:hAnsi="Consolas"/>
          <w:color w:val="C0392B"/>
          <w:sz w:val="19"/>
        </w:rPr>
        <w:t>currentVersion</w:t>
      </w:r>
      <w:r>
        <w:t xml:space="preserve"> constant in </w:t>
      </w:r>
      <w:r>
        <w:rPr>
          <w:rFonts w:ascii="Consolas" w:hAnsi="Consolas"/>
          <w:color w:val="C0392B"/>
          <w:sz w:val="19"/>
        </w:rPr>
        <w:t>app.component.ts</w:t>
      </w:r>
      <w:r>
        <w:t xml:space="preserve"> on every deploy that</w:t>
      </w:r>
    </w:p>
    <w:p>
      <w:r>
        <w:t>changes translations/assets — otherwise clients keep serving cached JSON and new keys appear as raw text. The version</w:t>
      </w:r>
    </w:p>
    <w:p>
      <w:r>
        <w:t xml:space="preserve">check also clears </w:t>
      </w:r>
      <w:r>
        <w:rPr>
          <w:rFonts w:ascii="Consolas" w:hAnsi="Consolas"/>
          <w:color w:val="C0392B"/>
          <w:sz w:val="19"/>
        </w:rPr>
        <w:t>localStorage</w:t>
      </w:r>
      <w:r>
        <w:t>/</w:t>
      </w:r>
      <w:r>
        <w:rPr>
          <w:rFonts w:ascii="Consolas" w:hAnsi="Consolas"/>
          <w:color w:val="C0392B"/>
          <w:sz w:val="19"/>
        </w:rPr>
        <w:t>sessionStorage</w:t>
      </w:r>
      <w:r>
        <w:t xml:space="preserve"> and reloads each client once.</w:t>
      </w:r>
    </w:p>
    <w:p>
      <w:pPr>
        <w:pStyle w:val="Heading3"/>
      </w:pPr>
      <w:r>
        <w:t>8.3 Backend &amp; Database</w:t>
      </w:r>
    </w:p>
    <w:p>
      <w:pPr>
        <w:pStyle w:val="ListBullet"/>
      </w:pPr>
      <w:r>
        <w:t xml:space="preserve">The API points to the production base URL configured in </w:t>
      </w:r>
      <w:r>
        <w:rPr>
          <w:rFonts w:ascii="Consolas" w:hAnsi="Consolas"/>
          <w:color w:val="C0392B"/>
          <w:sz w:val="19"/>
        </w:rPr>
        <w:t>environment.prod.ts</w:t>
      </w:r>
      <w:r>
        <w:t xml:space="preserve"> (</w:t>
      </w:r>
      <w:r>
        <w:rPr>
          <w:rFonts w:ascii="Consolas" w:hAnsi="Consolas"/>
          <w:color w:val="C0392B"/>
          <w:sz w:val="19"/>
        </w:rPr>
        <w:t>apiUrl</w:t>
      </w:r>
      <w:r>
        <w:t>). Ensure CORS allows the</w:t>
      </w:r>
    </w:p>
    <w:p>
      <w:r>
        <w:t>site origin.</w:t>
      </w:r>
    </w:p>
    <w:p>
      <w:pPr>
        <w:pStyle w:val="ListBullet"/>
      </w:pPr>
      <w:r>
        <w:t xml:space="preserve">Apply SQL changes by running the scripts in </w:t>
      </w:r>
      <w:r>
        <w:rPr>
          <w:rFonts w:ascii="Consolas" w:hAnsi="Consolas"/>
          <w:color w:val="C0392B"/>
          <w:sz w:val="19"/>
        </w:rPr>
        <w:t>CashVanApi/SQL/**</w:t>
      </w:r>
      <w:r>
        <w:t xml:space="preserve"> against each tenant database (and </w:t>
      </w:r>
      <w:r>
        <w:rPr>
          <w:rFonts w:ascii="Consolas" w:hAnsi="Consolas"/>
          <w:color w:val="C0392B"/>
          <w:sz w:val="19"/>
        </w:rPr>
        <w:t>SEC_ERP</w:t>
      </w:r>
      <w:r>
        <w:t xml:space="preserve"> where</w:t>
      </w:r>
    </w:p>
    <w:p>
      <w:r>
        <w:t>noted). Restart the API after deploying new endpoints/DLLs.</w:t>
      </w:r>
    </w:p>
    <w:p>
      <w:r>
        <w:t xml:space="preserve">*See </w:t>
      </w:r>
      <w:r>
        <w:rPr>
          <w:rFonts w:ascii="Consolas" w:hAnsi="Consolas"/>
          <w:color w:val="C0392B"/>
          <w:sz w:val="19"/>
        </w:rPr>
        <w:t>USE_CASES.md</w:t>
      </w:r>
      <w:r>
        <w:t xml:space="preserve"> for actor‑level use cases and workflows.*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