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ErpLite — Use Cases</w:t>
      </w:r>
    </w:p>
    <w:p>
      <w:r>
        <w:t xml:space="preserve">Actor‑level use cases for the ErpLite accounting &amp; sales ERP. Each use case lists the </w:t>
      </w:r>
      <w:r>
        <w:rPr>
          <w:b/>
        </w:rPr>
        <w:t>actor</w:t>
      </w:r>
      <w:r>
        <w:t xml:space="preserve">, </w:t>
      </w:r>
      <w:r>
        <w:rPr>
          <w:b/>
        </w:rPr>
        <w:t>preconditions</w:t>
      </w:r>
      <w:r>
        <w:t>,</w:t>
      </w:r>
    </w:p>
    <w:p>
      <w:r>
        <w:rPr>
          <w:b/>
        </w:rPr>
        <w:t>main flow</w:t>
      </w:r>
      <w:r>
        <w:t xml:space="preserve">, key </w:t>
      </w:r>
      <w:r>
        <w:rPr>
          <w:b/>
        </w:rPr>
        <w:t>alternate/exception flows</w:t>
      </w:r>
      <w:r>
        <w:t xml:space="preserve">, and </w:t>
      </w:r>
      <w:r>
        <w:rPr>
          <w:b/>
        </w:rPr>
        <w:t>postconditions</w:t>
      </w:r>
      <w:r>
        <w:t xml:space="preserve">. See </w:t>
      </w:r>
      <w:r>
        <w:rPr>
          <w:rFonts w:ascii="Consolas" w:hAnsi="Consolas"/>
          <w:color w:val="C0392B"/>
          <w:sz w:val="19"/>
        </w:rPr>
        <w:t>SYSTEM_DOCUMENTATION.md</w:t>
      </w:r>
      <w:r>
        <w:t xml:space="preserve"> for architecture.</w:t>
      </w:r>
    </w:p>
    <w:p>
      <w:pPr>
        <w:pStyle w:val="Heading2"/>
      </w:pPr>
      <w:r>
        <w:t>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Administrator</w:t>
            </w:r>
          </w:p>
        </w:tc>
        <w:tc>
          <w:tcPr>
            <w:tcW w:type="dxa" w:w="4320"/>
          </w:tcPr>
          <w:p>
            <w:r/>
            <w:r>
              <w:t>Full access; manages users, permissions, company settings.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Manager</w:t>
            </w:r>
          </w:p>
        </w:tc>
        <w:tc>
          <w:tcPr>
            <w:tcW w:type="dxa" w:w="4320"/>
          </w:tcPr>
          <w:p>
            <w:r/>
            <w:r>
              <w:t>Oversees accounting &amp; sales operations and reports.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Accountant</w:t>
            </w:r>
          </w:p>
        </w:tc>
        <w:tc>
          <w:tcPr>
            <w:tcW w:type="dxa" w:w="4320"/>
          </w:tcPr>
          <w:p>
            <w:r/>
            <w:r>
              <w:t>Day‑to‑day GL, vouchers, cheques, reconciliations, reports.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Salesperson</w:t>
            </w:r>
            <w:r>
              <w:t xml:space="preserve"> (</w:t>
            </w:r>
            <w:r>
              <w:rPr>
                <w:rFonts w:ascii="Consolas" w:hAnsi="Consolas"/>
                <w:color w:val="C0392B"/>
                <w:sz w:val="19"/>
              </w:rPr>
              <w:t>Sales</w:t>
            </w:r>
            <w: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VirtualSales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Creates invoices/refunds (real or virtual).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Service operator</w:t>
            </w:r>
            <w:r>
              <w:t xml:space="preserve"> (</w:t>
            </w:r>
            <w:r>
              <w:rPr>
                <w:rFonts w:ascii="Consolas" w:hAnsi="Consolas"/>
                <w:color w:val="C0392B"/>
                <w:sz w:val="19"/>
              </w:rPr>
              <w:t>ServiceInvoices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Creates and transfers service invoices.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Delivery driver</w:t>
            </w:r>
          </w:p>
        </w:tc>
        <w:tc>
          <w:tcPr>
            <w:tcW w:type="dxa" w:w="4320"/>
          </w:tcPr>
          <w:p>
            <w:r/>
            <w:r>
              <w:t>Views/transfers assigned delivery invoices.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Cashier</w:t>
            </w:r>
            <w:r>
              <w:t xml:space="preserve"> (</w:t>
            </w:r>
            <w:r>
              <w:rPr>
                <w:rFonts w:ascii="Consolas" w:hAnsi="Consolas"/>
                <w:color w:val="C0392B"/>
                <w:sz w:val="19"/>
              </w:rPr>
              <w:t>CashLink*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Cash/receipt operations.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/>
            <w:r>
              <w:t>Background behaviors (auth, posting triggers, e‑invoice QR, activity log).</w:t>
            </w:r>
          </w:p>
        </w:tc>
      </w:tr>
    </w:tbl>
    <w:p/>
    <w:p>
      <w:pPr>
        <w:pStyle w:val="Heading2"/>
      </w:pPr>
      <w:r>
        <w:t>A. Authentication &amp; Access</w:t>
      </w:r>
    </w:p>
    <w:p>
      <w:pPr>
        <w:pStyle w:val="Heading3"/>
      </w:pPr>
      <w:r>
        <w:t>UC‑01 Log in</w:t>
      </w:r>
    </w:p>
    <w:p>
      <w:pPr>
        <w:pStyle w:val="ListBullet"/>
      </w:pPr>
      <w:r>
        <w:rPr>
          <w:b/>
        </w:rPr>
        <w:t>Actor:</w:t>
      </w:r>
      <w:r>
        <w:t xml:space="preserve"> Any user</w:t>
      </w:r>
    </w:p>
    <w:p>
      <w:pPr>
        <w:pStyle w:val="ListBullet"/>
      </w:pPr>
      <w:r>
        <w:rPr>
          <w:b/>
        </w:rPr>
        <w:t>Preconditions:</w:t>
      </w:r>
      <w:r>
        <w:t xml:space="preserve"> Valid account exists in the security DB; account mapped to a tenant in </w:t>
      </w:r>
      <w:r>
        <w:rPr>
          <w:rFonts w:ascii="Consolas" w:hAnsi="Consolas"/>
          <w:color w:val="C0392B"/>
          <w:sz w:val="19"/>
        </w:rPr>
        <w:t>ERP_Manager</w:t>
      </w:r>
      <w:r>
        <w:t>.</w:t>
      </w:r>
    </w:p>
    <w:p>
      <w:pPr>
        <w:pStyle w:val="ListBullet"/>
      </w:pPr>
      <w:r>
        <w:rPr>
          <w:b/>
        </w:rPr>
        <w:t>Main flow:</w:t>
      </w:r>
      <w:r>
        <w:t xml:space="preserve"> User enters login name + password → system resolves the user’s database, validates credentials, issues a</w:t>
      </w:r>
    </w:p>
    <w:p>
      <w:r>
        <w:t xml:space="preserve">JWT (roles + permission claims) → user lands on </w:t>
      </w:r>
      <w:r>
        <w:rPr>
          <w:b/>
        </w:rPr>
        <w:t>Home</w:t>
      </w:r>
      <w:r>
        <w:t xml:space="preserve"> (</w:t>
      </w:r>
      <w:r>
        <w:rPr>
          <w:rFonts w:ascii="Consolas" w:hAnsi="Consolas"/>
          <w:color w:val="C0392B"/>
          <w:sz w:val="19"/>
        </w:rPr>
        <w:t>/home2</w:t>
      </w:r>
      <w:r>
        <w:t>).</w:t>
      </w:r>
    </w:p>
    <w:p>
      <w:pPr>
        <w:pStyle w:val="ListBullet"/>
      </w:pPr>
      <w:r>
        <w:rPr>
          <w:b/>
        </w:rPr>
        <w:t>Alternate:</w:t>
      </w:r>
      <w:r>
        <w:t xml:space="preserve"> Invalid credentials → error toast, stays on login. Forgot password → email reset link (EmailJS).</w:t>
      </w:r>
    </w:p>
    <w:p>
      <w:pPr>
        <w:pStyle w:val="ListBullet"/>
      </w:pPr>
      <w:r>
        <w:rPr>
          <w:b/>
        </w:rPr>
        <w:t>Postcondition:</w:t>
      </w:r>
      <w:r>
        <w:t xml:space="preserve"> Authenticated session; menu and action buttons reflect the user’s roles/permissions.</w:t>
      </w:r>
    </w:p>
    <w:p>
      <w:pPr>
        <w:pStyle w:val="Heading3"/>
      </w:pPr>
      <w:r>
        <w:t>UC‑02 Manage permissions</w:t>
      </w:r>
    </w:p>
    <w:p>
      <w:pPr>
        <w:pStyle w:val="ListBullet"/>
      </w:pPr>
      <w:r>
        <w:rPr>
          <w:b/>
        </w:rPr>
        <w:t>Actor:</w:t>
      </w:r>
      <w:r>
        <w:t xml:space="preserve"> Administrator (</w:t>
      </w:r>
      <w:r>
        <w:rPr>
          <w:rFonts w:ascii="Consolas" w:hAnsi="Consolas"/>
          <w:color w:val="C0392B"/>
          <w:sz w:val="19"/>
        </w:rPr>
        <w:t>Admin.ManagePermissions</w:t>
      </w:r>
      <w:r>
        <w:t>)</w:t>
      </w:r>
    </w:p>
    <w:p>
      <w:pPr>
        <w:pStyle w:val="ListBullet"/>
      </w:pPr>
      <w:r>
        <w:rPr>
          <w:b/>
        </w:rPr>
        <w:t>Preconditions:</w:t>
      </w:r>
      <w:r>
        <w:t xml:space="preserve"> Logged in; permission keys seeded.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Admin → Permissions</w:t>
      </w:r>
      <w:r>
        <w:t xml:space="preserve"> → pick a user → toggle permissions in the module matrix → </w:t>
      </w:r>
      <w:r>
        <w:rPr>
          <w:b/>
        </w:rPr>
        <w:t>Save</w:t>
      </w:r>
      <w:r>
        <w:t>.</w:t>
      </w:r>
    </w:p>
    <w:p>
      <w:pPr>
        <w:pStyle w:val="ListBullet"/>
      </w:pPr>
      <w:r>
        <w:rPr>
          <w:b/>
        </w:rPr>
        <w:t>Postcondition:</w:t>
      </w:r>
      <w:r>
        <w:t xml:space="preserve"> User’s grants updated; UI actions appear/disappear after that user’s next login.</w:t>
      </w:r>
    </w:p>
    <w:p>
      <w:pPr>
        <w:pStyle w:val="Heading3"/>
      </w:pPr>
      <w:r>
        <w:t>UC‑03 Switch language / theme</w:t>
      </w:r>
    </w:p>
    <w:p>
      <w:pPr>
        <w:pStyle w:val="ListBullet"/>
      </w:pPr>
      <w:r>
        <w:rPr>
          <w:b/>
        </w:rPr>
        <w:t>Actor:</w:t>
      </w:r>
      <w:r>
        <w:t xml:space="preserve"> Any user</w:t>
      </w:r>
    </w:p>
    <w:p>
      <w:pPr>
        <w:pStyle w:val="ListBullet"/>
      </w:pPr>
      <w:r>
        <w:rPr>
          <w:b/>
        </w:rPr>
        <w:t>Main flow:</w:t>
      </w:r>
      <w:r>
        <w:t xml:space="preserve"> Toggle language (AR/EN) → UI text and direction (RTL/LTR) switch instantly; toggle dark/light theme.</w:t>
      </w:r>
    </w:p>
    <w:p>
      <w:pPr>
        <w:pStyle w:val="ListBullet"/>
      </w:pPr>
      <w:r>
        <w:rPr>
          <w:b/>
        </w:rPr>
        <w:t>Postcondition:</w:t>
      </w:r>
      <w:r>
        <w:t xml:space="preserve"> Preference applied (and remembered) for the session.</w:t>
      </w:r>
    </w:p>
    <w:p>
      <w:pPr>
        <w:pStyle w:val="Heading2"/>
      </w:pPr>
      <w:r>
        <w:t>B. General Ledger</w:t>
      </w:r>
    </w:p>
    <w:p>
      <w:pPr>
        <w:pStyle w:val="Heading3"/>
      </w:pPr>
      <w:r>
        <w:t>UC‑10 Maintain Chart of Accounts</w:t>
      </w:r>
    </w:p>
    <w:p>
      <w:pPr>
        <w:pStyle w:val="ListBullet"/>
      </w:pPr>
      <w:r>
        <w:rPr>
          <w:b/>
        </w:rPr>
        <w:t>Actor:</w:t>
      </w:r>
      <w:r>
        <w:t xml:space="preserve"> Accountant / Administrator</w:t>
      </w:r>
    </w:p>
    <w:p>
      <w:pPr>
        <w:pStyle w:val="ListBullet"/>
      </w:pPr>
      <w:r>
        <w:rPr>
          <w:b/>
        </w:rPr>
        <w:t>Preconditions:</w:t>
      </w:r>
      <w:r>
        <w:t xml:space="preserve"> Logged in.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GL → Accounts List</w:t>
      </w:r>
      <w:r>
        <w:t xml:space="preserve"> → expand the tree → add a child account / edit name / set branch &amp;</w:t>
      </w:r>
    </w:p>
    <w:p>
      <w:r>
        <w:t xml:space="preserve">cost‑center flags → </w:t>
      </w:r>
      <w:r>
        <w:rPr>
          <w:b/>
        </w:rPr>
        <w:t>Save</w:t>
      </w:r>
      <w:r>
        <w:t xml:space="preserve">. Optionally </w:t>
      </w:r>
      <w:r>
        <w:rPr>
          <w:b/>
        </w:rPr>
        <w:t>Import</w:t>
      </w:r>
      <w:r>
        <w:t xml:space="preserve"> from Excel or </w:t>
      </w:r>
      <w:r>
        <w:rPr>
          <w:b/>
        </w:rPr>
        <w:t>Export</w:t>
      </w:r>
      <w:r>
        <w:t>.</w:t>
      </w:r>
    </w:p>
    <w:p>
      <w:pPr>
        <w:pStyle w:val="ListBullet"/>
      </w:pPr>
      <w:r>
        <w:rPr>
          <w:b/>
        </w:rPr>
        <w:t>Exception:</w:t>
      </w:r>
      <w:r>
        <w:t xml:space="preserve"> Deleting an account in use is blocked (validation/</w:t>
      </w:r>
      <w:r>
        <w:rPr>
          <w:rFonts w:ascii="Consolas" w:hAnsi="Consolas"/>
          <w:color w:val="C0392B"/>
          <w:sz w:val="19"/>
        </w:rPr>
        <w:t>CanDelete</w:t>
      </w:r>
      <w:r>
        <w:t>); posting to a parent (non‑leaf) account is</w:t>
      </w:r>
    </w:p>
    <w:p>
      <w:r>
        <w:t>rejected by a DB trigger.</w:t>
      </w:r>
    </w:p>
    <w:p>
      <w:pPr>
        <w:pStyle w:val="ListBullet"/>
      </w:pPr>
      <w:r>
        <w:rPr>
          <w:b/>
        </w:rPr>
        <w:t>Postcondition:</w:t>
      </w:r>
      <w:r>
        <w:t xml:space="preserve"> Account structure updated.</w:t>
      </w:r>
    </w:p>
    <w:p>
      <w:pPr>
        <w:pStyle w:val="Heading3"/>
      </w:pPr>
      <w:r>
        <w:t>UC‑11 Enter a Journal Voucher (قيد)</w:t>
      </w:r>
    </w:p>
    <w:p>
      <w:pPr>
        <w:pStyle w:val="ListBullet"/>
      </w:pPr>
      <w:r>
        <w:rPr>
          <w:b/>
        </w:rPr>
        <w:t>Actor:</w:t>
      </w:r>
      <w:r>
        <w:t xml:space="preserve"> Accountant</w:t>
      </w:r>
    </w:p>
    <w:p>
      <w:pPr>
        <w:pStyle w:val="ListBullet"/>
      </w:pPr>
      <w:r>
        <w:rPr>
          <w:b/>
        </w:rPr>
        <w:t>Preconditions:</w:t>
      </w:r>
      <w:r>
        <w:t xml:space="preserve"> Accounts and fiscal year exist.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Vouchers → Journal</w:t>
      </w:r>
      <w:r>
        <w:t xml:space="preserve"> → set date, serial type, currency → add debit/credit lines (account,</w:t>
      </w:r>
    </w:p>
    <w:p>
      <w:r>
        <w:t xml:space="preserve">cost center, amount, description) until </w:t>
      </w:r>
      <w:r>
        <w:rPr>
          <w:b/>
        </w:rPr>
        <w:t>balanced (difference = 0)</w:t>
      </w:r>
      <w:r>
        <w:t xml:space="preserve"> → </w:t>
      </w:r>
      <w:r>
        <w:rPr>
          <w:b/>
        </w:rPr>
        <w:t>Save</w:t>
      </w:r>
      <w:r>
        <w:t>.</w:t>
      </w:r>
    </w:p>
    <w:p>
      <w:pPr>
        <w:pStyle w:val="ListBullet"/>
      </w:pPr>
      <w:r>
        <w:rPr>
          <w:b/>
        </w:rPr>
        <w:t>Alternate:</w:t>
      </w:r>
      <w:r>
        <w:t xml:space="preserve"> Unbalanced entry is flagged and cannot be saved; recall an existing voucher via navigation/serial.</w:t>
      </w:r>
    </w:p>
    <w:p>
      <w:pPr>
        <w:pStyle w:val="ListBullet"/>
      </w:pPr>
      <w:r>
        <w:rPr>
          <w:b/>
        </w:rPr>
        <w:t>Postcondition:</w:t>
      </w:r>
      <w:r>
        <w:t xml:space="preserve"> Voucher stored in </w:t>
      </w:r>
      <w:r>
        <w:rPr>
          <w:rFonts w:ascii="Consolas" w:hAnsi="Consolas"/>
          <w:color w:val="C0392B"/>
          <w:sz w:val="19"/>
        </w:rPr>
        <w:t>transf1</w:t>
      </w:r>
      <w:r>
        <w:t>/</w:t>
      </w:r>
      <w:r>
        <w:rPr>
          <w:rFonts w:ascii="Consolas" w:hAnsi="Consolas"/>
          <w:color w:val="C0392B"/>
          <w:sz w:val="19"/>
        </w:rPr>
        <w:t>transf2</w:t>
      </w:r>
      <w:r>
        <w:t xml:space="preserve"> (doctype 1).</w:t>
      </w:r>
    </w:p>
    <w:p>
      <w:pPr>
        <w:pStyle w:val="Heading3"/>
      </w:pPr>
      <w:r>
        <w:t>UC‑12 Receipt / Cash‑Payment / Cheque‑Payment vouchers</w:t>
      </w:r>
    </w:p>
    <w:p>
      <w:pPr>
        <w:pStyle w:val="ListBullet"/>
      </w:pPr>
      <w:r>
        <w:rPr>
          <w:b/>
        </w:rPr>
        <w:t>Actor:</w:t>
      </w:r>
      <w:r>
        <w:t xml:space="preserve"> Accountant / Cashier</w:t>
      </w:r>
    </w:p>
    <w:p>
      <w:pPr>
        <w:pStyle w:val="ListBullet"/>
      </w:pPr>
      <w:r>
        <w:rPr>
          <w:b/>
        </w:rPr>
        <w:t>Main flow:</w:t>
      </w:r>
      <w:r>
        <w:t xml:space="preserve"> Open the relevant voucher screen → choose party account + cash/bank account → enter amount &amp; details →</w:t>
      </w:r>
    </w:p>
    <w:p>
      <w:r>
        <w:rPr>
          <w:b/>
        </w:rPr>
        <w:t>Save</w:t>
      </w:r>
      <w:r>
        <w:t xml:space="preserve"> (and print).</w:t>
      </w:r>
    </w:p>
    <w:p>
      <w:pPr>
        <w:pStyle w:val="ListBullet"/>
      </w:pPr>
      <w:r>
        <w:rPr>
          <w:b/>
        </w:rPr>
        <w:t>Postcondition:</w:t>
      </w:r>
      <w:r>
        <w:t xml:space="preserve"> Voucher posted (doctype 2 receipt / 4 cash payment / 3 cheque payment).</w:t>
      </w:r>
    </w:p>
    <w:p>
      <w:pPr>
        <w:pStyle w:val="Heading3"/>
      </w:pPr>
      <w:r>
        <w:t>UC‑13 Post / Un‑post documents</w:t>
      </w:r>
    </w:p>
    <w:p>
      <w:pPr>
        <w:pStyle w:val="ListBullet"/>
      </w:pPr>
      <w:r>
        <w:rPr>
          <w:b/>
        </w:rPr>
        <w:t>Actor:</w:t>
      </w:r>
      <w:r>
        <w:t xml:space="preserve"> Accountant / Manager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Misc → Document Posting</w:t>
      </w:r>
      <w:r>
        <w:t xml:space="preserve"> (or Un‑posting) → select documents/range → execute.</w:t>
      </w:r>
    </w:p>
    <w:p>
      <w:pPr>
        <w:pStyle w:val="ListBullet"/>
      </w:pPr>
      <w:r>
        <w:rPr>
          <w:b/>
        </w:rPr>
        <w:t>Postcondition:</w:t>
      </w:r>
      <w:r>
        <w:t xml:space="preserve"> </w:t>
      </w:r>
      <w:r>
        <w:rPr>
          <w:rFonts w:ascii="Consolas" w:hAnsi="Consolas"/>
          <w:color w:val="C0392B"/>
          <w:sz w:val="19"/>
        </w:rPr>
        <w:t>post</w:t>
      </w:r>
      <w:r>
        <w:t xml:space="preserve"> flag updated on the affected vouchers.</w:t>
      </w:r>
    </w:p>
    <w:p>
      <w:pPr>
        <w:pStyle w:val="Heading3"/>
      </w:pPr>
      <w:r>
        <w:t>UC‑14 Year‑End Closing</w:t>
      </w:r>
    </w:p>
    <w:p>
      <w:pPr>
        <w:pStyle w:val="ListBullet"/>
      </w:pPr>
      <w:r>
        <w:rPr>
          <w:b/>
        </w:rPr>
        <w:t>Actor:</w:t>
      </w:r>
      <w:r>
        <w:t xml:space="preserve"> Administrator / Manager (</w:t>
      </w:r>
      <w:r>
        <w:rPr>
          <w:rFonts w:ascii="Consolas" w:hAnsi="Consolas"/>
          <w:color w:val="C0392B"/>
          <w:sz w:val="19"/>
        </w:rPr>
        <w:t>YearEndClosing.Execute</w:t>
      </w:r>
      <w:r>
        <w:t>)</w:t>
      </w:r>
    </w:p>
    <w:p>
      <w:pPr>
        <w:pStyle w:val="ListBullet"/>
      </w:pPr>
      <w:r>
        <w:rPr>
          <w:b/>
        </w:rPr>
        <w:t>Preconditions:</w:t>
      </w:r>
      <w:r>
        <w:t xml:space="preserve"> Fiscal year complete; P&amp;L account chosen.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Misc → Year‑End Closing</w:t>
      </w:r>
      <w:r>
        <w:t xml:space="preserve"> → confirm → a closing voucher (doctype 73, dated 31/12) is generated</w:t>
      </w:r>
    </w:p>
    <w:p>
      <w:r>
        <w:t>that nets income‑statement leaf accounts into the P&amp;L account; progress bar shows status.</w:t>
      </w:r>
    </w:p>
    <w:p>
      <w:pPr>
        <w:pStyle w:val="ListBullet"/>
      </w:pPr>
      <w:r>
        <w:rPr>
          <w:b/>
        </w:rPr>
        <w:t>Alternate:</w:t>
      </w:r>
      <w:r>
        <w:t xml:space="preserve"> </w:t>
      </w:r>
      <w:r>
        <w:rPr>
          <w:b/>
        </w:rPr>
        <w:t>Delete</w:t>
      </w:r>
      <w:r>
        <w:t xml:space="preserve"> (</w:t>
      </w:r>
      <w:r>
        <w:rPr>
          <w:rFonts w:ascii="Consolas" w:hAnsi="Consolas"/>
          <w:color w:val="C0392B"/>
          <w:sz w:val="19"/>
        </w:rPr>
        <w:t>YearEndClosing.Delete</w:t>
      </w:r>
      <w:r>
        <w:t>) removes the closing voucher for the year.</w:t>
      </w:r>
    </w:p>
    <w:p>
      <w:pPr>
        <w:pStyle w:val="ListBullet"/>
      </w:pPr>
      <w:r>
        <w:rPr>
          <w:b/>
        </w:rPr>
        <w:t>Postcondition:</w:t>
      </w:r>
      <w:r>
        <w:t xml:space="preserve"> Year‑end closing entry created/removed.</w:t>
      </w:r>
    </w:p>
    <w:p>
      <w:pPr>
        <w:pStyle w:val="Heading2"/>
      </w:pPr>
      <w:r>
        <w:t>C. Cheque Management</w:t>
      </w:r>
    </w:p>
    <w:p>
      <w:pPr>
        <w:pStyle w:val="Heading3"/>
      </w:pPr>
      <w:r>
        <w:t>UC‑20 Register incoming / outgoing cheques</w:t>
      </w:r>
    </w:p>
    <w:p>
      <w:pPr>
        <w:pStyle w:val="ListBullet"/>
      </w:pPr>
      <w:r>
        <w:rPr>
          <w:b/>
        </w:rPr>
        <w:t>Actor:</w:t>
      </w:r>
      <w:r>
        <w:t xml:space="preserve"> Accountant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Cheques → Incoming/Outgoing (first)</w:t>
      </w:r>
      <w:r>
        <w:t xml:space="preserve"> → enter cheque number, bank, drawer, dates, amount,</w:t>
      </w:r>
    </w:p>
    <w:p>
      <w:r>
        <w:t xml:space="preserve">currency → </w:t>
      </w:r>
      <w:r>
        <w:rPr>
          <w:b/>
        </w:rPr>
        <w:t>Save</w:t>
      </w:r>
      <w:r>
        <w:t>.</w:t>
      </w:r>
    </w:p>
    <w:p>
      <w:pPr>
        <w:pStyle w:val="ListBullet"/>
      </w:pPr>
      <w:r>
        <w:rPr>
          <w:b/>
        </w:rPr>
        <w:t>Postcondition:</w:t>
      </w:r>
      <w:r>
        <w:t xml:space="preserve"> Cheque recorded in </w:t>
      </w:r>
      <w:r>
        <w:rPr>
          <w:rFonts w:ascii="Consolas" w:hAnsi="Consolas"/>
          <w:color w:val="C0392B"/>
          <w:sz w:val="19"/>
        </w:rPr>
        <w:t>cheq1</w:t>
      </w:r>
      <w:r>
        <w:t>/</w:t>
      </w:r>
      <w:r>
        <w:rPr>
          <w:rFonts w:ascii="Consolas" w:hAnsi="Consolas"/>
          <w:color w:val="C0392B"/>
          <w:sz w:val="19"/>
        </w:rPr>
        <w:t>cheq2</w:t>
      </w:r>
      <w:r>
        <w:t xml:space="preserve"> with an initial status.</w:t>
      </w:r>
    </w:p>
    <w:p>
      <w:pPr>
        <w:pStyle w:val="Heading3"/>
      </w:pPr>
      <w:r>
        <w:t>UC‑21 Cheque lifecycle operations</w:t>
      </w:r>
    </w:p>
    <w:p>
      <w:pPr>
        <w:pStyle w:val="ListBullet"/>
      </w:pPr>
      <w:r>
        <w:rPr>
          <w:b/>
        </w:rPr>
        <w:t>Actor:</w:t>
      </w:r>
      <w:r>
        <w:t xml:space="preserve"> Accountant</w:t>
      </w:r>
    </w:p>
    <w:p>
      <w:pPr>
        <w:pStyle w:val="ListBullet"/>
      </w:pPr>
      <w:r>
        <w:rPr>
          <w:b/>
        </w:rPr>
        <w:t>Main flow:</w:t>
      </w:r>
      <w:r>
        <w:t xml:space="preserve"> Move cheques through </w:t>
      </w:r>
      <w:r>
        <w:rPr>
          <w:b/>
        </w:rPr>
        <w:t>Deposit → Collection</w:t>
      </w:r>
      <w:r>
        <w:t>, or handle **Return / Re‑deposit returned / Withdrawal /</w:t>
      </w:r>
    </w:p>
    <w:p>
      <w:r>
        <w:t>Endorsement**, each producing the corresponding GL voucher.</w:t>
      </w:r>
    </w:p>
    <w:p>
      <w:pPr>
        <w:pStyle w:val="ListBullet"/>
      </w:pPr>
      <w:r>
        <w:rPr>
          <w:b/>
        </w:rPr>
        <w:t>Postcondition:</w:t>
      </w:r>
      <w:r>
        <w:t xml:space="preserve"> Cheque status and ledger updated.</w:t>
      </w:r>
    </w:p>
    <w:p>
      <w:pPr>
        <w:pStyle w:val="Heading3"/>
      </w:pPr>
      <w:r>
        <w:t>UC‑22 Track cheques</w:t>
      </w:r>
    </w:p>
    <w:p>
      <w:pPr>
        <w:pStyle w:val="ListBullet"/>
      </w:pPr>
      <w:r>
        <w:rPr>
          <w:b/>
        </w:rPr>
        <w:t>Actor:</w:t>
      </w:r>
      <w:r>
        <w:t xml:space="preserve"> Accountant / Manager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Cheques → Tracking</w:t>
      </w:r>
      <w:r>
        <w:t xml:space="preserve"> (or the cheque reports) → filter by serial type/number/value/date →</w:t>
      </w:r>
    </w:p>
    <w:p>
      <w:r>
        <w:t>view the cheque’s movement history.</w:t>
      </w:r>
    </w:p>
    <w:p>
      <w:pPr>
        <w:pStyle w:val="ListBullet"/>
      </w:pPr>
      <w:r>
        <w:rPr>
          <w:b/>
        </w:rPr>
        <w:t>Postcondition:</w:t>
      </w:r>
      <w:r>
        <w:t xml:space="preserve"> Read‑only insight; printable.</w:t>
      </w:r>
    </w:p>
    <w:p>
      <w:pPr>
        <w:pStyle w:val="Heading2"/>
      </w:pPr>
      <w:r>
        <w:t>D. Sales &amp; Invoicing</w:t>
      </w:r>
    </w:p>
    <w:p>
      <w:pPr>
        <w:pStyle w:val="Heading3"/>
      </w:pPr>
      <w:r>
        <w:t>UC‑30 Create a sales invoice</w:t>
      </w:r>
    </w:p>
    <w:p>
      <w:pPr>
        <w:pStyle w:val="ListBullet"/>
      </w:pPr>
      <w:r>
        <w:rPr>
          <w:b/>
        </w:rPr>
        <w:t>Actor:</w:t>
      </w:r>
      <w:r>
        <w:t xml:space="preserve"> Salesperson</w:t>
      </w:r>
    </w:p>
    <w:p>
      <w:pPr>
        <w:pStyle w:val="ListBullet"/>
      </w:pPr>
      <w:r>
        <w:rPr>
          <w:b/>
        </w:rPr>
        <w:t>Preconditions:</w:t>
      </w:r>
      <w:r>
        <w:t xml:space="preserve"> Customer &amp; items defined.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Sales → Invoice / Add Invoice</w:t>
      </w:r>
      <w:r>
        <w:t xml:space="preserve"> → select customer → add lines (item, qty, price, discount, tax)</w:t>
      </w:r>
    </w:p>
    <w:p>
      <w:r>
        <w:t xml:space="preserve">→ </w:t>
      </w:r>
      <w:r>
        <w:rPr>
          <w:b/>
        </w:rPr>
        <w:t>Save</w:t>
      </w:r>
      <w:r>
        <w:t>.</w:t>
      </w:r>
    </w:p>
    <w:p>
      <w:pPr>
        <w:pStyle w:val="ListBullet"/>
      </w:pPr>
      <w:r>
        <w:rPr>
          <w:b/>
        </w:rPr>
        <w:t>Alternate:</w:t>
      </w:r>
      <w:r>
        <w:t xml:space="preserve"> Service invoice and Virtual invoice variants follow the same pattern under their menus.</w:t>
      </w:r>
    </w:p>
    <w:p>
      <w:pPr>
        <w:pStyle w:val="ListBullet"/>
      </w:pPr>
      <w:r>
        <w:rPr>
          <w:b/>
        </w:rPr>
        <w:t>Postcondition:</w:t>
      </w:r>
      <w:r>
        <w:t xml:space="preserve"> Invoice persisted; available for transfer/refund/print.</w:t>
      </w:r>
    </w:p>
    <w:p>
      <w:pPr>
        <w:pStyle w:val="Heading3"/>
      </w:pPr>
      <w:r>
        <w:t>UC‑31 Transfer invoice to e‑invoicing (JoFawtara / Fotara)</w:t>
      </w:r>
    </w:p>
    <w:p>
      <w:pPr>
        <w:pStyle w:val="ListBullet"/>
      </w:pPr>
      <w:r>
        <w:rPr>
          <w:b/>
        </w:rPr>
        <w:t>Actor:</w:t>
      </w:r>
      <w:r>
        <w:t xml:space="preserve"> Salesperson / System</w:t>
      </w:r>
    </w:p>
    <w:p>
      <w:pPr>
        <w:pStyle w:val="ListBullet"/>
      </w:pPr>
      <w:r>
        <w:rPr>
          <w:b/>
        </w:rPr>
        <w:t>Preconditions:</w:t>
      </w:r>
      <w:r>
        <w:t xml:space="preserve"> Invoice eligible; Fotara credentials configured.</w:t>
      </w:r>
    </w:p>
    <w:p>
      <w:pPr>
        <w:pStyle w:val="ListBullet"/>
      </w:pPr>
      <w:r>
        <w:rPr>
          <w:b/>
        </w:rPr>
        <w:t>Main flow:</w:t>
      </w:r>
      <w:r>
        <w:t xml:space="preserve"> Select untransferred invoices → system sends each to the Fotara API and stores the returned </w:t>
      </w:r>
      <w:r>
        <w:rPr>
          <w:b/>
        </w:rPr>
        <w:t>QR code</w:t>
      </w:r>
    </w:p>
    <w:p>
      <w:r>
        <w:t>on the invoice.</w:t>
      </w:r>
    </w:p>
    <w:p>
      <w:pPr>
        <w:pStyle w:val="ListBullet"/>
      </w:pPr>
      <w:r>
        <w:rPr>
          <w:b/>
        </w:rPr>
        <w:t>Postcondition:</w:t>
      </w:r>
      <w:r>
        <w:t xml:space="preserve"> Invoice marked transferred with QR; failures logged, others continue.</w:t>
      </w:r>
    </w:p>
    <w:p>
      <w:pPr>
        <w:pStyle w:val="Heading3"/>
      </w:pPr>
      <w:r>
        <w:t>UC‑32 Refund an invoice</w:t>
      </w:r>
    </w:p>
    <w:p>
      <w:pPr>
        <w:pStyle w:val="ListBullet"/>
      </w:pPr>
      <w:r>
        <w:rPr>
          <w:b/>
        </w:rPr>
        <w:t>Actor:</w:t>
      </w:r>
      <w:r>
        <w:t xml:space="preserve"> Salesperson / Manager</w:t>
      </w:r>
    </w:p>
    <w:p>
      <w:pPr>
        <w:pStyle w:val="ListBullet"/>
      </w:pPr>
      <w:r>
        <w:rPr>
          <w:b/>
        </w:rPr>
        <w:t>Main flow:</w:t>
      </w:r>
      <w:r>
        <w:t xml:space="preserve"> Open the invoice → </w:t>
      </w:r>
      <w:r>
        <w:rPr>
          <w:b/>
        </w:rPr>
        <w:t>Refund</w:t>
      </w:r>
      <w:r>
        <w:t xml:space="preserve"> → confirm lines/amount → </w:t>
      </w:r>
      <w:r>
        <w:rPr>
          <w:b/>
        </w:rPr>
        <w:t>Save</w:t>
      </w:r>
      <w:r>
        <w:t>.</w:t>
      </w:r>
    </w:p>
    <w:p>
      <w:pPr>
        <w:pStyle w:val="ListBullet"/>
      </w:pPr>
      <w:r>
        <w:rPr>
          <w:b/>
        </w:rPr>
        <w:t>Postcondition:</w:t>
      </w:r>
      <w:r>
        <w:t xml:space="preserve"> Refund document created and linked to the original invoice.</w:t>
      </w:r>
    </w:p>
    <w:p>
      <w:pPr>
        <w:pStyle w:val="Heading2"/>
      </w:pPr>
      <w:r>
        <w:t>E. Definitions</w:t>
      </w:r>
    </w:p>
    <w:p>
      <w:pPr>
        <w:pStyle w:val="Heading3"/>
      </w:pPr>
      <w:r>
        <w:t>UC‑40 Manage a definition (Currency example)</w:t>
      </w:r>
    </w:p>
    <w:p>
      <w:pPr>
        <w:pStyle w:val="ListBullet"/>
      </w:pPr>
      <w:r>
        <w:rPr>
          <w:b/>
        </w:rPr>
        <w:t>Actor:</w:t>
      </w:r>
      <w:r>
        <w:t xml:space="preserve"> Accountant / Administrator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Definitions → Currencies</w:t>
      </w:r>
      <w:r>
        <w:t xml:space="preserve"> → add/edit (number, AR/EN name, rate, decimals, symbols) → </w:t>
      </w:r>
      <w:r>
        <w:rPr>
          <w:b/>
        </w:rPr>
        <w:t>Save</w:t>
      </w:r>
      <w:r>
        <w:t>;</w:t>
      </w:r>
    </w:p>
    <w:p>
      <w:r>
        <w:t xml:space="preserve">delete with confirmation; </w:t>
      </w:r>
      <w:r>
        <w:rPr>
          <w:b/>
        </w:rPr>
        <w:t>Print</w:t>
      </w:r>
      <w:r>
        <w:t xml:space="preserve"> the list.</w:t>
      </w:r>
    </w:p>
    <w:p>
      <w:pPr>
        <w:pStyle w:val="ListBullet"/>
      </w:pPr>
      <w:r>
        <w:rPr>
          <w:b/>
        </w:rPr>
        <w:t>Variants:</w:t>
      </w:r>
      <w:r>
        <w:t xml:space="preserve"> Banks, Taxes, Stamps, Cost Centers, Account Groups follow the same master‑data pattern with their own</w:t>
      </w:r>
    </w:p>
    <w:p>
      <w:r>
        <w:rPr>
          <w:rFonts w:ascii="Consolas" w:hAnsi="Consolas"/>
          <w:color w:val="C0392B"/>
          <w:sz w:val="19"/>
        </w:rPr>
        <w:t>*.Create/Delete/Print</w:t>
      </w:r>
      <w:r>
        <w:t xml:space="preserve"> permissions.</w:t>
      </w:r>
    </w:p>
    <w:p>
      <w:pPr>
        <w:pStyle w:val="ListBullet"/>
      </w:pPr>
      <w:r>
        <w:rPr>
          <w:b/>
        </w:rPr>
        <w:t>Postcondition:</w:t>
      </w:r>
      <w:r>
        <w:t xml:space="preserve"> Definition list updated.</w:t>
      </w:r>
    </w:p>
    <w:p>
      <w:pPr>
        <w:pStyle w:val="Heading2"/>
      </w:pPr>
      <w:r>
        <w:t>F. Reporting &amp; Analytics</w:t>
      </w:r>
    </w:p>
    <w:p>
      <w:pPr>
        <w:pStyle w:val="Heading3"/>
      </w:pPr>
      <w:r>
        <w:t>UC‑50 Generate a financial report</w:t>
      </w:r>
    </w:p>
    <w:p>
      <w:pPr>
        <w:pStyle w:val="ListBullet"/>
      </w:pPr>
      <w:r>
        <w:rPr>
          <w:b/>
        </w:rPr>
        <w:t>Actor:</w:t>
      </w:r>
      <w:r>
        <w:t xml:space="preserve"> Accountant / Manager</w:t>
      </w:r>
    </w:p>
    <w:p>
      <w:pPr>
        <w:pStyle w:val="ListBullet"/>
      </w:pPr>
      <w:r>
        <w:rPr>
          <w:b/>
        </w:rPr>
        <w:t>Preconditions:</w:t>
      </w:r>
      <w:r>
        <w:t xml:space="preserve"> Posted data exists.</w:t>
      </w:r>
    </w:p>
    <w:p>
      <w:pPr>
        <w:pStyle w:val="ListBullet"/>
      </w:pPr>
      <w:r>
        <w:rPr>
          <w:b/>
        </w:rPr>
        <w:t>Main flow:</w:t>
      </w:r>
      <w:r>
        <w:t xml:space="preserve"> Open a report (e.g. </w:t>
      </w:r>
      <w:r>
        <w:rPr>
          <w:b/>
        </w:rPr>
        <w:t>Trial Balance</w:t>
      </w:r>
      <w:r>
        <w:t xml:space="preserve">, </w:t>
      </w:r>
      <w:r>
        <w:rPr>
          <w:b/>
        </w:rPr>
        <w:t>Income Statement</w:t>
      </w:r>
      <w:r>
        <w:t xml:space="preserve">, </w:t>
      </w:r>
      <w:r>
        <w:rPr>
          <w:b/>
        </w:rPr>
        <w:t>Balance Sheet</w:t>
      </w:r>
      <w:r>
        <w:t xml:space="preserve">, </w:t>
      </w:r>
      <w:r>
        <w:rPr>
          <w:b/>
        </w:rPr>
        <w:t>Detailed Statement</w:t>
      </w:r>
      <w:r>
        <w:t>,</w:t>
      </w:r>
    </w:p>
    <w:p>
      <w:r>
        <w:rPr>
          <w:b/>
        </w:rPr>
        <w:t>Aging Analysis</w:t>
      </w:r>
      <w:r>
        <w:t xml:space="preserve">) → set filters (dates, account range, currency, posted status, etc.) → </w:t>
      </w:r>
      <w:r>
        <w:rPr>
          <w:b/>
        </w:rPr>
        <w:t>Generate</w:t>
      </w:r>
      <w:r>
        <w:t xml:space="preserve"> → review → </w:t>
      </w:r>
      <w:r>
        <w:rPr>
          <w:b/>
        </w:rPr>
        <w:t>Print</w:t>
      </w:r>
      <w:r>
        <w:t>.</w:t>
      </w:r>
    </w:p>
    <w:p>
      <w:pPr>
        <w:pStyle w:val="ListBullet"/>
      </w:pPr>
      <w:r>
        <w:rPr>
          <w:b/>
        </w:rPr>
        <w:t>Behavior:</w:t>
      </w:r>
      <w:r>
        <w:t xml:space="preserve"> Changing any filter clears previously shown results; many reports support deep‑links to source vouchers</w:t>
      </w:r>
    </w:p>
    <w:p>
      <w:r>
        <w:t>and Excel export.</w:t>
      </w:r>
    </w:p>
    <w:p>
      <w:pPr>
        <w:pStyle w:val="ListBullet"/>
      </w:pPr>
      <w:r>
        <w:rPr>
          <w:b/>
        </w:rPr>
        <w:t>Postcondition:</w:t>
      </w:r>
      <w:r>
        <w:t xml:space="preserve"> Report rendered; no data change.</w:t>
      </w:r>
    </w:p>
    <w:p>
      <w:pPr>
        <w:pStyle w:val="Heading3"/>
      </w:pPr>
      <w:r>
        <w:t>UC‑51 Account Ledger &amp; drill‑down</w:t>
      </w:r>
    </w:p>
    <w:p>
      <w:pPr>
        <w:pStyle w:val="ListBullet"/>
      </w:pPr>
      <w:r>
        <w:rPr>
          <w:b/>
        </w:rPr>
        <w:t>Actor:</w:t>
      </w:r>
      <w:r>
        <w:t xml:space="preserve"> Accountant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Misc → Account Ledger</w:t>
      </w:r>
      <w:r>
        <w:t xml:space="preserve"> → choose account + period → </w:t>
      </w:r>
      <w:r>
        <w:rPr>
          <w:b/>
        </w:rPr>
        <w:t>Fetch</w:t>
      </w:r>
      <w:r>
        <w:t xml:space="preserve"> → see opening balance, movements</w:t>
      </w:r>
    </w:p>
    <w:p>
      <w:r>
        <w:t xml:space="preserve">(running balance), final balance. Click a row’s document number to open its voucher, or open the </w:t>
      </w:r>
      <w:r>
        <w:rPr>
          <w:b/>
        </w:rPr>
        <w:t>Detailed Statement</w:t>
      </w:r>
    </w:p>
    <w:p>
      <w:r>
        <w:t>pre‑filtered for the same account.</w:t>
      </w:r>
    </w:p>
    <w:p>
      <w:pPr>
        <w:pStyle w:val="ListBullet"/>
      </w:pPr>
      <w:r>
        <w:rPr>
          <w:b/>
        </w:rPr>
        <w:t>Postcondition:</w:t>
      </w:r>
      <w:r>
        <w:t xml:space="preserve"> Read‑only analysis.</w:t>
      </w:r>
    </w:p>
    <w:p>
      <w:pPr>
        <w:pStyle w:val="Heading3"/>
      </w:pPr>
      <w:r>
        <w:t>UC‑52 Missing / Unbalanced vouchers</w:t>
      </w:r>
    </w:p>
    <w:p>
      <w:pPr>
        <w:pStyle w:val="ListBullet"/>
      </w:pPr>
      <w:r>
        <w:rPr>
          <w:b/>
        </w:rPr>
        <w:t>Actor:</w:t>
      </w:r>
      <w:r>
        <w:t xml:space="preserve"> Accountant / Auditor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Misc → Missing Vouchers</w:t>
      </w:r>
      <w:r>
        <w:t xml:space="preserve"> → select voucher type (auto‑fills the document number min/max) →</w:t>
      </w:r>
    </w:p>
    <w:p>
      <w:r>
        <w:rPr>
          <w:b/>
        </w:rPr>
        <w:t>Run</w:t>
      </w:r>
      <w:r>
        <w:t xml:space="preserve"> to list gaps in the numbering, or switch to the </w:t>
      </w:r>
      <w:r>
        <w:rPr>
          <w:b/>
        </w:rPr>
        <w:t>Unbalanced</w:t>
      </w:r>
      <w:r>
        <w:t xml:space="preserve"> view to find vouchers whose lines don’t net to</w:t>
      </w:r>
    </w:p>
    <w:p>
      <w:r>
        <w:t>zero.</w:t>
      </w:r>
    </w:p>
    <w:p>
      <w:pPr>
        <w:pStyle w:val="ListBullet"/>
      </w:pPr>
      <w:r>
        <w:rPr>
          <w:b/>
        </w:rPr>
        <w:t>Postcondition:</w:t>
      </w:r>
      <w:r>
        <w:t xml:space="preserve"> Exceptions surfaced for correction.</w:t>
      </w:r>
    </w:p>
    <w:p>
      <w:pPr>
        <w:pStyle w:val="Heading3"/>
      </w:pPr>
      <w:r>
        <w:t>UC‑53 Voucher dashboard (Home)</w:t>
      </w:r>
    </w:p>
    <w:p>
      <w:pPr>
        <w:pStyle w:val="ListBullet"/>
      </w:pPr>
      <w:r>
        <w:rPr>
          <w:b/>
        </w:rPr>
        <w:t>Actor:</w:t>
      </w:r>
      <w:r>
        <w:t xml:space="preserve"> Any authorized user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Home</w:t>
      </w:r>
      <w:r>
        <w:t xml:space="preserve"> → set </w:t>
      </w:r>
      <w:r>
        <w:rPr>
          <w:b/>
        </w:rPr>
        <w:t>date range / currency / posted‑status</w:t>
      </w:r>
      <w:r>
        <w:t xml:space="preserve"> filters (auto‑applied &amp; remembered) →</w:t>
      </w:r>
    </w:p>
    <w:p>
      <w:r>
        <w:t xml:space="preserve">view per‑type KPIs, a data grid and a chart for </w:t>
      </w:r>
      <w:r>
        <w:rPr>
          <w:b/>
        </w:rPr>
        <w:t>Journal, Cash Payment, Cheque Payment, Receipt</w:t>
      </w:r>
      <w:r>
        <w:t>; switch each chart’s</w:t>
      </w:r>
    </w:p>
    <w:p>
      <w:r>
        <w:t>type (column/line/area/pie/donut) — the choice is persisted per chart.</w:t>
      </w:r>
    </w:p>
    <w:p>
      <w:pPr>
        <w:pStyle w:val="ListBullet"/>
      </w:pPr>
      <w:r>
        <w:rPr>
          <w:b/>
        </w:rPr>
        <w:t>Postcondition:</w:t>
      </w:r>
      <w:r>
        <w:t xml:space="preserve"> At‑a‑glance overview; no data change.</w:t>
      </w:r>
    </w:p>
    <w:p>
      <w:pPr>
        <w:pStyle w:val="Heading2"/>
      </w:pPr>
      <w:r>
        <w:t>G. Administration &amp; System</w:t>
      </w:r>
    </w:p>
    <w:p>
      <w:pPr>
        <w:pStyle w:val="Heading3"/>
      </w:pPr>
      <w:r>
        <w:t>UC‑60 Configure company &amp; appearance</w:t>
      </w:r>
    </w:p>
    <w:p>
      <w:pPr>
        <w:pStyle w:val="ListBullet"/>
      </w:pPr>
      <w:r>
        <w:rPr>
          <w:b/>
        </w:rPr>
        <w:t>Actor:</w:t>
      </w:r>
      <w:r>
        <w:t xml:space="preserve"> Administrator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System → Company Info</w:t>
      </w:r>
      <w:r>
        <w:t xml:space="preserve"> (name, decimals, branding) / </w:t>
      </w:r>
      <w:r>
        <w:rPr>
          <w:b/>
        </w:rPr>
        <w:t>Settings → Appearance</w:t>
      </w:r>
      <w:r>
        <w:t xml:space="preserve"> (theme, RTL) →</w:t>
      </w:r>
    </w:p>
    <w:p>
      <w:r>
        <w:t>save. Settings are loaded app‑wide.</w:t>
      </w:r>
    </w:p>
    <w:p>
      <w:pPr>
        <w:pStyle w:val="Heading3"/>
      </w:pPr>
      <w:r>
        <w:t>UC‑61 Review activity log</w:t>
      </w:r>
    </w:p>
    <w:p>
      <w:pPr>
        <w:pStyle w:val="ListBullet"/>
      </w:pPr>
      <w:r>
        <w:rPr>
          <w:b/>
        </w:rPr>
        <w:t>Actor:</w:t>
      </w:r>
      <w:r>
        <w:t xml:space="preserve"> Administrator / Manager</w:t>
      </w:r>
    </w:p>
    <w:p>
      <w:pPr>
        <w:pStyle w:val="ListBullet"/>
      </w:pPr>
      <w:r>
        <w:rPr>
          <w:b/>
        </w:rPr>
        <w:t>Main flow:</w:t>
      </w:r>
      <w:r>
        <w:t xml:space="preserve"> Open </w:t>
      </w:r>
      <w:r>
        <w:rPr>
          <w:b/>
        </w:rPr>
        <w:t>Activity Log</w:t>
      </w:r>
      <w:r>
        <w:t xml:space="preserve"> → filter → review user actions/audit trail.</w:t>
      </w:r>
    </w:p>
    <w:p>
      <w:pPr>
        <w:pStyle w:val="Heading3"/>
      </w:pPr>
      <w:r>
        <w:t>UC‑62 In‑field calculator</w:t>
      </w:r>
    </w:p>
    <w:p>
      <w:pPr>
        <w:pStyle w:val="ListBullet"/>
      </w:pPr>
      <w:r>
        <w:rPr>
          <w:b/>
        </w:rPr>
        <w:t>Actor:</w:t>
      </w:r>
      <w:r>
        <w:t xml:space="preserve"> Any user (accounting module)</w:t>
      </w:r>
    </w:p>
    <w:p>
      <w:pPr>
        <w:pStyle w:val="ListBullet"/>
      </w:pPr>
      <w:r>
        <w:rPr>
          <w:b/>
        </w:rPr>
        <w:t>Main flow:</w:t>
      </w:r>
      <w:r>
        <w:t xml:space="preserve"> Focus a numeric field → press </w:t>
      </w:r>
      <w:r>
        <w:rPr>
          <w:b/>
        </w:rPr>
        <w:t>F2</w:t>
      </w:r>
      <w:r>
        <w:t xml:space="preserve"> → a calculator opens anchored to the field; the result is written</w:t>
      </w:r>
    </w:p>
    <w:p>
      <w:r>
        <w:t>back on apply.</w:t>
      </w:r>
    </w:p>
    <w:p>
      <w:pPr>
        <w:pStyle w:val="Heading2"/>
      </w:pPr>
      <w:r>
        <w:t>Permission ↔ Use‑case map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Permission key(s)</w:t>
            </w:r>
          </w:p>
        </w:tc>
      </w:tr>
      <w:tr>
        <w:tc>
          <w:tcPr>
            <w:tcW w:type="dxa" w:w="4320"/>
          </w:tcPr>
          <w:p>
            <w:r/>
            <w:r>
              <w:t>Manage permissions (UC‑02)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Admin.ManagePermissions</w:t>
            </w:r>
          </w:p>
        </w:tc>
      </w:tr>
      <w:tr>
        <w:tc>
          <w:tcPr>
            <w:tcW w:type="dxa" w:w="4320"/>
          </w:tcPr>
          <w:p>
            <w:r/>
            <w:r>
              <w:t>Maintain currencies (UC‑40)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Currencies.Create</w:t>
            </w:r>
            <w: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.Delete</w:t>
            </w:r>
            <w: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.Print</w:t>
            </w:r>
          </w:p>
        </w:tc>
      </w:tr>
      <w:tr>
        <w:tc>
          <w:tcPr>
            <w:tcW w:type="dxa" w:w="4320"/>
          </w:tcPr>
          <w:p>
            <w:r/>
            <w:r>
              <w:t>Year‑end closing (UC‑14)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YearEndClosing.Execute</w:t>
            </w:r>
            <w: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>.Delete</w:t>
            </w:r>
          </w:p>
        </w:tc>
      </w:tr>
      <w:tr>
        <w:tc>
          <w:tcPr>
            <w:tcW w:type="dxa" w:w="4320"/>
          </w:tcPr>
          <w:p>
            <w:r/>
            <w:r>
              <w:t>Account ledger (UC‑51)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AccountLedger.Print</w:t>
            </w:r>
          </w:p>
        </w:tc>
      </w:tr>
      <w:tr>
        <w:tc>
          <w:tcPr>
            <w:tcW w:type="dxa" w:w="4320"/>
          </w:tcPr>
          <w:p>
            <w:r/>
            <w:r>
              <w:t>Cheque/cost‑center reports (UC‑50)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InwardCheques.*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OutwardCheques.*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PaymentVouchers.*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CostCenterAccBalances.*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CostCenterTransactions.*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IncomingChequeMovement.*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ChequesToBeneficiary.*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MissingVouchers.*</w:t>
            </w:r>
          </w:p>
        </w:tc>
      </w:tr>
      <w:tr>
        <w:tc>
          <w:tcPr>
            <w:tcW w:type="dxa" w:w="4320"/>
          </w:tcPr>
          <w:p>
            <w:r/>
            <w:r>
              <w:t>Invoices (UC‑30/31/32)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Invoices.*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ServiceInvoices.*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VirtualInvoices.*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Refunds.*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Permission gating is applied at the </w:t>
      </w:r>
      <w:r>
        <w:rPr>
          <w:b/>
          <w:i/>
          <w:color w:val="555555"/>
        </w:rPr>
        <w:t>UI action</w:t>
      </w:r>
      <w:r>
        <w:rPr>
          <w:i/>
          <w:color w:val="555555"/>
        </w:rPr>
        <w:t xml:space="preserve"> level via </w:t>
      </w:r>
      <w:r>
        <w:rPr>
          <w:rFonts w:ascii="Consolas" w:hAnsi="Consolas"/>
          <w:i/>
          <w:color w:val="555555"/>
          <w:sz w:val="19"/>
        </w:rPr>
        <w:t>*hasPermission</w:t>
      </w:r>
      <w:r>
        <w:rPr>
          <w:i/>
          <w:color w:val="555555"/>
        </w:rPr>
        <w:t>. Pages without a gate are open to any</w:t>
      </w:r>
    </w:p>
    <w:p>
      <w:pPr>
        <w:ind w:left="432"/>
      </w:pPr>
      <w:r>
        <w:rPr>
          <w:i/>
          <w:color w:val="555555"/>
        </w:rPr>
        <w:t>authenticated user (except the Permissions admin page).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