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 Thesis Annual Review: Examiner Question Bank and Model Answers</w:t>
      </w:r>
    </w:p>
    <w:p>
      <w:pPr>
        <w:spacing w:after="120"/>
      </w:pPr>
      <w:r>
        <w:rPr>
          <w:b/>
        </w:rPr>
        <w:t>Thesis reviewed:</w:t>
      </w:r>
      <w:r>
        <w:t xml:space="preserve"> </w:t>
      </w:r>
      <w:r>
        <w:rPr>
          <w:i/>
        </w:rPr>
        <w:t>Atherogenic Particle-Burden Phenotyping in Familial Hypercholesterolaemia: Measurement, Ascertainment, Identification and Prediction of Atherosclerotic Cardiovascular Risk</w:t>
      </w:r>
      <w:r>
        <w:t xml:space="preserve"> (MD_SUBMISSION_v3_FINAL.docx; 8 chapters, Appendices A to G, 100 references, about 67,700 words).</w:t>
      </w:r>
    </w:p>
    <w:p>
      <w:pPr>
        <w:spacing w:after="120"/>
      </w:pPr>
      <w:r>
        <w:rPr>
          <w:b/>
        </w:rPr>
        <w:t>Candidate:</w:t>
      </w:r>
      <w:r>
        <w:t xml:space="preserve"> Dr Nader Genedy. </w:t>
      </w:r>
      <w:r>
        <w:rPr>
          <w:b/>
        </w:rPr>
        <w:t>Supervisors named in the thesis:</w:t>
      </w:r>
      <w:r>
        <w:t xml:space="preserve"> Professor Duncan Cole, Professor Zaheer Yousef, Dr Thomas Aubin.</w:t>
      </w:r>
    </w:p>
    <w:p>
      <w:pPr>
        <w:spacing w:after="120"/>
      </w:pPr>
      <w:r>
        <w:rPr>
          <w:b/>
        </w:rPr>
        <w:t>Format simulated:</w:t>
      </w:r>
      <w:r>
        <w:t xml:space="preserve"> one-hour annual-review Q and A with a single professor examining in three capacities: lipid medicine, biostatistics and genetic medicine.</w:t>
      </w:r>
    </w:p>
    <w:p>
      <w:pPr>
        <w:spacing w:after="120"/>
      </w:pPr>
      <w:r>
        <w:rPr>
          <w:b/>
        </w:rPr>
        <w:t>How this file was built.</w:t>
      </w:r>
      <w:r>
        <w:t xml:space="preserve"> Every paragraph of Chapters 1 to 8 and Appendices A, B, D, F and G was read in full. Every number in a model answer below is quoted from the thesis itself and carries the section it comes from, so the candidate can check it before the meeting. No number has been added from memory. At the candidate's instruction, no other programme or repository document was used as evidence; the thesis is the sole source, with external citations checked against PubMed (Part 10).</w:t>
      </w:r>
    </w:p>
    <w:p>
      <w:pPr>
        <w:spacing w:after="120"/>
      </w:pPr>
      <w:r>
        <w:rPr>
          <w:b/>
        </w:rPr>
        <w:t>Skills invoked:</w:t>
      </w:r>
      <w:r>
        <w:t xml:space="preserve"> research-executive-planner (Part 9 plan), preventive-cardio-epidemiologist (causal and design questions throughout), research (background verification of external citations, Part 10). Two skills named in the request, </w:t>
      </w:r>
      <w:r>
        <w:rPr>
          <w:rFonts w:ascii="Consolas" w:hAnsi="Consolas"/>
          <w:sz w:val="19"/>
        </w:rPr>
        <w:t>design:research-synthesis</w:t>
      </w:r>
      <w:r>
        <w:t xml:space="preserve"> and </w:t>
      </w:r>
      <w:r>
        <w:rPr>
          <w:rFonts w:ascii="Consolas" w:hAnsi="Consolas"/>
          <w:sz w:val="19"/>
        </w:rPr>
        <w:t>bio-research:scientific-problem-selection</w:t>
      </w:r>
      <w:r>
        <w:t>, are not installed in this environment and were not used.</w:t>
      </w:r>
    </w:p>
    <w:p>
      <w:pPr>
        <w:pStyle w:val="Heading1"/>
      </w:pPr>
      <w:r>
        <w:t>Contents</w:t>
      </w:r>
    </w:p>
    <w:p>
      <w:pPr>
        <w:pStyle w:val="ListBullet"/>
      </w:pPr>
      <w:r>
        <w:t>Part 0. How to use this file and the one-hour mock timetable</w:t>
      </w:r>
    </w:p>
    <w:p>
      <w:pPr>
        <w:pStyle w:val="ListBullet"/>
      </w:pPr>
      <w:r>
        <w:t>Part 1. Pre-meeting fixes: internal inconsistencies found on the paragraph-by-paragraph read</w:t>
      </w:r>
    </w:p>
    <w:p>
      <w:pPr>
        <w:pStyle w:val="ListBullet"/>
      </w:pPr>
      <w:r>
        <w:t>Part 2. Things not to say in the room</w:t>
      </w:r>
    </w:p>
    <w:p>
      <w:pPr>
        <w:pStyle w:val="ListBullet"/>
      </w:pPr>
      <w:r>
        <w:t>Part 3. Opening questions (first five minutes)</w:t>
      </w:r>
    </w:p>
    <w:p>
      <w:pPr>
        <w:pStyle w:val="ListBullet"/>
      </w:pPr>
      <w:r>
        <w:t>Part 4. Chapter-by-chapter question bank</w:t>
      </w:r>
    </w:p>
    <w:p>
      <w:pPr>
        <w:pStyle w:val="ListBullet2"/>
      </w:pPr>
      <w:r>
        <w:t>4.1 Chapter 1 Introduction and framework</w:t>
      </w:r>
    </w:p>
    <w:p>
      <w:pPr>
        <w:pStyle w:val="ListBullet2"/>
      </w:pPr>
      <w:r>
        <w:t>4.2 Chapter 2 Literature review</w:t>
      </w:r>
    </w:p>
    <w:p>
      <w:pPr>
        <w:pStyle w:val="ListBullet2"/>
      </w:pPr>
      <w:r>
        <w:t>4.3 Chapter 3 Shared methods and governance</w:t>
      </w:r>
    </w:p>
    <w:p>
      <w:pPr>
        <w:pStyle w:val="ListBullet2"/>
      </w:pPr>
      <w:r>
        <w:t>4.4 Chapter 4 Measure (apoB residual)</w:t>
      </w:r>
    </w:p>
    <w:p>
      <w:pPr>
        <w:pStyle w:val="ListBullet2"/>
      </w:pPr>
      <w:r>
        <w:t>4.5 Chapter 5 Select (ascertainment)</w:t>
      </w:r>
    </w:p>
    <w:p>
      <w:pPr>
        <w:pStyle w:val="ListBullet2"/>
      </w:pPr>
      <w:r>
        <w:t>4.6 Chapter 6 Identify (TUDOR)</w:t>
      </w:r>
    </w:p>
    <w:p>
      <w:pPr>
        <w:pStyle w:val="ListBullet2"/>
      </w:pPr>
      <w:r>
        <w:t>4.7 Chapter 7 Predict (CALON-5 and the two-term model)</w:t>
      </w:r>
    </w:p>
    <w:p>
      <w:pPr>
        <w:pStyle w:val="ListBullet2"/>
      </w:pPr>
      <w:r>
        <w:t>4.8 Chapter 8 Discussion, sex section, limitations</w:t>
      </w:r>
    </w:p>
    <w:p>
      <w:pPr>
        <w:pStyle w:val="ListBullet2"/>
      </w:pPr>
      <w:r>
        <w:t>4.9 Appendices, governance, AI statement, reproducibility</w:t>
      </w:r>
    </w:p>
    <w:p>
      <w:pPr>
        <w:pStyle w:val="ListBullet"/>
      </w:pPr>
      <w:r>
        <w:t>Part 5. Cross-cutting hard questions (integrity, HARKing, causal language, translation)</w:t>
      </w:r>
    </w:p>
    <w:p>
      <w:pPr>
        <w:pStyle w:val="ListBullet"/>
      </w:pPr>
      <w:r>
        <w:t>Part 6. Genetic-medicine questions</w:t>
      </w:r>
    </w:p>
    <w:p>
      <w:pPr>
        <w:pStyle w:val="ListBullet"/>
      </w:pPr>
      <w:r>
        <w:t>Part 7. Biostatistics rapid-fire (one-line answers)</w:t>
      </w:r>
    </w:p>
    <w:p>
      <w:pPr>
        <w:pStyle w:val="ListBullet"/>
      </w:pPr>
      <w:r>
        <w:t>Part 8. Lipid-medicine rapid-fire (one-line answers)</w:t>
      </w:r>
    </w:p>
    <w:p>
      <w:pPr>
        <w:pStyle w:val="ListBullet"/>
      </w:pPr>
      <w:r>
        <w:t>Part 9. Annual-review specific: progress, risks and the next 12 months</w:t>
      </w:r>
    </w:p>
    <w:p>
      <w:pPr>
        <w:pStyle w:val="ListBullet"/>
      </w:pPr>
      <w:r>
        <w:t>Part 10. External-citation verification status</w:t>
      </w:r>
    </w:p>
    <w:p>
      <w:pPr>
        <w:pStyle w:val="ListBullet"/>
      </w:pPr>
      <w:r>
        <w:t>Part 11. Likely examiner verdict and what would convert it</w:t>
      </w:r>
    </w:p>
    <w:p>
      <w:pPr>
        <w:pStyle w:val="Heading1"/>
      </w:pPr>
      <w:r>
        <w:t>Part 0. How to use this file and the one-hour mock timetable</w:t>
      </w:r>
    </w:p>
    <w:p>
      <w:pPr>
        <w:spacing w:after="120"/>
      </w:pPr>
      <w:r>
        <w:t xml:space="preserve">Each question gives: </w:t>
      </w:r>
      <w:r>
        <w:rPr>
          <w:b/>
        </w:rPr>
        <w:t>why it is asked</w:t>
      </w:r>
      <w:r>
        <w:t xml:space="preserve"> (what the examiner is testing), a </w:t>
      </w:r>
      <w:r>
        <w:rPr>
          <w:b/>
        </w:rPr>
        <w:t>model answer</w:t>
      </w:r>
      <w:r>
        <w:t xml:space="preserve"> (short, with the thesis section that carries the number), a </w:t>
      </w:r>
      <w:r>
        <w:rPr>
          <w:b/>
        </w:rPr>
        <w:t>trap</w:t>
      </w:r>
      <w:r>
        <w:t xml:space="preserve"> (the answer that loses marks) and, where useful, a </w:t>
      </w:r>
      <w:r>
        <w:rPr>
          <w:b/>
        </w:rPr>
        <w:t>follow-up probe</w:t>
      </w:r>
      <w:r>
        <w:t>. Answers are written to be spoken in 30 to 90 seconds. Rehearse aloud; do not read.</w:t>
      </w:r>
    </w:p>
    <w:p>
      <w:pPr>
        <w:spacing w:after="120"/>
      </w:pPr>
      <w:r>
        <w:t>Suggested allocation of the hour, which a single examiner covering three disciplines will roughly follow:</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sz w:val="18"/>
              </w:rPr>
            </w:r>
            <w:r>
              <w:rPr>
                <w:b/>
                <w:sz w:val="18"/>
              </w:rPr>
              <w:t>Minutes</w:t>
            </w:r>
          </w:p>
        </w:tc>
        <w:tc>
          <w:tcPr>
            <w:tcW w:type="dxa" w:w="3249"/>
            <w:shd w:val="clear" w:color="auto" w:fill="D9E2F3"/>
          </w:tcPr>
          <w:p>
            <w:r>
              <w:rPr>
                <w:b/>
                <w:sz w:val="18"/>
              </w:rPr>
            </w:r>
            <w:r>
              <w:rPr>
                <w:b/>
                <w:sz w:val="18"/>
              </w:rPr>
              <w:t>Focus</w:t>
            </w:r>
          </w:p>
        </w:tc>
        <w:tc>
          <w:tcPr>
            <w:tcW w:type="dxa" w:w="3249"/>
            <w:shd w:val="clear" w:color="auto" w:fill="D9E2F3"/>
          </w:tcPr>
          <w:p>
            <w:r>
              <w:rPr>
                <w:b/>
                <w:sz w:val="18"/>
              </w:rPr>
            </w:r>
            <w:r>
              <w:rPr>
                <w:b/>
                <w:sz w:val="18"/>
              </w:rPr>
              <w:t>Hat</w:t>
            </w:r>
          </w:p>
        </w:tc>
      </w:tr>
      <w:tr>
        <w:tc>
          <w:tcPr>
            <w:tcW w:type="dxa" w:w="3249"/>
          </w:tcPr>
          <w:p>
            <w:r>
              <w:rPr>
                <w:b w:val="0"/>
                <w:sz w:val="18"/>
              </w:rPr>
            </w:r>
            <w:r>
              <w:rPr>
                <w:b w:val="0"/>
                <w:sz w:val="18"/>
              </w:rPr>
              <w:t>0 to 5</w:t>
            </w:r>
          </w:p>
        </w:tc>
        <w:tc>
          <w:tcPr>
            <w:tcW w:type="dxa" w:w="3249"/>
          </w:tcPr>
          <w:p>
            <w:r>
              <w:rPr>
                <w:b w:val="0"/>
                <w:sz w:val="18"/>
              </w:rPr>
            </w:r>
            <w:r>
              <w:rPr>
                <w:b w:val="0"/>
                <w:sz w:val="18"/>
              </w:rPr>
              <w:t>Thesis in two minutes; the question; the contribution</w:t>
            </w:r>
          </w:p>
        </w:tc>
        <w:tc>
          <w:tcPr>
            <w:tcW w:type="dxa" w:w="3249"/>
          </w:tcPr>
          <w:p>
            <w:r>
              <w:rPr>
                <w:b w:val="0"/>
                <w:sz w:val="18"/>
              </w:rPr>
            </w:r>
            <w:r>
              <w:rPr>
                <w:b w:val="0"/>
                <w:sz w:val="18"/>
              </w:rPr>
              <w:t>All</w:t>
            </w:r>
          </w:p>
        </w:tc>
      </w:tr>
      <w:tr>
        <w:tc>
          <w:tcPr>
            <w:tcW w:type="dxa" w:w="3249"/>
            <w:shd w:val="clear" w:color="auto" w:fill="F2F2F2"/>
          </w:tcPr>
          <w:p>
            <w:r>
              <w:rPr>
                <w:b w:val="0"/>
                <w:sz w:val="18"/>
              </w:rPr>
            </w:r>
            <w:r>
              <w:rPr>
                <w:b w:val="0"/>
                <w:sz w:val="18"/>
              </w:rPr>
              <w:t>5 to 13</w:t>
            </w:r>
          </w:p>
        </w:tc>
        <w:tc>
          <w:tcPr>
            <w:tcW w:type="dxa" w:w="3249"/>
            <w:shd w:val="clear" w:color="auto" w:fill="F2F2F2"/>
          </w:tcPr>
          <w:p>
            <w:r>
              <w:rPr>
                <w:b w:val="0"/>
                <w:sz w:val="18"/>
              </w:rPr>
            </w:r>
            <w:r>
              <w:rPr>
                <w:b w:val="0"/>
                <w:sz w:val="18"/>
              </w:rPr>
              <w:t>Framework, falsifiers written post hoc, cohort roles, evidence tiers</w:t>
            </w:r>
          </w:p>
        </w:tc>
        <w:tc>
          <w:tcPr>
            <w:tcW w:type="dxa" w:w="3249"/>
            <w:shd w:val="clear" w:color="auto" w:fill="F2F2F2"/>
          </w:tcPr>
          <w:p>
            <w:r>
              <w:rPr>
                <w:b w:val="0"/>
                <w:sz w:val="18"/>
              </w:rPr>
            </w:r>
            <w:r>
              <w:rPr>
                <w:b w:val="0"/>
                <w:sz w:val="18"/>
              </w:rPr>
              <w:t>Biostatistics</w:t>
            </w:r>
          </w:p>
        </w:tc>
      </w:tr>
      <w:tr>
        <w:tc>
          <w:tcPr>
            <w:tcW w:type="dxa" w:w="3249"/>
          </w:tcPr>
          <w:p>
            <w:r>
              <w:rPr>
                <w:b w:val="0"/>
                <w:sz w:val="18"/>
              </w:rPr>
            </w:r>
            <w:r>
              <w:rPr>
                <w:b w:val="0"/>
                <w:sz w:val="18"/>
              </w:rPr>
              <w:t>13 to 22</w:t>
            </w:r>
          </w:p>
        </w:tc>
        <w:tc>
          <w:tcPr>
            <w:tcW w:type="dxa" w:w="3249"/>
          </w:tcPr>
          <w:p>
            <w:r>
              <w:rPr>
                <w:b w:val="0"/>
                <w:sz w:val="18"/>
              </w:rPr>
            </w:r>
            <w:r>
              <w:rPr>
                <w:b w:val="0"/>
                <w:sz w:val="18"/>
              </w:rPr>
              <w:t>Chapter 4: residual versus ratio, 75 events, frozen equation, the retired HR of 38.55</w:t>
            </w:r>
          </w:p>
        </w:tc>
        <w:tc>
          <w:tcPr>
            <w:tcW w:type="dxa" w:w="3249"/>
          </w:tcPr>
          <w:p>
            <w:r>
              <w:rPr>
                <w:b w:val="0"/>
                <w:sz w:val="18"/>
              </w:rPr>
            </w:r>
            <w:r>
              <w:rPr>
                <w:b w:val="0"/>
                <w:sz w:val="18"/>
              </w:rPr>
              <w:t>Lipid / biostatistics</w:t>
            </w:r>
          </w:p>
        </w:tc>
      </w:tr>
      <w:tr>
        <w:tc>
          <w:tcPr>
            <w:tcW w:type="dxa" w:w="3249"/>
            <w:shd w:val="clear" w:color="auto" w:fill="F2F2F2"/>
          </w:tcPr>
          <w:p>
            <w:r>
              <w:rPr>
                <w:b w:val="0"/>
                <w:sz w:val="18"/>
              </w:rPr>
            </w:r>
            <w:r>
              <w:rPr>
                <w:b w:val="0"/>
                <w:sz w:val="18"/>
              </w:rPr>
              <w:t>22 to 30</w:t>
            </w:r>
          </w:p>
        </w:tc>
        <w:tc>
          <w:tcPr>
            <w:tcW w:type="dxa" w:w="3249"/>
            <w:shd w:val="clear" w:color="auto" w:fill="F2F2F2"/>
          </w:tcPr>
          <w:p>
            <w:r>
              <w:rPr>
                <w:b w:val="0"/>
                <w:sz w:val="18"/>
              </w:rPr>
            </w:r>
            <w:r>
              <w:rPr>
                <w:b w:val="0"/>
                <w:sz w:val="18"/>
              </w:rPr>
              <w:t>Chapter 5: attenuation ladder, within-pedigree rung, residue versus allele</w:t>
            </w:r>
          </w:p>
        </w:tc>
        <w:tc>
          <w:tcPr>
            <w:tcW w:type="dxa" w:w="3249"/>
            <w:shd w:val="clear" w:color="auto" w:fill="F2F2F2"/>
          </w:tcPr>
          <w:p>
            <w:r>
              <w:rPr>
                <w:b w:val="0"/>
                <w:sz w:val="18"/>
              </w:rPr>
            </w:r>
            <w:r>
              <w:rPr>
                <w:b w:val="0"/>
                <w:sz w:val="18"/>
              </w:rPr>
              <w:t>Genetics / biostatistics</w:t>
            </w:r>
          </w:p>
        </w:tc>
      </w:tr>
      <w:tr>
        <w:tc>
          <w:tcPr>
            <w:tcW w:type="dxa" w:w="3249"/>
          </w:tcPr>
          <w:p>
            <w:r>
              <w:rPr>
                <w:b w:val="0"/>
                <w:sz w:val="18"/>
              </w:rPr>
            </w:r>
            <w:r>
              <w:rPr>
                <w:b w:val="0"/>
                <w:sz w:val="18"/>
              </w:rPr>
              <w:t>30 to 40</w:t>
            </w:r>
          </w:p>
        </w:tc>
        <w:tc>
          <w:tcPr>
            <w:tcW w:type="dxa" w:w="3249"/>
          </w:tcPr>
          <w:p>
            <w:r>
              <w:rPr>
                <w:b w:val="0"/>
                <w:sz w:val="18"/>
              </w:rPr>
            </w:r>
            <w:r>
              <w:rPr>
                <w:b w:val="0"/>
                <w:sz w:val="18"/>
              </w:rPr>
              <w:t>Chapter 6: TUDOR, comparator fairness, Index Effect discrepancy, transport 0.669</w:t>
            </w:r>
          </w:p>
        </w:tc>
        <w:tc>
          <w:tcPr>
            <w:tcW w:type="dxa" w:w="3249"/>
          </w:tcPr>
          <w:p>
            <w:r>
              <w:rPr>
                <w:b w:val="0"/>
                <w:sz w:val="18"/>
              </w:rPr>
            </w:r>
            <w:r>
              <w:rPr>
                <w:b w:val="0"/>
                <w:sz w:val="18"/>
              </w:rPr>
              <w:t>Lipid / biostatistics</w:t>
            </w:r>
          </w:p>
        </w:tc>
      </w:tr>
      <w:tr>
        <w:tc>
          <w:tcPr>
            <w:tcW w:type="dxa" w:w="3249"/>
            <w:shd w:val="clear" w:color="auto" w:fill="F2F2F2"/>
          </w:tcPr>
          <w:p>
            <w:r>
              <w:rPr>
                <w:b w:val="0"/>
                <w:sz w:val="18"/>
              </w:rPr>
            </w:r>
            <w:r>
              <w:rPr>
                <w:b w:val="0"/>
                <w:sz w:val="18"/>
              </w:rPr>
              <w:t>40 to 50</w:t>
            </w:r>
          </w:p>
        </w:tc>
        <w:tc>
          <w:tcPr>
            <w:tcW w:type="dxa" w:w="3249"/>
            <w:shd w:val="clear" w:color="auto" w:fill="F2F2F2"/>
          </w:tcPr>
          <w:p>
            <w:r>
              <w:rPr>
                <w:b w:val="0"/>
                <w:sz w:val="18"/>
              </w:rPr>
            </w:r>
            <w:r>
              <w:rPr>
                <w:b w:val="0"/>
                <w:sz w:val="18"/>
              </w:rPr>
              <w:t>Chapter 7: 28 events, leakage of registry performance into term choice, calibration failure, reconstruction R-squared 0.0975</w:t>
            </w:r>
          </w:p>
        </w:tc>
        <w:tc>
          <w:tcPr>
            <w:tcW w:type="dxa" w:w="3249"/>
            <w:shd w:val="clear" w:color="auto" w:fill="F2F2F2"/>
          </w:tcPr>
          <w:p>
            <w:r>
              <w:rPr>
                <w:b w:val="0"/>
                <w:sz w:val="18"/>
              </w:rPr>
            </w:r>
            <w:r>
              <w:rPr>
                <w:b w:val="0"/>
                <w:sz w:val="18"/>
              </w:rPr>
              <w:t>Biostatistics / lipid</w:t>
            </w:r>
          </w:p>
        </w:tc>
      </w:tr>
      <w:tr>
        <w:tc>
          <w:tcPr>
            <w:tcW w:type="dxa" w:w="3249"/>
          </w:tcPr>
          <w:p>
            <w:r>
              <w:rPr>
                <w:b w:val="0"/>
                <w:sz w:val="18"/>
              </w:rPr>
            </w:r>
            <w:r>
              <w:rPr>
                <w:b w:val="0"/>
                <w:sz w:val="18"/>
              </w:rPr>
              <w:t>50 to 56</w:t>
            </w:r>
          </w:p>
        </w:tc>
        <w:tc>
          <w:tcPr>
            <w:tcW w:type="dxa" w:w="3249"/>
          </w:tcPr>
          <w:p>
            <w:r>
              <w:rPr>
                <w:b w:val="0"/>
                <w:sz w:val="18"/>
              </w:rPr>
            </w:r>
            <w:r>
              <w:rPr>
                <w:b w:val="0"/>
                <w:sz w:val="18"/>
              </w:rPr>
              <w:t>Chapter 8: sex section, limitations, clinical implications, "no model is ready"</w:t>
            </w:r>
          </w:p>
        </w:tc>
        <w:tc>
          <w:tcPr>
            <w:tcW w:type="dxa" w:w="3249"/>
          </w:tcPr>
          <w:p>
            <w:r>
              <w:rPr>
                <w:b w:val="0"/>
                <w:sz w:val="18"/>
              </w:rPr>
            </w:r>
            <w:r>
              <w:rPr>
                <w:b w:val="0"/>
                <w:sz w:val="18"/>
              </w:rPr>
              <w:t>Lipid</w:t>
            </w:r>
          </w:p>
        </w:tc>
      </w:tr>
      <w:tr>
        <w:tc>
          <w:tcPr>
            <w:tcW w:type="dxa" w:w="3249"/>
            <w:shd w:val="clear" w:color="auto" w:fill="F2F2F2"/>
          </w:tcPr>
          <w:p>
            <w:r>
              <w:rPr>
                <w:b w:val="0"/>
                <w:sz w:val="18"/>
              </w:rPr>
            </w:r>
            <w:r>
              <w:rPr>
                <w:b w:val="0"/>
                <w:sz w:val="18"/>
              </w:rPr>
              <w:t>56 to 60</w:t>
            </w:r>
          </w:p>
        </w:tc>
        <w:tc>
          <w:tcPr>
            <w:tcW w:type="dxa" w:w="3249"/>
            <w:shd w:val="clear" w:color="auto" w:fill="F2F2F2"/>
          </w:tcPr>
          <w:p>
            <w:r>
              <w:rPr>
                <w:b w:val="0"/>
                <w:sz w:val="18"/>
              </w:rPr>
            </w:r>
            <w:r>
              <w:rPr>
                <w:b w:val="0"/>
                <w:sz w:val="18"/>
              </w:rPr>
              <w:t>Progress, timeline, publications, integrity items, next steps</w:t>
            </w:r>
          </w:p>
        </w:tc>
        <w:tc>
          <w:tcPr>
            <w:tcW w:type="dxa" w:w="3249"/>
            <w:shd w:val="clear" w:color="auto" w:fill="F2F2F2"/>
          </w:tcPr>
          <w:p>
            <w:r>
              <w:rPr>
                <w:b w:val="0"/>
                <w:sz w:val="18"/>
              </w:rPr>
            </w:r>
            <w:r>
              <w:rPr>
                <w:b w:val="0"/>
                <w:sz w:val="18"/>
              </w:rPr>
              <w:t>Annual review</w:t>
            </w:r>
          </w:p>
        </w:tc>
      </w:tr>
    </w:tbl>
    <w:p/>
    <w:p>
      <w:pPr>
        <w:pStyle w:val="Heading1"/>
      </w:pPr>
      <w:r>
        <w:t>Part 1. Pre-meeting fixes: internal inconsistencies found on the paragraph-by-paragraph read</w:t>
      </w:r>
    </w:p>
    <w:p>
      <w:pPr>
        <w:spacing w:after="120"/>
      </w:pPr>
      <w:r>
        <w:t>These are the items an attentive examiner can find by reading alone. Fix them, or be ready to concede them without hesitation. Each is located by section.</w:t>
      </w:r>
    </w:p>
    <w:p>
      <w:pPr>
        <w:spacing w:after="120"/>
      </w:pPr>
      <w:r>
        <w:rPr>
          <w:b/>
        </w:rPr>
        <w:t>P1. Decision-curve counts differ between chapter and ledger.</w:t>
      </w:r>
      <w:r>
        <w:t xml:space="preserve"> Section 7.12 states the frozen CALON-5 model exceeded both default strategies at 13 of 30 thresholds into the registry and 10 of 30 out of it. Appendix A (Table A.2, "Decision curves") states 12 of 30 and 9 of 30. One of these is stale. Correct against manuscript r7 and align both.</w:t>
      </w:r>
    </w:p>
    <w:p>
      <w:pPr>
        <w:spacing w:after="120"/>
      </w:pPr>
      <w:r>
        <w:rPr>
          <w:b/>
        </w:rPr>
        <w:t>P2. Comparator tally differs between chapter and ledger.</w:t>
      </w:r>
      <w:r>
        <w:t xml:space="preserve"> Section 7.8 states CALON-5's point estimate exceeded the comparator in 3 of 4 estimable standardised-P/LP comparisons and that one (Montreal, into the registry) resolved. Table A.2 ("Comparators") states "4 of 4 point estimates favoured CALON-5; none resolved at the declared horizons above the 20-event floor (standardised P/LP)". Table 7.2 supports the chapter (Montreal out of the registry is minus 0.006, so 3 of 4; Montreal into the registry resolves at +0.052, lower limit +0.0003). Correct the ledger.</w:t>
      </w:r>
    </w:p>
    <w:p>
      <w:pPr>
        <w:spacing w:after="120"/>
      </w:pPr>
      <w:r>
        <w:rPr>
          <w:b/>
        </w:rPr>
        <w:t>P3. Two-term model lock: exists or not.</w:t>
      </w:r>
      <w:r>
        <w:t xml:space="preserve"> Sections 3.4.1, 7.2 and Table 7.1 say the two-term model has a released lock recording coefficients, centring constant and baseline survival at five and ten years. Table B.1 says "No frozen object located". Reconcile.</w:t>
      </w:r>
    </w:p>
    <w:p>
      <w:pPr>
        <w:spacing w:after="120"/>
      </w:pPr>
      <w:r>
        <w:rPr>
          <w:b/>
        </w:rPr>
        <w:t>P4. Table 8.1 falsifier status for Objective 4 reads backwards.</w:t>
      </w:r>
      <w:r>
        <w:t xml:space="preserve"> Table 1.2 gives the Objective 4 falsifiers as (i) transported ranking no better than age and sex and (ii) calibration that transports without updating. Calibration did not transport, so falsifier (ii) is not met. Table 8.1 records "Split: ranking part not met; absolute-risk part met". Either the wording or the logic needs correcting. Note also that the ranking falsifier is not cleanly "not met": the thesis itself says no interval exists for CALON-5's increment over age and sex (limitation L14, Table A.2), so whether ranking beat age and sex "cannot be judged". Say so before the examiner does.</w:t>
      </w:r>
    </w:p>
    <w:p>
      <w:pPr>
        <w:spacing w:after="120"/>
      </w:pPr>
      <w:r>
        <w:rPr>
          <w:b/>
        </w:rPr>
        <w:t>P5. Reference 52 status.</w:t>
      </w:r>
      <w:r>
        <w:t xml:space="preserve"> The reference list gives Paper 14 as "Submitted to J Clin Lipidol. Manuscript JCLINLIPID-D-26-00968", while Chapter 5 is built on revision R4 "under revision". Update the reference to the R4 status and date.</w:t>
      </w:r>
    </w:p>
    <w:p>
      <w:pPr>
        <w:spacing w:after="120"/>
      </w:pPr>
      <w:r>
        <w:rPr>
          <w:b/>
        </w:rPr>
        <w:t>P6. Falsifier wording drift.</w:t>
      </w:r>
      <w:r>
        <w:t xml:space="preserve"> Section 5.3 quotes the Objective 2 falsifier as "uncertainty too wide to support an ascertainment-conditioned difference"; Table 1.2 reads "uncertainty too wide to support a route-associated difference". Harmonise.</w:t>
      </w:r>
    </w:p>
    <w:p>
      <w:pPr>
        <w:spacing w:after="120"/>
      </w:pPr>
      <w:r>
        <w:rPr>
          <w:b/>
        </w:rPr>
        <w:t>P7. Chapter 4 does not state explicitly whether prevalent ASCVD was excluded at baseline from the 1,461 frame.</w:t>
      </w:r>
      <w:r>
        <w:t xml:space="preserve"> Section 3.5 says follow-up begins after baseline and the outcome is first incident ASCVD, and Section 4.2 says time zero was the baseline measurement. Add one sentence stating the prevalent-disease exclusion rule and the number excluded, as Chapter 7 does (Section 7.4).</w:t>
      </w:r>
    </w:p>
    <w:p>
      <w:pPr>
        <w:spacing w:after="120"/>
      </w:pPr>
      <w:r>
        <w:rPr>
          <w:b/>
        </w:rPr>
        <w:t>P8. Chapter 7 gene set is not enumerated.</w:t>
      </w:r>
      <w:r>
        <w:t xml:space="preserve"> Section 7.1 says "a single ClinVar P/LP variant in a dominant FH gene". Name the genes (LDLR, APOB, PCSK9, any others) and the counts per gene in each cohort. A genetics examiner will ask (Part 6).</w:t>
      </w:r>
    </w:p>
    <w:p>
      <w:pPr>
        <w:spacing w:after="120"/>
      </w:pPr>
      <w:r>
        <w:rPr>
          <w:b/>
        </w:rPr>
        <w:t>P9. Ancestry restriction is mentioned once and never defined.</w:t>
      </w:r>
      <w:r>
        <w:t xml:space="preserve"> Section 5.7 says "the ancestry restriction limits transportability" for UK Biobank. State which ancestry group was used and why, and whether Chapters 4 and 7 used the same restriction.</w:t>
      </w:r>
    </w:p>
    <w:p>
      <w:pPr>
        <w:spacing w:after="120"/>
      </w:pPr>
      <w:r>
        <w:rPr>
          <w:b/>
        </w:rPr>
        <w:t>P10. Reference 77 is cited for two different things.</w:t>
      </w:r>
      <w:r>
        <w:t xml:space="preserve"> In Section 2.8 it supports "a UK Biobank study retained low precision despite broader predictor flexibility" (machine-learning screening); in Section 8.8 it is cited for "a registry of the EAS Familial Hypercholesterolaemia Studies Collaboration". Check that Stevens 2024 supports both uses or split the citation.</w:t>
      </w:r>
    </w:p>
    <w:p>
      <w:pPr>
        <w:spacing w:after="120"/>
      </w:pPr>
      <w:r>
        <w:rPr>
          <w:b/>
        </w:rPr>
        <w:t>P11. Three reconstruction-agreement figures across three conventions.</w:t>
      </w:r>
      <w:r>
        <w:t xml:space="preserve"> Chapter 5: reconstructed versus documented r = 0.09 (Section 5.2). Chapter 6 and Appendix D: MAE 1.20 mmol/L and r = 0.32 in 649 pairs (Section 6.6, D.1). Chapter 7: cross-validated MAE 1.25 mmol/L, R-squared 0.0975 in 684 pairs (Section 7.2), plus a statement that the registry's drug-specific rule was biased by 4.5 mmol/L. Chapter 5 nonetheless uses a drug-specific rule as its third provenance tier. The thesis is defensible here because Chapter 5 shows the primary contrast survives without any reconstructed rows (+1.16, documented values only). But the numbers should be brought into one table with one sentence on why they differ (different pairs, different targets, different conventions).</w:t>
      </w:r>
    </w:p>
    <w:p>
      <w:pPr>
        <w:spacing w:after="120"/>
      </w:pPr>
      <w:r>
        <w:rPr>
          <w:b/>
        </w:rPr>
        <w:t>P12. TUDOR PROBAST+AI not completed.</w:t>
      </w:r>
      <w:r>
        <w:t xml:space="preserve"> Table 6.5 marks every domain "Not formally assessed" while Appendix E.4 gives a completed self-appraisal for CALON-5 and the two-term model. Complete the TUDOR signalling questions or state in one sentence why not.</w:t>
      </w:r>
    </w:p>
    <w:p>
      <w:pPr>
        <w:spacing w:after="120"/>
      </w:pPr>
      <w:r>
        <w:rPr>
          <w:b/>
        </w:rPr>
        <w:t>P13. Title versus content.</w:t>
      </w:r>
      <w:r>
        <w:t xml:space="preserve"> The title leads with "Atherogenic Particle-Burden Phenotyping", yet particles are one of five conditions and occupy one empirical chapter. The running question of the thesis is "when does the same LDL-C mean the same thing". Expect the question; have a one-sentence defence or consider a subtitle change at final submission.</w:t>
      </w:r>
    </w:p>
    <w:p>
      <w:pPr>
        <w:spacing w:after="120"/>
      </w:pPr>
      <w:r>
        <w:rPr>
          <w:b/>
        </w:rPr>
        <w:t>P14. Tybjaerg-Hansen 2005 gradient is total cholesterol, not LDL-C.</w:t>
      </w:r>
      <w:r>
        <w:t xml:space="preserve"> Sections 1.3, 5.7 and Table 2.4 describe "progressively larger LDL-C increments" across background populations. The PubMed abstract of reference 91 reports the population-to-clinic gradient in total cholesterol (2.9, 4.1, 4.9 mmol/L) and gives LDL-C only as a single difference of about 1.6 mmol/L between general population and FH clinic (Part 10). Reword to "cholesterol increments" or quote the LDL-C figure correctly.</w:t>
      </w:r>
    </w:p>
    <w:p>
      <w:pPr>
        <w:spacing w:after="120"/>
      </w:pPr>
      <w:r>
        <w:rPr>
          <w:b/>
        </w:rPr>
        <w:t>P15. Jin 2023 adjustment set.</w:t>
      </w:r>
      <w:r>
        <w:t xml:space="preserve"> Section 2.3 and Section 4.7 say cholesterol per LDL particle was not associated with coronary disease "after adjustment for LDL-particle concentration". The full text adjusts for VLDL, LDL and HDL particle concentrations together (Part 10). Add the other two classes.</w:t>
      </w:r>
    </w:p>
    <w:p>
      <w:pPr>
        <w:spacing w:after="120"/>
      </w:pPr>
      <w:r>
        <w:rPr>
          <w:b/>
        </w:rPr>
        <w:t>P16. Marston 2022 mutual adjustment.</w:t>
      </w:r>
      <w:r>
        <w:t xml:space="preserve"> Section 2.3 says "LDL-C and triglycerides were not independently associated after mutual adjustment". The abstract names non-HDL-C and triglycerides in that sentence, not LDL-C by name; the full text could not be reached (Part 10). Check against the full text or reword to non-HDL-C.</w:t>
      </w:r>
    </w:p>
    <w:p>
      <w:pPr>
        <w:spacing w:after="120"/>
      </w:pPr>
      <w:r>
        <w:rPr>
          <w:b/>
        </w:rPr>
        <w:t>P17. Bogsrud 2025 denominator.</w:t>
      </w:r>
      <w:r>
        <w:t xml:space="preserve"> Section 5.2 says the null versus non-null newborn comparison was "in 113 newborns". The 113 is the whole newborn sample; the null versus non-null contrast is within the 61 FH newborns (Part 10). Correct the n.</w:t>
      </w:r>
    </w:p>
    <w:p>
      <w:pPr>
        <w:spacing w:after="120"/>
      </w:pPr>
      <w:r>
        <w:rPr>
          <w:b/>
        </w:rPr>
        <w:t>P18. "Index Effect" wording.</w:t>
      </w:r>
      <w:r>
        <w:t xml:space="preserve"> Section 6.2 says the TUDOR title and abstract "state that ... ascertainment is encoded as an 'Index Effect'". The published abstract says the model "encodes index-referral vs cascade-relative ascertainment"; the phrase "Index Effect" does not appear in the title or abstract (Part 10). The substantive discrepancy stands (a route term is described and the object has none); quote the abstract's wording exactly.</w:t>
      </w:r>
    </w:p>
    <w:p>
      <w:pPr>
        <w:spacing w:after="120"/>
      </w:pPr>
      <w:r>
        <w:rPr>
          <w:b/>
        </w:rPr>
        <w:t>P19. Reference 82 could not be located in PubMed.</w:t>
      </w:r>
      <w:r>
        <w:t xml:space="preserve"> The Atherosclerosis Plus 2026 abstract (65:100590) and its claim of "dual external validation in 4,028 genetically confirmed cases" could not be verified from indexed sources (Part 10). Confirm the citation against the abstract PDF and be ready to explain the 4,028 figure, which appears nowhere else in the thesis.</w:t>
      </w:r>
    </w:p>
    <w:p>
      <w:pPr>
        <w:pStyle w:val="Heading1"/>
      </w:pPr>
      <w:r>
        <w:t>Part 2. Things not to say in the room</w:t>
      </w:r>
    </w:p>
    <w:p>
      <w:pPr>
        <w:spacing w:after="120"/>
      </w:pPr>
      <w:r>
        <w:t>These are numbers or phrases that circulate in the candidate's own working notes and earlier drafts but that the thesis either does not support or explicitly retires.</w:t>
      </w:r>
    </w:p>
    <w:p>
      <w:pPr>
        <w:pStyle w:val="ListBullet"/>
      </w:pPr>
      <w:r>
        <w:t>Do not call the UK Biobank AUC of 0.756 a "transport" or "external validation" result. The thesis is explicit that 0.756 is an apparent AUC after target refitting (Table 6.3). The frozen transport value is 0.669 (0.650 to 0.687).</w:t>
      </w:r>
    </w:p>
    <w:p>
      <w:pPr>
        <w:pStyle w:val="ListBullet"/>
      </w:pPr>
      <w:r>
        <w:t>Do not quote a type 2 diabetes TUDOR AUC of 0.718. The thesis reports 0.648 in Wales and 0.642 (0.559 to 0.724) in UK Biobank (Section 6.5).</w:t>
      </w:r>
    </w:p>
    <w:p>
      <w:pPr>
        <w:pStyle w:val="ListBullet"/>
      </w:pPr>
      <w:r>
        <w:t>Do not lean on the statin-naive AUC of 0.801. The thesis says it "was reported without a verified denominator or confidence interval and cannot carry a strong untreated-population conclusion" (Section 6.5).</w:t>
      </w:r>
    </w:p>
    <w:p>
      <w:pPr>
        <w:pStyle w:val="ListBullet"/>
      </w:pPr>
      <w:r>
        <w:t>Do not describe 0.732 and 0.770 as "bidirectional" validation of TUDOR between cohorts. They are reciprocal geographic splits within Wales (Table 6.3). The bidirectional design belongs to Chapter 7 (CALON-5).</w:t>
      </w:r>
    </w:p>
    <w:p>
      <w:pPr>
        <w:pStyle w:val="ListBullet"/>
      </w:pPr>
      <w:r>
        <w:t>Do not say TUDOR "diagnoses" FH, is "ascertainment-aware" or "encodes the Index Effect". The evaluated object has no route term (Box 6.1).</w:t>
      </w:r>
    </w:p>
    <w:p>
      <w:pPr>
        <w:pStyle w:val="ListBullet"/>
      </w:pPr>
      <w:r>
        <w:t>Do not say "external validation" for CALON-5. The thesis calls it "cross-cohort evaluation" because both cohorts informed development (Sections 3.8, 7.3).</w:t>
      </w:r>
    </w:p>
    <w:p>
      <w:pPr>
        <w:pStyle w:val="ListBullet"/>
      </w:pPr>
      <w:r>
        <w:t>Do not quote the hazard ratio of 38.55 as an effect size. It is "formally retired" (Section 4.6).</w:t>
      </w:r>
    </w:p>
    <w:p>
      <w:pPr>
        <w:pStyle w:val="ListBullet"/>
      </w:pPr>
      <w:r>
        <w:t>Do not quote the 15-year event-free survival contrast of 32% versus 84%; it is "retained only as historical output" (Section 4.3).</w:t>
      </w:r>
    </w:p>
    <w:p>
      <w:pPr>
        <w:pStyle w:val="ListBullet"/>
      </w:pPr>
      <w:r>
        <w:t>Do not say the residual "causes" or "drives" events, or that lowering it would reduce risk (Section 4.5). Use "was associated with", "carried information".</w:t>
      </w:r>
    </w:p>
    <w:p>
      <w:pPr>
        <w:pStyle w:val="ListBullet"/>
      </w:pPr>
      <w:r>
        <w:t>Do not say ascertainment "changes" LDL-C. Say route "changes which phenotype is seen, not the biology" (Section 5.7).</w:t>
      </w:r>
    </w:p>
    <w:p>
      <w:pPr>
        <w:pStyle w:val="ListBullet"/>
      </w:pPr>
      <w:r>
        <w:t>Do not say the within-pedigree difference is "significant" without adding that the interval spans zero under the dummy-variable degrees-of-freedom correction (minus 0.06 to 0.85; Section 5.3).</w:t>
      </w:r>
    </w:p>
    <w:p>
      <w:pPr>
        <w:pStyle w:val="ListBullet"/>
      </w:pPr>
      <w:r>
        <w:t>Do not say "validated prediction model" of anything. The thesis cites Van Calster 2023, "There is no such thing as a validated prediction model" (reference 99).</w:t>
      </w:r>
    </w:p>
    <w:p>
      <w:pPr>
        <w:pStyle w:val="ListBullet"/>
      </w:pPr>
      <w:r>
        <w:t>Do not cite the CALON-C manuscript's Holm-adjusted comparator wins (+0.070 versus SAFEHEART-RE etc.) as thesis results; Appendix B.6 supersedes them and holds the non-inferiority analysis.</w:t>
      </w:r>
    </w:p>
    <w:p>
      <w:pPr>
        <w:pStyle w:val="ListBullet"/>
      </w:pPr>
      <w:r>
        <w:t>Do not say the menopause study shows an FH-specific menopause effect (Section 8.4 says it does not).</w:t>
      </w:r>
    </w:p>
    <w:p>
      <w:pPr>
        <w:pStyle w:val="ListBullet"/>
      </w:pPr>
      <w:r>
        <w:t>Do not say "the erratum corrected the discordance paper's estimates". It corrected typographical errors in the highlights only (Sections 2.5, 4.3).</w:t>
      </w:r>
    </w:p>
    <w:p>
      <w:pPr>
        <w:pStyle w:val="Heading1"/>
      </w:pPr>
      <w:r>
        <w:t>Part 3. Opening questions (first five minutes)</w:t>
      </w:r>
    </w:p>
    <w:p>
      <w:pPr>
        <w:spacing w:after="120"/>
      </w:pPr>
      <w:r>
        <w:rPr>
          <w:b/>
        </w:rPr>
        <w:t>Q3.1 Tell me what this thesis is about in two minutes.</w:t>
      </w:r>
    </w:p>
    <w:p>
      <w:pPr>
        <w:spacing w:after="120"/>
      </w:pPr>
      <w:r>
        <w:rPr>
          <w:i/>
        </w:rPr>
        <w:t>Why asked:</w:t>
      </w:r>
      <w:r>
        <w:t xml:space="preserve"> to see whether the candidate owns one question rather than five papers.</w:t>
      </w:r>
    </w:p>
    <w:p>
      <w:pPr>
        <w:spacing w:after="120"/>
      </w:pPr>
      <w:r>
        <w:rPr>
          <w:i/>
        </w:rPr>
        <w:t>Model answer:</w:t>
      </w:r>
      <w:r>
        <w:t xml:space="preserve"> "It asks one question: when does the same LDL-C value mean the same thing in FH, and what must be added when it does not (Section 1.1). I tested five conditions in linked genotyped cohorts, the All-Wales FH registry and UK Biobank. First, particles: at the same LDL-C, apoB above expectation was associated with more first ASCVD events, hazard ratio 1.356 per SD in 1,461 rare LDLR/APOB variant carriers with 75 events, and a Welsh equation applied unchanged kept the association (Chapter 4). Second, route into care: at matched LDLR residues, probands had untreated LDL-C 1.09 mmol/L higher than cascade-detected relatives, narrowing to 0.39 within families (Chapter 5). Third, treatment: a treatment-aware triage score, TUDOR, ranked carriers better than reconstructed criteria, AUC 0.760 versus 0.652, but fell to 0.669 when frozen in UK Biobank; and in the registry three in four carriers with a severe untreated LDL-C were graded milder on the recorded value (Chapters 6 and 7). Fourth, cohort: a five-term routine-data risk model kept its ranking in both directions between the cohorts, concordance about 0.70, but its absolute risks failed in opposite directions, observed-to-expected 1.96 and 0.70 (Chapter 7). Fifth, outside FH, the same apoB cut-point carried different absolute risk in women and men (Section 8.4). The conclusion is that LDL-C remains indispensable but should not travel alone. No model is ready for clinical use; a decisive validation needs several hundred events."</w:t>
      </w:r>
    </w:p>
    <w:p>
      <w:pPr>
        <w:spacing w:after="120"/>
      </w:pPr>
      <w:r>
        <w:rPr>
          <w:i/>
        </w:rPr>
        <w:t>Trap:</w:t>
      </w:r>
      <w:r>
        <w:t xml:space="preserve"> listing papers by journal instead of by condition.</w:t>
      </w:r>
    </w:p>
    <w:p>
      <w:pPr>
        <w:spacing w:after="120"/>
      </w:pPr>
      <w:r>
        <w:rPr>
          <w:b/>
        </w:rPr>
        <w:t>Q3.2 What is the single most important finding, and what is the single most important limitation?</w:t>
      </w:r>
    </w:p>
    <w:p>
      <w:pPr>
        <w:spacing w:after="120"/>
      </w:pPr>
      <w:r>
        <w:rPr>
          <w:i/>
        </w:rPr>
        <w:t>Model answer:</w:t>
      </w:r>
      <w:r>
        <w:t xml:space="preserve"> "Most direct clinical finding: in 261 genotype-positive registry patients with directly measured untreated and on-treatment LDL-C, 145 of 193 (75.1%) who were at or above 4.9 mmol/L untreated were not above it on the recorded value, and 66.3% sat in a lower ESC/EAS stratum (Section 7.7). It needs no model and no reconstruction. Most important limitation: there is no untouched evaluation cohort. Both prognostic models were developed with knowledge of the receiving cohort, and TUDOR's transport and the related abstract used the same two cohorts (Section 8.7, limitation L04). Everything labelled transport may be optimistic to an unknown degree."</w:t>
      </w:r>
    </w:p>
    <w:p>
      <w:pPr>
        <w:spacing w:after="120"/>
      </w:pPr>
      <w:r>
        <w:rPr>
          <w:b/>
        </w:rPr>
        <w:t>Q3.3 Why does the title lead with "particle burden" when four of the five conditions are not about particles?</w:t>
      </w:r>
    </w:p>
    <w:p>
      <w:pPr>
        <w:spacing w:after="120"/>
      </w:pPr>
      <w:r>
        <w:rPr>
          <w:i/>
        </w:rPr>
        <w:t>Model answer:</w:t>
      </w:r>
      <w:r>
        <w:t xml:space="preserve"> "Fair point (see Part 1, P13). The programme began with the measurement question and the title was fixed early. The thesis's own framing is the LDL-C question; particle burden is the first condition tested. I would be willing to revise to a subtitle that names the question if the committee advises."</w:t>
      </w:r>
    </w:p>
    <w:p>
      <w:pPr>
        <w:spacing w:after="120"/>
      </w:pPr>
      <w:r>
        <w:rPr>
          <w:b/>
        </w:rPr>
        <w:t>Q3.4 Who did the statistics?</w:t>
      </w:r>
    </w:p>
    <w:p>
      <w:pPr>
        <w:spacing w:after="120"/>
      </w:pPr>
      <w:r>
        <w:rPr>
          <w:i/>
        </w:rPr>
        <w:t>Model answer:</w:t>
      </w:r>
      <w:r>
        <w:t xml:space="preserve"> "I did, in R and Python, with statistical supervision from Dr Aubin (Statement of original work). Chapter 5's values are those of the Paper 14 R4 manuscript and were not independently re-run for the thesis (Section 5.3); Chapter 7's are those of manuscript r7 (Section 7.1). The thesis reanalyses carry package identifiers THESIS-AN-01 to THESIS-AN-13 (Appendix A)."</w:t>
      </w:r>
    </w:p>
    <w:p>
      <w:pPr>
        <w:pStyle w:val="Heading1"/>
      </w:pPr>
      <w:r>
        <w:t>Part 4. Chapter-by-chapter question bank</w:t>
      </w:r>
    </w:p>
    <w:p>
      <w:pPr>
        <w:pStyle w:val="Heading2"/>
      </w:pPr>
      <w:r>
        <w:t>4.1 Chapter 1: Introduction and framework</w:t>
      </w:r>
    </w:p>
    <w:p>
      <w:pPr>
        <w:spacing w:after="120"/>
      </w:pPr>
      <w:r>
        <w:rPr>
          <w:b/>
        </w:rPr>
        <w:t>Q1.1 Your objectives and falsifiers (Table 1.2) were, by your own account, "written across a completed programme". Isn't that hypothesising after the results are known?</w:t>
      </w:r>
    </w:p>
    <w:p>
      <w:pPr>
        <w:spacing w:after="120"/>
      </w:pPr>
      <w:r>
        <w:rPr>
          <w:i/>
        </w:rPr>
        <w:t>Why asked:</w:t>
      </w:r>
      <w:r>
        <w:t xml:space="preserve"> HARKing; the biostatistician's first probe.</w:t>
      </w:r>
    </w:p>
    <w:p>
      <w:pPr>
        <w:spacing w:after="120"/>
      </w:pPr>
      <w:r>
        <w:rPr>
          <w:i/>
        </w:rPr>
        <w:t>Model answer:</w:t>
      </w:r>
      <w:r>
        <w:t xml:space="preserve"> "Yes, and the thesis says so three times (Sections 1.4, 1.5, 8.1). The framework is a thesis-level synthesis, not a prospective protocol. The falsifiers are useful for a different purpose: they check whether my reading of my own results is consistent, and they set the terms for the resolving studies in Section 8.8, which are prospective. I did not alter the prespecification of any source study. Where a source had a prospective analysis register, I report it: Paper 14 registered 120 analyses with BH-FDR control in fifteen families, 80 tested, 50 surviving (Section 5.2). Objective 4 was restated after CALON-5 replaced CALON-C, and that is disclosed (Section 1.5)."</w:t>
      </w:r>
    </w:p>
    <w:p>
      <w:pPr>
        <w:spacing w:after="120"/>
      </w:pPr>
      <w:r>
        <w:rPr>
          <w:i/>
        </w:rPr>
        <w:t>Trap:</w:t>
      </w:r>
      <w:r>
        <w:t xml:space="preserve"> claiming the falsifiers were prespecified.</w:t>
      </w:r>
    </w:p>
    <w:p>
      <w:pPr>
        <w:spacing w:after="120"/>
      </w:pPr>
      <w:r>
        <w:rPr>
          <w:b/>
        </w:rPr>
        <w:t>Q1.2 Is your "Measure to Select to Identify to Predict" arrow a causal pathway?</w:t>
      </w:r>
    </w:p>
    <w:p>
      <w:pPr>
        <w:spacing w:after="120"/>
      </w:pPr>
      <w:r>
        <w:rPr>
          <w:i/>
        </w:rPr>
        <w:t>Model answer:</w:t>
      </w:r>
      <w:r>
        <w:t xml:space="preserve"> "No. Section 1.4 and Figure 1.1 say the arrows show the order in which the thesis reads the evidence. It is an inferential dependency: measurement uncertainty propagates into identification and prediction; selection can make a reproducible measurement non-transportable. Nothing in it says referral changes LDLR biology."</w:t>
      </w:r>
    </w:p>
    <w:p>
      <w:pPr>
        <w:spacing w:after="120"/>
      </w:pPr>
      <w:r>
        <w:rPr>
          <w:b/>
        </w:rPr>
        <w:t>Q1.3 Define "ascertainment-conditioned phenotype" without jargon.</w:t>
      </w:r>
    </w:p>
    <w:p>
      <w:pPr>
        <w:spacing w:after="120"/>
      </w:pPr>
      <w:r>
        <w:rPr>
          <w:i/>
        </w:rPr>
        <w:t>Model answer:</w:t>
      </w:r>
      <w:r>
        <w:t xml:space="preserve"> "The FH phenotype as it appears in people selected by a given route into care. It is a property of the selected group, not of the variant (Glossary; Section 1.3). It is a description of how the data were generated, not an additive equation."</w:t>
      </w:r>
    </w:p>
    <w:p>
      <w:pPr>
        <w:spacing w:after="120"/>
      </w:pPr>
      <w:r>
        <w:rPr>
          <w:b/>
        </w:rPr>
        <w:t>Q1.4 What are the five checks that make the framework operational?</w:t>
      </w:r>
    </w:p>
    <w:p>
      <w:pPr>
        <w:spacing w:after="120"/>
      </w:pPr>
      <w:r>
        <w:rPr>
          <w:i/>
        </w:rPr>
        <w:t>Model answer:</w:t>
      </w:r>
      <w:r>
        <w:t xml:space="preserve"> "Estimand, target population, sampling frame, measurement model and evidence for transport (Section 1.4). Every result in the thesis is supposed to carry all five."</w:t>
      </w:r>
    </w:p>
    <w:p>
      <w:pPr>
        <w:spacing w:after="120"/>
      </w:pPr>
      <w:r>
        <w:rPr>
          <w:b/>
        </w:rPr>
        <w:t>Q1.5 What does the thesis explicitly not claim? Give me the non-claims.</w:t>
      </w:r>
    </w:p>
    <w:p>
      <w:pPr>
        <w:spacing w:after="120"/>
      </w:pPr>
      <w:r>
        <w:rPr>
          <w:i/>
        </w:rPr>
        <w:t>Model answer:</w:t>
      </w:r>
      <w:r>
        <w:t xml:space="preserve"> "Table 1.1 lists them: apoB does not replace LDL-C or define a target; referral does not change lipid biology and there is no individual correction factor; a score does not establish molecular diagnosis or replace sequencing; ranking does not supply portable absolute risk or treatment guidance; and the sex section is not an FH-specific or causal claim."</w:t>
      </w:r>
    </w:p>
    <w:p>
      <w:pPr>
        <w:pStyle w:val="Heading2"/>
      </w:pPr>
      <w:r>
        <w:t>4.2 Chapter 2: Literature review</w:t>
      </w:r>
    </w:p>
    <w:p>
      <w:pPr>
        <w:spacing w:after="120"/>
      </w:pPr>
      <w:r>
        <w:rPr>
          <w:b/>
        </w:rPr>
        <w:t>Q2.1 This is a "critical, claim-led review" that you describe as "search incomplete". Why should I trust any of your novelty statements?</w:t>
      </w:r>
    </w:p>
    <w:p>
      <w:pPr>
        <w:spacing w:after="120"/>
      </w:pPr>
      <w:r>
        <w:rPr>
          <w:i/>
        </w:rPr>
        <w:t>Model answer:</w:t>
      </w:r>
      <w:r>
        <w:t xml:space="preserve"> "You should read them as conditional, which is how they are written. PubMed, Crossref, Europe PMC preprints and OpenAlex were searched to 23 September 2026, and PubMed and Crossref again on 27 September with 27 queries, 339 unique records and 23 retained (Section 2.1, Appendix F.10). Embase was not searched; Elicit, Consensus, Scite and SciSpace returned no records; screening stopped at 20 to 25 records per query and was AI-assisted and single-reviewer (F.8). Every 'no study identified' sentence names those limits. The work to complete the search is listed in F.9 and is on my plan (Part 9)."</w:t>
      </w:r>
    </w:p>
    <w:p>
      <w:pPr>
        <w:spacing w:after="120"/>
      </w:pPr>
      <w:r>
        <w:rPr>
          <w:b/>
        </w:rPr>
        <w:t>Q2.2 Why is apoB not simply superior to LDL-C? State the strongest evidence on each side from your own review.</w:t>
      </w:r>
    </w:p>
    <w:p>
      <w:pPr>
        <w:spacing w:after="120"/>
      </w:pPr>
      <w:r>
        <w:rPr>
          <w:i/>
        </w:rPr>
        <w:t>Model answer:</w:t>
      </w:r>
      <w:r>
        <w:t xml:space="preserve"> "For complementarity rather than superiority: the Emerging Risk Factors Collaboration found similar association shapes for apoB and non-HDL-C in 302,430 participants (Section 2.3, reference 16), and Sniderman's own INTERHEART re-analysis warned that adjustment among correlated lipids produces unstable claims of independence (reference 17). For apoB carrying information: in statin-treated cohorts apoB retained an association of 1.27 per SD when LDL-C and triglycerides did not (reference 13), discordantly high apoB carried an MI hazard ratio of 1.49 (reference 14), and at LDL-C 100 mg/dL the middle 95% of apoB spanned 66 to 99 mg/dL in NHANES (reference 15). Mendelian randomisation is split by specification (references 11 and 18). Hence 'the defensible premise is complementarity' (Section 1.2)."</w:t>
      </w:r>
    </w:p>
    <w:p>
      <w:pPr>
        <w:spacing w:after="120"/>
      </w:pPr>
      <w:r>
        <w:rPr>
          <w:b/>
        </w:rPr>
        <w:t>Q2.3 Why does FH make discordance uncertain rather than obvious?</w:t>
      </w:r>
    </w:p>
    <w:p>
      <w:pPr>
        <w:spacing w:after="120"/>
      </w:pPr>
      <w:r>
        <w:rPr>
          <w:i/>
        </w:rPr>
        <w:t>Model answer:</w:t>
      </w:r>
      <w:r>
        <w:t xml:space="preserve"> "Two opposing priors (Section 2.4). Receptor impairment could tighten the mass-to-particle relation so LDL-C is an unusually faithful proxy and the residual adds nothing. Or metabolic heterogeneity, diabetes, remnants, Lp(a) and treatment coexist with the variant and leave clinically relevant variation around the relation. Equipoise was appropriate, and Chapter 4 was designed to fail if the first prior held."</w:t>
      </w:r>
    </w:p>
    <w:p>
      <w:pPr>
        <w:spacing w:after="120"/>
      </w:pPr>
      <w:r>
        <w:rPr>
          <w:b/>
        </w:rPr>
        <w:t>Q2.4 What is the difference between a ratio and a residual as an estimand?</w:t>
      </w:r>
    </w:p>
    <w:p>
      <w:pPr>
        <w:spacing w:after="120"/>
      </w:pPr>
      <w:r>
        <w:rPr>
          <w:i/>
        </w:rPr>
        <w:t>Model answer:</w:t>
      </w:r>
      <w:r>
        <w:t xml:space="preserve"> "A ratio is mechanically coupled to its denominator and assumes proportionality across the whole range; adjusting the ratio for LDL-C compares a transformed variable with one of its own components (Section 2.5, references 19 and 20). A residual is observed apoB minus apoB expected at that LDL-C under a stated equation; it declares its dependence on the derivation relation, which can then be frozen and tested. They answer different questions and neither is a negative control."</w:t>
      </w:r>
    </w:p>
    <w:p>
      <w:pPr>
        <w:spacing w:after="120"/>
      </w:pPr>
      <w:r>
        <w:rPr>
          <w:b/>
        </w:rPr>
        <w:t>Q2.5 Name the five model states and say which one is external validation.</w:t>
      </w:r>
    </w:p>
    <w:p>
      <w:pPr>
        <w:spacing w:after="120"/>
      </w:pPr>
      <w:r>
        <w:rPr>
          <w:i/>
        </w:rPr>
        <w:t>Model answer:</w:t>
      </w:r>
      <w:r>
        <w:t xml:space="preserve"> "Frozen application; target-adapted preprocessing; recalibration; updating; target refitting (Section 3.8). Only frozen application evaluates the source model unchanged. Refitting in the target cohort is local development, not validation (Section 2.10)."</w:t>
      </w:r>
    </w:p>
    <w:p>
      <w:pPr>
        <w:spacing w:after="120"/>
      </w:pPr>
      <w:r>
        <w:rPr>
          <w:b/>
        </w:rPr>
        <w:t>Q2.6 Which prior study is closest to each of your four empirical chapters, and what is left over?</w:t>
      </w:r>
    </w:p>
    <w:p>
      <w:pPr>
        <w:spacing w:after="120"/>
      </w:pPr>
      <w:r>
        <w:rPr>
          <w:i/>
        </w:rPr>
        <w:t>Model answer:</w:t>
      </w:r>
      <w:r>
        <w:t xml:space="preserve"> "Table 2.4. Measure: Johannesen 2024 excess apoB, Pan 2026 frozen equation validated in UK Biobank outside FH; left over, application in an FH frame with incident ASCVD and a frozen Welsh equation. Select: Tybjaerg-Hansen 2005 showed the same LDLR mutations give larger LDL-C increments the more selected the population; left over, a within-service, residue-matched, within-pedigree ladder. Identify: Besseling 2017, FAMCAT, Haralambos 2015, Akyea 2026; left over, pretreatment reconstruction with a shared-data comparison and frozen application, against which Akyea 2026 is the counterweight. Predict: McKay 2022, Mansilla-Rodriguez 2025, Tamehri Zadeh 2025 and 2026; left over, bidirectional paired evaluation with ranking and calibration separated and calculability reported."</w:t>
      </w:r>
    </w:p>
    <w:p>
      <w:pPr>
        <w:pStyle w:val="Heading2"/>
      </w:pPr>
      <w:r>
        <w:t>4.3 Chapter 3: Shared methods and governance</w:t>
      </w:r>
    </w:p>
    <w:p>
      <w:pPr>
        <w:spacing w:after="120"/>
      </w:pPr>
      <w:r>
        <w:rPr>
          <w:b/>
        </w:rPr>
        <w:t>Q3.1 You describe six evidence tiers, T1 to T6. Which tier carries most of the thesis?</w:t>
      </w:r>
    </w:p>
    <w:p>
      <w:pPr>
        <w:spacing w:after="120"/>
      </w:pPr>
      <w:r>
        <w:rPr>
          <w:i/>
        </w:rPr>
        <w:t>Model answer:</w:t>
      </w:r>
      <w:r>
        <w:t xml:space="preserve"> "By claim count, T3 (submitted manuscripts: Paper 14 R4 for Chapter 5, CALON r7 for Chapter 7) and T4 (frozen thesis reanalyses: THESIS-AN-01 for Chapter 4). TUDOR's head-to-head and transport results are T2 (published). The competing-risk sensitivity in Chapter 4 and the CALON-C lineage values are T5 and are never load-bearing (Table A.2). I know which claims would fall if a T3 manuscript changed on review; Appendix B.10 shows exactly that happening to the within-pedigree rung across four Paper 14 versions."</w:t>
      </w:r>
    </w:p>
    <w:p>
      <w:pPr>
        <w:spacing w:after="120"/>
      </w:pPr>
      <w:r>
        <w:rPr>
          <w:b/>
        </w:rPr>
        <w:t>Q3.2 Family structure: how did you handle it in each chapter, honestly?</w:t>
      </w:r>
    </w:p>
    <w:p>
      <w:pPr>
        <w:spacing w:after="120"/>
      </w:pPr>
      <w:r>
        <w:rPr>
          <w:i/>
        </w:rPr>
        <w:t>Model answer:</w:t>
      </w:r>
      <w:r>
        <w:t xml:space="preserve"> "Section 3.7.1. Chapter 5: pedigree-clustered standard errors, wild cluster bootstrap with 1,999 pedigree resamples, and pedigree fixed effects. Chapter 7: registry resampling grouped by family, both models scored on the same resamples. Chapter 6: not adequately. The TUDOR paired tests used DeLong, which treats relatives as independent, and no family-aware optimism estimate exists (Section 6.4, limitation L11). UK Biobank was treated as singleton clusters because the extract had no kinship field, and independence is not assumed (Section 3.7.1). The registry-side repair for TUDOR, a family-grouped bootstrap, needs no UK Biobank access and is on my plan."</w:t>
      </w:r>
    </w:p>
    <w:p>
      <w:pPr>
        <w:spacing w:after="120"/>
      </w:pPr>
      <w:r>
        <w:rPr>
          <w:b/>
        </w:rPr>
        <w:t>Q3.3 Why three different treatment-reconstruction conventions?</w:t>
      </w:r>
    </w:p>
    <w:p>
      <w:pPr>
        <w:spacing w:after="120"/>
      </w:pPr>
      <w:r>
        <w:rPr>
          <w:i/>
        </w:rPr>
        <w:t>Model answer:</w:t>
      </w:r>
      <w:r>
        <w:t xml:space="preserve"> "Because three studies were built at different times for different modelling requirements (Section 3.6, Table 3.4). Convention A, intensity-specific residual fractions, for discordance and TUDOR. Convention B, population-average scalars of 0.70 and 0.80, for CALON-C. Convention C, a regression on 684 within-person registry pairs, untreated non-HDL-C = 5.2299 + 0.3345 x treated, for CALON-5. Appendix D says plainly that the record does not establish why they differ and that they must not validate one another. That is a weakness of an assembled programme, and I own it."</w:t>
      </w:r>
    </w:p>
    <w:p>
      <w:pPr>
        <w:spacing w:after="120"/>
      </w:pPr>
      <w:r>
        <w:rPr>
          <w:i/>
        </w:rPr>
        <w:t>Follow-up probe:</w:t>
      </w:r>
      <w:r>
        <w:t xml:space="preserve"> "So which one is right?" Answer: "None recovers an individual value. Convention C has cross-validated MAE 1.25 mmol/L and R-squared 0.0975 (Section 7.2); TUDOR's resource has MAE 1.20 in 649 pairs (Section 6.6); Chapter 5's reconstructed rows correlate 0.09 with documented values (Section 5.2). All three support group-level targeting and rank stability only."</w:t>
      </w:r>
    </w:p>
    <w:p>
      <w:pPr>
        <w:spacing w:after="120"/>
      </w:pPr>
      <w:r>
        <w:rPr>
          <w:b/>
        </w:rPr>
        <w:t>Q3.4 Explain the difference between a cause-specific hazard and a subdistribution hazard, and which you used where.</w:t>
      </w:r>
    </w:p>
    <w:p>
      <w:pPr>
        <w:spacing w:after="120"/>
      </w:pPr>
      <w:r>
        <w:rPr>
          <w:i/>
        </w:rPr>
        <w:t>Model answer:</w:t>
      </w:r>
      <w:r>
        <w:t xml:space="preserve"> "The cause-specific hazard is the instantaneous event rate among those still event-free and is the association estimand in Chapter 4. The subdistribution hazard describes the cumulative-incidence process in the presence of competing death; a Fine-Gray-style estimate was retained in Chapter 4 only as an unverified sensitivity. Absolute incidence uses Aalen-Johansen, not one minus Kaplan-Meier, in Chapters 4 and 7 (Table 3.3, Sections 3.5, 4.2)."</w:t>
      </w:r>
    </w:p>
    <w:p>
      <w:pPr>
        <w:spacing w:after="120"/>
      </w:pPr>
      <w:r>
        <w:rPr>
          <w:b/>
        </w:rPr>
        <w:t>Q3.5 What is your multiplicity position?</w:t>
      </w:r>
    </w:p>
    <w:p>
      <w:pPr>
        <w:spacing w:after="120"/>
      </w:pPr>
      <w:r>
        <w:rPr>
          <w:i/>
        </w:rPr>
        <w:t>Model answer:</w:t>
      </w:r>
      <w:r>
        <w:t xml:space="preserve"> "No programme-wide correction (Section 3.8). Estimates are read by interval and by whether they were prespecified. Where a source applied a procedure, it is reported with its family: BH-FDR across the Paper 14 register; Holm in the CALON-C lineage. In Chapter 7 I state that about one nominal interaction per family is expected by chance (Section 7.13)."</w:t>
      </w:r>
    </w:p>
    <w:p>
      <w:pPr>
        <w:spacing w:after="120"/>
      </w:pPr>
      <w:r>
        <w:rPr>
          <w:b/>
        </w:rPr>
        <w:t>Q3.6 What is the "no-do-harm adoption gate"?</w:t>
      </w:r>
    </w:p>
    <w:p>
      <w:pPr>
        <w:spacing w:after="120"/>
      </w:pPr>
      <w:r>
        <w:rPr>
          <w:i/>
        </w:rPr>
        <w:t>Model answer:</w:t>
      </w:r>
      <w:r>
        <w:t xml:space="preserve"> "Section 3.9. Before any construct, score or model moves toward use it must show no material loss in calibration, stability, subgroup performance or decision utility on transport; it must not reduce testing or treatment where a known variant, pedigree or physical sign already indicates it; and it must not substitute for sequencing or guideline-directed lipid lowering. Then prospective assessment. Discrimination alone and retrospective decision curves do not pass it."</w:t>
      </w:r>
    </w:p>
    <w:p>
      <w:pPr>
        <w:pStyle w:val="Heading2"/>
      </w:pPr>
      <w:r>
        <w:t>4.4 Chapter 4: Measure (LDL-conditioned apoB residual)</w:t>
      </w:r>
    </w:p>
    <w:p>
      <w:pPr>
        <w:spacing w:after="120"/>
      </w:pPr>
      <w:r>
        <w:rPr>
          <w:b/>
        </w:rPr>
        <w:t>Q4.1 Your published paper reported a hazard ratio of 38.55. Defend or retract it.</w:t>
      </w:r>
    </w:p>
    <w:p>
      <w:pPr>
        <w:spacing w:after="120"/>
      </w:pPr>
      <w:r>
        <w:rPr>
          <w:i/>
        </w:rPr>
        <w:t>Model answer:</w:t>
      </w:r>
      <w:r>
        <w:t xml:space="preserve"> "Retracted as an effect estimate and retired formally (Section 4.6). Reasons: 20 incident events among 61 disease observations, 41 of which were prevalent; a binary exposure cross-classified with covariates, leaving near-empty cells; an interval from 3.72 to 399.36 spanning two orders of magnitude; mathematical coupling of the ratio to LDL-C; dichotomisation at a study-specific cut-point of 0.31 g/mmol; 40% apoB missingness handled by 20 imputations (Sections 4.3, 4.4). The paper called itself hypothesis-generating. The reanalysis of the same threshold in UK Biobank gave 1.24 (0.72 to 2.16), which does not support the boundary (Table 4.2). The paper still stands for the observation it made: in 14 treatment-naive pairs the ratio varied 2.1-fold, 0.18 to 0.38 g/mmol."</w:t>
      </w:r>
    </w:p>
    <w:p>
      <w:pPr>
        <w:spacing w:after="120"/>
      </w:pPr>
      <w:r>
        <w:rPr>
          <w:i/>
        </w:rPr>
        <w:t>Trap:</w:t>
      </w:r>
      <w:r>
        <w:t xml:space="preserve"> defending the magnitude or blaming the journal.</w:t>
      </w:r>
    </w:p>
    <w:p>
      <w:pPr>
        <w:spacing w:after="120"/>
      </w:pPr>
      <w:r>
        <w:rPr>
          <w:b/>
        </w:rPr>
        <w:t>Q4.2 What exactly is the primary estimate, and how robust is it?</w:t>
      </w:r>
    </w:p>
    <w:p>
      <w:pPr>
        <w:spacing w:after="120"/>
      </w:pPr>
      <w:r>
        <w:rPr>
          <w:i/>
        </w:rPr>
        <w:t>Model answer:</w:t>
      </w:r>
      <w:r>
        <w:t xml:space="preserve"> "In THESIS-AN-01, 1,461 UK Biobank participants selected by an operational rare LDLR/APOB variant rule, 75 incident ASCVD events, the standardised LDL-conditioned apoB residual had an adjusted cause-specific hazard ratio of 1.356 per SD (1.070 to 1.718), adjusted for age, sex, log-triglycerides, HDL-C and diabetes. The ladder was 1.556 with age and sex, 1.469 adding triglycerides, 1.356 fully adjusted; the age-timescale delayed-entry sensitivity gave 1.467 (Table 4.2). The attenuation with metabolic covariates is consistent with shared information, which is why I do not call it a pure particle effect. Not robust in two respects: the competing-risk estimate, 1.334, is an unverified IPCW approximation and is non-load-bearing; and four of the 75 events still await procedure or death-certificate confirmation (Section 4.2)."</w:t>
      </w:r>
    </w:p>
    <w:p>
      <w:pPr>
        <w:spacing w:after="120"/>
      </w:pPr>
      <w:r>
        <w:rPr>
          <w:b/>
        </w:rPr>
        <w:t>Q4.3 Does the residual add anything to prediction?</w:t>
      </w:r>
    </w:p>
    <w:p>
      <w:pPr>
        <w:spacing w:after="120"/>
      </w:pPr>
      <w:r>
        <w:rPr>
          <w:i/>
        </w:rPr>
        <w:t>Model answer:</w:t>
      </w:r>
      <w:r>
        <w:t xml:space="preserve"> "Barely, at this precision. Overall concordance 0.697; adding the residual to age and sex gave +0.050 (0.003 to 0.108), but that base model had no LDL-C. Beyond LDL-C and conventional predictors the increment was about +0.011 with no frozen interval (Section 4.5). In the CALON-F grey zone, adding log(apoB/LDL-C) gave +0.0146 (minus 0.0050 to 0.0330), and over CALON-5 the discordance term's hazard ratio was 0.79 (0.38 to 1.62) (Section 7.9). So the residual is a phenotyping refinement, not a risk calculator. The thesis says the link from measure to predict is carried forward 'as a hypothesis, not as a demonstrated increment'."</w:t>
      </w:r>
    </w:p>
    <w:p>
      <w:pPr>
        <w:spacing w:after="120"/>
      </w:pPr>
      <w:r>
        <w:rPr>
          <w:b/>
        </w:rPr>
        <w:t>Q4.4 The frozen Welsh equation gave 2.22 versus a local 1.356. Is the effect bigger in UK Biobank?</w:t>
      </w:r>
    </w:p>
    <w:p>
      <w:pPr>
        <w:spacing w:after="120"/>
      </w:pPr>
      <w:r>
        <w:rPr>
          <w:i/>
        </w:rPr>
        <w:t>Model answer:</w:t>
      </w:r>
      <w:r>
        <w:t xml:space="preserve"> "No inference of heterogeneity is permitted (Section 4.8). Welsh residual scaling standardises by the Welsh SD, so one SD is a different absolute apoB departure; assays, treatment mix and event structure differ. What the 2.22 (1.40 to 3.53) shows is that the direction of the conditional apoB signal did not depend on local re-estimation. It is construct-transport of a biomarker association, not validation of a risk model: no baseline hazard, probability or threshold crossed."</w:t>
      </w:r>
    </w:p>
    <w:p>
      <w:pPr>
        <w:spacing w:after="120"/>
      </w:pPr>
      <w:r>
        <w:rPr>
          <w:b/>
        </w:rPr>
        <w:t>Q4.5 In the joint model apoB was 4.94 and LDL-C 0.26. Is LDL-C protective in FH?</w:t>
      </w:r>
    </w:p>
    <w:p>
      <w:pPr>
        <w:spacing w:after="120"/>
      </w:pPr>
      <w:r>
        <w:rPr>
          <w:i/>
        </w:rPr>
        <w:t>Model answer:</w:t>
      </w:r>
      <w:r>
        <w:t xml:space="preserve"> "No. Section 4.7: with two predictors correlated this strongly each coefficient is the remaining variation after conditioning on the other, and reversal reflects unstable partitioning, not opposing biology. That model is shown precisely to explain why the residual, which separates the fitted LDL-C component from the apoB deviation, is the interpretable representation."</w:t>
      </w:r>
    </w:p>
    <w:p>
      <w:pPr>
        <w:spacing w:after="120"/>
      </w:pPr>
      <w:r>
        <w:rPr>
          <w:b/>
        </w:rPr>
        <w:t>Q4.6 What is the residual, biologically?</w:t>
      </w:r>
    </w:p>
    <w:p>
      <w:pPr>
        <w:spacing w:after="120"/>
      </w:pPr>
      <w:r>
        <w:rPr>
          <w:i/>
        </w:rPr>
        <w:t>Model answer:</w:t>
      </w:r>
      <w:r>
        <w:t xml:space="preserve"> "ApoB unexplained by LDL-C under the fitted relation: it may contain cholesterol-depleted LDL, remnants, Lp(a), treatment-induced compositional change and assay effects, and the coefficient cannot apportion them (Section 4.7). Calculated remnant cholesterol accounted for an estimated 16.0% (minus 0.9 to 44.6%) and NMR remnant cholesterol 6.68% (minus 4.34 to 39.54%); both cross zero. I do not relabel it small dense LDL or LDL particle number."</w:t>
      </w:r>
    </w:p>
    <w:p>
      <w:pPr>
        <w:spacing w:after="120"/>
      </w:pPr>
      <w:r>
        <w:rPr>
          <w:b/>
        </w:rPr>
        <w:t>Q4.7 Absolute risk: what did quartile 4 versus the rest look like, and can I use it in clinic?</w:t>
      </w:r>
    </w:p>
    <w:p>
      <w:pPr>
        <w:spacing w:after="120"/>
      </w:pPr>
      <w:r>
        <w:rPr>
          <w:i/>
        </w:rPr>
        <w:t>Model answer:</w:t>
      </w:r>
      <w:r>
        <w:t xml:space="preserve"> "Aalen-Johansen ten-year cumulative incidence 7.4% in local residual quartile 4 (n 366) versus 2.4% in quartiles 1 to 3 (n 1,095) (Section 4.5). It is a locally defined descriptive grouping in a volunteer cohort, not an externally validated threshold and not calibrated individual risk. No."</w:t>
      </w:r>
    </w:p>
    <w:p>
      <w:pPr>
        <w:spacing w:after="120"/>
      </w:pPr>
      <w:r>
        <w:rPr>
          <w:b/>
        </w:rPr>
        <w:t>Q4.8 Why not restrict to never-treated carriers to get clean biology?</w:t>
      </w:r>
    </w:p>
    <w:p>
      <w:pPr>
        <w:spacing w:after="120"/>
      </w:pPr>
      <w:r>
        <w:rPr>
          <w:i/>
        </w:rPr>
        <w:t>Model answer:</w:t>
      </w:r>
      <w:r>
        <w:t xml:space="preserve"> "I did, as a boundary analysis: 1.248 (0.885 to 1.760) on 30 events, retained aggregate (Section 4.9). It neither confirms nor refutes. Never-treated participants are themselves selected, younger and less severe, so removing treatment introduces another selection. The primary claim stays in the mixed-treatment frame."</w:t>
      </w:r>
    </w:p>
    <w:p>
      <w:pPr>
        <w:spacing w:after="120"/>
      </w:pPr>
      <w:r>
        <w:rPr>
          <w:b/>
        </w:rPr>
        <w:t>Q4.9 Why is this frame "rare LDLR/APOB variant carriers" rather than genetically confirmed FH?</w:t>
      </w:r>
    </w:p>
    <w:p>
      <w:pPr>
        <w:spacing w:after="120"/>
      </w:pPr>
      <w:r>
        <w:rPr>
          <w:i/>
        </w:rPr>
        <w:t>Model answer:</w:t>
      </w:r>
      <w:r>
        <w:t xml:space="preserve"> "Because uniform P/LP adjudication, transcript-level HGVS and zygosity were not available for every participant (Section 4.2). The stronger label is reserved for Chapter 7's ClinVar P/LP single-variant frame. Box 3.1 keeps the three UK Biobank genetic definitions apart and none is relabelled HeFH."</w:t>
      </w:r>
    </w:p>
    <w:p>
      <w:pPr>
        <w:spacing w:after="120"/>
      </w:pPr>
      <w:r>
        <w:rPr>
          <w:b/>
        </w:rPr>
        <w:t>Q4.10 What would resolve the particle question?</w:t>
      </w:r>
    </w:p>
    <w:p>
      <w:pPr>
        <w:spacing w:after="120"/>
      </w:pPr>
      <w:r>
        <w:rPr>
          <w:i/>
        </w:rPr>
        <w:t>Model answer:</w:t>
      </w:r>
      <w:r>
        <w:t xml:space="preserve"> "Section 8.8, Secondary 4: a prospectively locked evaluation in molecularly adjudicated FH with harmonised apoB and LDL-C assays, a frozen exposure equation, a negative-control outcome, enough events for an interval on incremental concordance, and a head-to-head against risk-weighted apoB, which I did not compare (limitation L10)."</w:t>
      </w:r>
    </w:p>
    <w:p>
      <w:pPr>
        <w:pStyle w:val="Heading2"/>
      </w:pPr>
      <w:r>
        <w:t>4.5 Chapter 5: Select (ascertainment)</w:t>
      </w:r>
    </w:p>
    <w:p>
      <w:pPr>
        <w:spacing w:after="120"/>
      </w:pPr>
      <w:r>
        <w:rPr>
          <w:b/>
        </w:rPr>
        <w:t>Q5.1 State the primary estimate and its estimand precisely.</w:t>
      </w:r>
    </w:p>
    <w:p>
      <w:pPr>
        <w:spacing w:after="120"/>
      </w:pPr>
      <w:r>
        <w:rPr>
          <w:i/>
        </w:rPr>
        <w:t>Model answer:</w:t>
      </w:r>
      <w:r>
        <w:t xml:space="preserve"> "Observed difference in assigned untreated LDL-C between phenotype-referred probands and cascade-detected relatives at matched affected LDLR residues within one service, with residue fixed effects and pedigree-clustered standard errors: +1.09 mmol/L (0.83 to 1.36) in 1,100 carriers, 464 probands and 636 relatives, at 50 residues in 488 pedigrees (Section 5.3). It is not a causal effect of ascertainment; proband status is partly defined by the phenotype under study."</w:t>
      </w:r>
    </w:p>
    <w:p>
      <w:pPr>
        <w:spacing w:after="120"/>
      </w:pPr>
      <w:r>
        <w:rPr>
          <w:b/>
        </w:rPr>
        <w:t>Q5.2 Walk me down the attenuation ladder and tell me what each step is.</w:t>
      </w:r>
    </w:p>
    <w:p>
      <w:pPr>
        <w:spacing w:after="120"/>
      </w:pPr>
      <w:r>
        <w:rPr>
          <w:i/>
        </w:rPr>
        <w:t>Model answer:</w:t>
      </w:r>
      <w:r>
        <w:t xml:space="preserve"> "+1.09 crude; +0.81 (0.52 to 1.09) with linear age, same carriers, an adjustment; +0.65 (0.24 to 1.07) restricted to ages 40 to 65, n 457, a change of population; +0.39 (0.05 to 0.73) with pedigree fixed effects and age, same 1,100 carriers but informed by only the 236 pedigrees containing both routes, a change of comparison (Section 5.3, Table 5.2). Probands were two decades older, median 60.2 versus 38.6 years, so age was the largest threat. The fall from crude to within-pedigree is model, not sample: on the fixed membership, pedigree effects without age gave +0.59 and with age and sex +0.40."</w:t>
      </w:r>
    </w:p>
    <w:p>
      <w:pPr>
        <w:spacing w:after="120"/>
      </w:pPr>
      <w:r>
        <w:rPr>
          <w:b/>
        </w:rPr>
        <w:t>Q5.3 Is the within-family difference real?</w:t>
      </w:r>
    </w:p>
    <w:p>
      <w:pPr>
        <w:spacing w:after="120"/>
      </w:pPr>
      <w:r>
        <w:rPr>
          <w:i/>
        </w:rPr>
        <w:t>Model answer:</w:t>
      </w:r>
      <w:r>
        <w:t xml:space="preserve"> "Detectable but imprecise, and I would not claim more. p = 0.023; pedigree bootstrap 0.04 to 0.74; under a dummy-variable degrees-of-freedom correction the interval is minus 0.06 to 0.85 (Section 5.3). The conclusion depends on the variance convention. Appendix B.10 shows the rung has moved across four manuscript versions: +0.34 (0.01 to 0.67), +0.34 (minus 0.07 to 0.76), +0.40 (minus 0.003 to 0.81), +0.39. The falsifier for Objective 2 is not met, but narrowly. What the rung supports is a residual within-family association that the design cannot attribute to referral selection or biology."</w:t>
      </w:r>
    </w:p>
    <w:p>
      <w:pPr>
        <w:spacing w:after="120"/>
      </w:pPr>
      <w:r>
        <w:rPr>
          <w:i/>
        </w:rPr>
        <w:t>Trap:</w:t>
      </w:r>
      <w:r>
        <w:t xml:space="preserve"> saying "significant" and stopping.</w:t>
      </w:r>
    </w:p>
    <w:p>
      <w:pPr>
        <w:spacing w:after="120"/>
      </w:pPr>
      <w:r>
        <w:rPr>
          <w:b/>
        </w:rPr>
        <w:t>Q5.4 Residue matching is not allele matching. How much does that matter?</w:t>
      </w:r>
    </w:p>
    <w:p>
      <w:pPr>
        <w:spacing w:after="120"/>
      </w:pPr>
      <w:r>
        <w:rPr>
          <w:i/>
        </w:rPr>
        <w:t>Model answer:</w:t>
      </w:r>
      <w:r>
        <w:t xml:space="preserve"> "It matters, and the chapter says residue matching 'narrows rather than solves' (Section 5.2). It blocks the explanation that groups carried variants in different receptor regions; it does not control the substitution, functional class, polygenic background, Lp(a), era or treatment. The within-pedigree rung fixes the familial allele and shared background but conditions on a selected minority of families. Leave-one-residue-out and leave-one-variant-out moved the estimate by no more than 0.13 mmol/L (Section 5.4). Polygenic enrichment among clinically ascertained probands, as Trinder 2024 showed across cohorts, remains an alternative explanation I cannot exclude because polygenic scores were not available (Section 5.7)."</w:t>
      </w:r>
    </w:p>
    <w:p>
      <w:pPr>
        <w:spacing w:after="120"/>
      </w:pPr>
      <w:r>
        <w:rPr>
          <w:b/>
        </w:rPr>
        <w:t>Q5.5 Does the difference depend on reconstructed untreated values?</w:t>
      </w:r>
    </w:p>
    <w:p>
      <w:pPr>
        <w:spacing w:after="120"/>
      </w:pPr>
      <w:r>
        <w:rPr>
          <w:i/>
        </w:rPr>
        <w:t>Model answer:</w:t>
      </w:r>
      <w:r>
        <w:t xml:space="preserve"> "No. Directly observed values only, +1.09 (0.82 to 1.37, n 1,013); documented pretreatment values only, +1.16 (0.88 to 1.45, n 972); nine back-calculation rules, +1.00 to +1.09, every interval excluding zero; inverse-probability-of-observation weighting, +1.07 (Section 5.4). Reconstruction was needed in 11.3% of probands and 4.7% of relatives, and those rows are not random: 78.4% versus 13.2% of probands with reconstructed versus observed values had prior hard events (Section 5.2). So the primary contrast is the one that does not need reconstruction."</w:t>
      </w:r>
    </w:p>
    <w:p>
      <w:pPr>
        <w:spacing w:after="120"/>
      </w:pPr>
      <w:r>
        <w:rPr>
          <w:b/>
        </w:rPr>
        <w:t>Q5.6 Regression to the mean: isn't the proband value just the highest value in a noisy series?</w:t>
      </w:r>
    </w:p>
    <w:p>
      <w:pPr>
        <w:spacing w:after="120"/>
      </w:pPr>
      <w:r>
        <w:rPr>
          <w:i/>
        </w:rPr>
        <w:t>Model answer:</w:t>
      </w:r>
      <w:r>
        <w:t xml:space="preserve"> "Partly, and the revision measured it. Among carriers with two pre-treatment readings, a proband's first reading averaged 2.20 mmol/L (1.62 to 2.76) above the later one, 95 pairs, and a relative's 0.91 (0.43 to 1.42), 84 pairs (Section 5.4). The empirical reference-change value in these pairs was 93% against a within-subject biological CV of about 7.9% for calculated LDL-C. That is compatible with referral-associated measurement selection and regression to the mean, and it cannot be separated from biological change or unrecorded treatment. It is descriptive and post hoc, and no share of the between-group contrast is attributed to it (limitation L01)."</w:t>
      </w:r>
    </w:p>
    <w:p>
      <w:pPr>
        <w:spacing w:after="120"/>
      </w:pPr>
      <w:r>
        <w:rPr>
          <w:b/>
        </w:rPr>
        <w:t>Q5.7 Is the three-stratum ordering 5.80, 4.76, 3.87 mmol/L a matched comparison?</w:t>
      </w:r>
    </w:p>
    <w:p>
      <w:pPr>
        <w:spacing w:after="120"/>
      </w:pPr>
      <w:r>
        <w:rPr>
          <w:i/>
        </w:rPr>
        <w:t>Model answer:</w:t>
      </w:r>
      <w:r>
        <w:t xml:space="preserve"> "No. It compares differing allele spectra and is not residue-matched (Section 5.4). Its use is descriptive: it is the phenotype encountered as detection moves from referral, through cascade, to sequencing."</w:t>
      </w:r>
    </w:p>
    <w:p>
      <w:pPr>
        <w:spacing w:after="120"/>
      </w:pPr>
      <w:r>
        <w:rPr>
          <w:b/>
        </w:rPr>
        <w:t>Q5.8 What does this chapter mean for the 4.9 mmol/L criterion?</w:t>
      </w:r>
    </w:p>
    <w:p>
      <w:pPr>
        <w:spacing w:after="120"/>
      </w:pPr>
      <w:r>
        <w:rPr>
          <w:i/>
        </w:rPr>
        <w:t>Model answer:</w:t>
      </w:r>
      <w:r>
        <w:t xml:space="preserve"> "Among 715 UK Biobank P/LP carriers with no recorded treatment, 84.5% (81.6 to 86.9) were below 4.9 mmol/L; within the service, 38.1% of probands, 56.9% of relatives and 40.5% of genotype-negative referrals were below it, and untreated LDL-C separated carriers from genotype-negatives with AUC 0.58 on the proband route and 0.76 on the cascade route (Section 5.6). Threshold attainment is a property of the criterion in a specified spectrum. A cascade or genotype-first carrier should not be down-classified for not resembling the proband spectrum."</w:t>
      </w:r>
    </w:p>
    <w:p>
      <w:pPr>
        <w:spacing w:after="120"/>
      </w:pPr>
      <w:r>
        <w:rPr>
          <w:b/>
        </w:rPr>
        <w:t>Q5.9 Is there a cumulative-exposure story here?</w:t>
      </w:r>
    </w:p>
    <w:p>
      <w:pPr>
        <w:spacing w:after="120"/>
      </w:pPr>
      <w:r>
        <w:rPr>
          <w:i/>
        </w:rPr>
        <w:t>Model answer:</w:t>
      </w:r>
      <w:r>
        <w:t xml:space="preserve"> "Only weakly and with a poor measure. Baseline LDL-C times attained age, in 3,204 UK Biobank carriers with 137 events, added 0.002 to Harrell's C over age, sex and LDL-C (Section 5.5). That is a single-measurement product, not a life-course integral. The per-mmol associations were 1.15 (Wales, cross-sectional) and 1.21 per mmol/L hazard in UK Biobank, and 1.10 (0.93 to 1.29) on 49 events in exact-allele P/LP carriers. No equivalence was tested; these are not comparable magnitudes."</w:t>
      </w:r>
    </w:p>
    <w:p>
      <w:pPr>
        <w:spacing w:after="120"/>
      </w:pPr>
      <w:r>
        <w:rPr>
          <w:b/>
        </w:rPr>
        <w:t>Q5.10 What is "selection leakage" and does TUDOR suffer from it?</w:t>
      </w:r>
    </w:p>
    <w:p>
      <w:pPr>
        <w:spacing w:after="120"/>
      </w:pPr>
      <w:r>
        <w:rPr>
          <w:i/>
        </w:rPr>
        <w:t>Model answer:</w:t>
      </w:r>
      <w:r>
        <w:t xml:space="preserve"> "A predictor that partly reconstructs the case-definition process, such as proband status, referral source or completeness of pedigree recording (Section 5.6). The published TUDOR description included such a term, the Index Effect; the recovered executable object does not (Box 6.1), so the evaluated score cannot leak by that route, but the development population's route mix still shapes its calibration and prevalence."</w:t>
      </w:r>
    </w:p>
    <w:p>
      <w:pPr>
        <w:pStyle w:val="Heading2"/>
      </w:pPr>
      <w:r>
        <w:t>4.6 Chapter 6: Identify (TUDOR)</w:t>
      </w:r>
    </w:p>
    <w:p>
      <w:pPr>
        <w:spacing w:after="120"/>
      </w:pPr>
      <w:r>
        <w:rPr>
          <w:b/>
        </w:rPr>
        <w:t>Q6.1 What is TUDOR and what is it for?</w:t>
      </w:r>
    </w:p>
    <w:p>
      <w:pPr>
        <w:spacing w:after="120"/>
      </w:pPr>
      <w:r>
        <w:rPr>
          <w:i/>
        </w:rPr>
        <w:t>Model answer:</w:t>
      </w:r>
      <w:r>
        <w:t xml:space="preserve"> "A treatment-aware elastic-net logistic score, elastic-net mixing 0.5, C = 1.0, saga solver, seed 20260518, with 11 declared inputs of which 10 contribute: reconstructed pretreatment LDL-C, HDL-C, triglycerides, total cholesterol, non-HDL-C, age, sex, treatment status, family history of CVD (zero variance, coefficient zero), a diabetes-by-LDL interaction and premature CV events (Section 6.2). Its output is a testing-priority score for genotype-confirmed LDLR-mediated FH within a specialist pathway. It is not a diagnosis, a prognostic model or evidence that model-guided testing improves outcomes."</w:t>
      </w:r>
    </w:p>
    <w:p>
      <w:pPr>
        <w:spacing w:after="120"/>
      </w:pPr>
      <w:r>
        <w:rPr>
          <w:b/>
        </w:rPr>
        <w:t>Q6.2 Give me the head-to-head result and then tell me why it flatters TUDOR.</w:t>
      </w:r>
    </w:p>
    <w:p>
      <w:pPr>
        <w:spacing w:after="120"/>
      </w:pPr>
      <w:r>
        <w:rPr>
          <w:i/>
        </w:rPr>
        <w:t>Model answer:</w:t>
      </w:r>
      <w:r>
        <w:t xml:space="preserve"> "In 1,274 Welsh participants, 311 carriers, AUC 0.760 (0.727 to 0.790) versus 0.652 for eDLCN, 0.600 FAMCAT, 0.569 Simon Broome, 0.524 MEDPED; NRI against FAMCAT +0.204 (0.141 to 0.266) (Section 6.3). It flatters TUDOR because the comparators were electronic reconstructions deprived of examination, pedigree and primary-care inputs, with unrecorded findings scored as absent (Section 6.4). The counterweight is Akyea 2026: in an Australian tertiary clinic DLCN scored with examination, pedigree and untreated lipids beat FAMCAT, AUROC 0.816 versus 0.748. TUDOR has never been compared with fully scored DLCN or with the Welsh service's own published criteria (limitation L12). The defensible claim is better ranking under shared electronic information."</w:t>
      </w:r>
    </w:p>
    <w:p>
      <w:pPr>
        <w:spacing w:after="120"/>
      </w:pPr>
      <w:r>
        <w:rPr>
          <w:b/>
        </w:rPr>
        <w:t>Q6.3 Why were the Welsh head-to-head AUC differences reported without a paired test or interval when you own the data?</w:t>
      </w:r>
    </w:p>
    <w:p>
      <w:pPr>
        <w:spacing w:after="120"/>
      </w:pPr>
      <w:r>
        <w:rPr>
          <w:i/>
        </w:rPr>
        <w:t>Model answer:</w:t>
      </w:r>
      <w:r>
        <w:t xml:space="preserve"> "That is a gap in the source report, and the thesis says so (Section 6.2, Figure 6.1 legend). The paired DeLong test was applied in the local UK Biobank stream (0.747 versus 0.605, difference +0.143). A family-grouped bootstrap of the Welsh paired differences is feasible from the registry alone and is on my plan for before final submission (Part 9)."</w:t>
      </w:r>
    </w:p>
    <w:p>
      <w:pPr>
        <w:spacing w:after="120"/>
      </w:pPr>
      <w:r>
        <w:rPr>
          <w:b/>
        </w:rPr>
        <w:t>Q6.4 The published TUDOR paper says "ascertainment-aware" with an "Index Effect". Your evaluated object has no such term. Explain, and tell me why there is no corrigendum.</w:t>
      </w:r>
    </w:p>
    <w:p>
      <w:pPr>
        <w:spacing w:after="120"/>
      </w:pPr>
      <w:r>
        <w:rPr>
          <w:i/>
        </w:rPr>
        <w:t>Why asked:</w:t>
      </w:r>
      <w:r>
        <w:t xml:space="preserve"> research integrity; the most dangerous line in the viva.</w:t>
      </w:r>
    </w:p>
    <w:p>
      <w:pPr>
        <w:spacing w:after="120"/>
      </w:pPr>
      <w:r>
        <w:rPr>
          <w:i/>
        </w:rPr>
        <w:t>Model answer:</w:t>
      </w:r>
      <w:r>
        <w:t xml:space="preserve"> "The publication's title and abstract describe an Index Effect encoding proband versus cascade ascertainment. When the frozen executable pipeline was recovered and reproduced by score readback, its 11 declared inputs contained no route term (Section 6.2, Box 6.1). Every TUDOR result in the thesis refers to that recovered object; no Index-Effect increment is reported, and an earlier numerical increment circulating in programme material is omitted because no producing object supports it (Section 6.4). The discrepancy is disclosed in the thesis only; no corrigendum has been requested, by my decision, and the thesis says the published description remains uncorrected. On reflection that is the wrong order: a reader of the paper alone attributes a feature to the model that the evaluated object does not contain. I intend to write to the journal before final submission."</w:t>
      </w:r>
    </w:p>
    <w:p>
      <w:pPr>
        <w:spacing w:after="120"/>
      </w:pPr>
      <w:r>
        <w:rPr>
          <w:i/>
        </w:rPr>
        <w:t>Trap:</w:t>
      </w:r>
      <w:r>
        <w:t xml:space="preserve"> minimising it, or saying the label is "just wording".</w:t>
      </w:r>
    </w:p>
    <w:p>
      <w:pPr>
        <w:spacing w:after="120"/>
      </w:pPr>
      <w:r>
        <w:rPr>
          <w:i/>
        </w:rPr>
        <w:t>Follow-up probe:</w:t>
      </w:r>
      <w:r>
        <w:t xml:space="preserve"> "Does the discrepancy invalidate the AUC?" Answer: "No; the score readback reproduces the stored predictions within tolerance, so 0.760 is the performance of the object that exists. It invalidates the route-aware claim, not the ranking claim."</w:t>
      </w:r>
    </w:p>
    <w:p>
      <w:pPr>
        <w:spacing w:after="120"/>
      </w:pPr>
      <w:r>
        <w:rPr>
          <w:b/>
        </w:rPr>
        <w:t>Q6.5 What happened on transport?</w:t>
      </w:r>
    </w:p>
    <w:p>
      <w:pPr>
        <w:spacing w:after="120"/>
      </w:pPr>
      <w:r>
        <w:rPr>
          <w:i/>
        </w:rPr>
        <w:t>Model answer:</w:t>
      </w:r>
      <w:r>
        <w:t xml:space="preserve"> "Frozen application to the UK Biobank lipid-clinic-eligible frame, 49,427 participants and 921 carriers, gave AUC 0.669 (0.650 to 0.687); the whole-cohort off-target stress test gave 0.631; refitting coefficients in UK Biobank gave an apparent 0.756, which is local development, not validation (Table 6.3). Reciprocal Welsh splits gave 0.732 and 0.770 and pooled frozen Wales 0.746. So the signal is not confined to one Welsh comparison, and portability is incomplete and use-dependent. In an unselected local analysis the score did not exceed LDL-C alone (Section 6.5)."</w:t>
      </w:r>
    </w:p>
    <w:p>
      <w:pPr>
        <w:spacing w:after="120"/>
      </w:pPr>
      <w:r>
        <w:rPr>
          <w:b/>
        </w:rPr>
        <w:t>Q6.6 Is TUDOR calibrated?</w:t>
      </w:r>
    </w:p>
    <w:p>
      <w:pPr>
        <w:spacing w:after="120"/>
      </w:pPr>
      <w:r>
        <w:rPr>
          <w:i/>
        </w:rPr>
        <w:t>Model answer:</w:t>
      </w:r>
      <w:r>
        <w:t xml:space="preserve"> "Not shown to be. In a local UK Biobank sensitivity stream the slope was 1.257 and the intercept minus 3.03, Brier 0.076, retained aggregate (Section 6.7): substantial overprediction in a lower-prevalence setting. External calibration for the locked 49,427/921 transport cohort was not available. TUDOR's output is a ranking score, not a carrier probability. No LOW, INTERMEDIATE or HIGH bands were established."</w:t>
      </w:r>
    </w:p>
    <w:p>
      <w:pPr>
        <w:spacing w:after="120"/>
      </w:pPr>
      <w:r>
        <w:rPr>
          <w:b/>
        </w:rPr>
        <w:t>Q6.7 What is the workload trade-off?</w:t>
      </w:r>
    </w:p>
    <w:p>
      <w:pPr>
        <w:spacing w:after="120"/>
      </w:pPr>
      <w:r>
        <w:rPr>
          <w:i/>
        </w:rPr>
        <w:t>Model answer:</w:t>
      </w:r>
      <w:r>
        <w:t xml:space="preserve"> "In the local 43,594/652 cohort: Youden point refers 10,433 to capture 409 of 652 carriers, sensitivity 0.627, PPV 3.9%, 25.5 sequenced per carrier; top 10% refers 4,360, PPV 6.1%, 16.4 per carrier; a high-sensitivity point refers 36,417 for sensitivity 0.949 and PPV 1.7% (Table 6.4). Number needed to screen was 2.0 in Wales and 15.1 in UK Biobank. A Youden point encodes no clinical harms; any threshold must be prespecified for a defined action with a missed-carrier audit."</w:t>
      </w:r>
    </w:p>
    <w:p>
      <w:pPr>
        <w:spacing w:after="120"/>
      </w:pPr>
      <w:r>
        <w:rPr>
          <w:b/>
        </w:rPr>
        <w:t>Q6.8 How bad is the reconstruction error, and why does the AUC not care?</w:t>
      </w:r>
    </w:p>
    <w:p>
      <w:pPr>
        <w:spacing w:after="120"/>
      </w:pPr>
      <w:r>
        <w:rPr>
          <w:i/>
        </w:rPr>
        <w:t>Model answer:</w:t>
      </w:r>
      <w:r>
        <w:t xml:space="preserve"> "Mean absolute error 1.20 mmol/L in 649 paired participants, correlation 0.32 (Section 6.6, Appendix D). AUC range across dose-specific, class-level and fixed-factor reconstructions was under 0.02, paired p above 0.3. Ranking is insensitive to some systematic error because other predictors contribute and because a common shift preserves order. Stable AUC does not validate the reconstructed value for an individual near a threshold; the two errors to avoid are rejecting all treatment-aware modelling because one input is noisy, and reading stable ranking as recovered exposure."</w:t>
      </w:r>
    </w:p>
    <w:p>
      <w:pPr>
        <w:spacing w:after="120"/>
      </w:pPr>
      <w:r>
        <w:rPr>
          <w:b/>
        </w:rPr>
        <w:t>Q6.9 Was there family leakage between development and evaluation folds?</w:t>
      </w:r>
    </w:p>
    <w:p>
      <w:pPr>
        <w:spacing w:after="120"/>
      </w:pPr>
      <w:r>
        <w:rPr>
          <w:i/>
        </w:rPr>
        <w:t>Model answer:</w:t>
      </w:r>
      <w:r>
        <w:t xml:space="preserve"> "Unquantified. The source report describes family-aware states but no family-aware optimism estimate with a located producing record exists, and no fold or family manifest has been reconstructed (Section 6.4; Table A.2 marks it T6). The expected direction is optimism. I cannot put a number on it today."</w:t>
      </w:r>
    </w:p>
    <w:p>
      <w:pPr>
        <w:spacing w:after="120"/>
      </w:pPr>
      <w:r>
        <w:rPr>
          <w:b/>
        </w:rPr>
        <w:t>Q6.10 Why does Chapter 6 say 80.2% of P/LP carriers were below the Simon Broome trigger and Chapter 5 say 84.5%?</w:t>
      </w:r>
    </w:p>
    <w:p>
      <w:pPr>
        <w:spacing w:after="120"/>
      </w:pPr>
      <w:r>
        <w:rPr>
          <w:i/>
        </w:rPr>
        <w:t>Model answer:</w:t>
      </w:r>
      <w:r>
        <w:t xml:space="preserve"> "Different frames: Section 6.1 quotes the TUDOR paper's UK Biobank ClinVar P/LP carriers with an untreated LDL-C, 80.2%, and the 404-per-carrier sequencing yield at a 4.9 gate; Section 5.6 quotes the Paper 14 R4 frame of 715 exact-allele P/LP carriers with no recorded treatment, 84.5%. Same direction, different denominators, and I keep them apart."</w:t>
      </w:r>
    </w:p>
    <w:p>
      <w:pPr>
        <w:pStyle w:val="Heading2"/>
      </w:pPr>
      <w:r>
        <w:t>4.7 Chapter 7: Predict (CALON-5 and the two-term model)</w:t>
      </w:r>
    </w:p>
    <w:p>
      <w:pPr>
        <w:spacing w:after="120"/>
      </w:pPr>
      <w:r>
        <w:rPr>
          <w:b/>
        </w:rPr>
        <w:t>Q7.1 Describe the two models and why neither is primary.</w:t>
      </w:r>
    </w:p>
    <w:p>
      <w:pPr>
        <w:spacing w:after="120"/>
      </w:pPr>
      <w:r>
        <w:rPr>
          <w:i/>
        </w:rPr>
        <w:t>Model answer:</w:t>
      </w:r>
      <w:r>
        <w:t xml:space="preserve"> "CALON-5: Cox, five terms, age, male sex, hypertension as recorded antihypertensive medication, diabetes, and log of untreated non-HDL-C over HDL-C; no penalty (Section 7.2). Developed in UK Biobank ClinVar P/LP carriers, 888 complete cases and 74 events, 14.8 events per parameter, and applied to 469 registry P/LP complete cases with 28 events, 5.6 per parameter, below the prespecified floor of 10 (Section 7.3). The two-term model, age and the lipid ratio, was selected on UK Biobank outcomes alone after CALON-5's results were known, the smallest of 25 indistinguishable subsets, and its selection was unstable in 200 bootstraps (age retained 83%, lipid ratio 32%). Neither is primary because CALON-5's terms were chosen with knowledge of its transported registry performance and the two-term model was chosen after that (Section 7.1). Both are at high risk of bias on my own PROBAST+AI appraisal (Appendix E.4)."</w:t>
      </w:r>
    </w:p>
    <w:p>
      <w:pPr>
        <w:spacing w:after="120"/>
      </w:pPr>
      <w:r>
        <w:rPr>
          <w:b/>
        </w:rPr>
        <w:t>Q7.2 "Prespecified ... after the CALON-5 results were known." That is a contradiction. Which is it?</w:t>
      </w:r>
    </w:p>
    <w:p>
      <w:pPr>
        <w:spacing w:after="120"/>
      </w:pPr>
      <w:r>
        <w:rPr>
          <w:i/>
        </w:rPr>
        <w:t>Model answer:</w:t>
      </w:r>
      <w:r>
        <w:t xml:space="preserve"> "Both words are accurate about different things, and I should not hide behind the phrase. The selection rule was written into the revision protocol of 23 September 2026 before it was run; but it was written after CALON-5's transported results were known, so the whole exercise is conditional on them. The right label is 'development-only selected'. That is why its optimism-corrected concordance of 0.612 and its transport are reported beside CALON-5 without a primary designation."</w:t>
      </w:r>
    </w:p>
    <w:p>
      <w:pPr>
        <w:spacing w:after="120"/>
      </w:pPr>
      <w:r>
        <w:rPr>
          <w:b/>
        </w:rPr>
        <w:t>Q7.3 Twenty-eight events. Why report the registry fit at all?</w:t>
      </w:r>
    </w:p>
    <w:p>
      <w:pPr>
        <w:spacing w:after="120"/>
      </w:pPr>
      <w:r>
        <w:rPr>
          <w:i/>
        </w:rPr>
        <w:t>Model answer:</w:t>
      </w:r>
      <w:r>
        <w:t xml:space="preserve"> "The registry fit is exploratory and labelled so; the interpreted reverse direction is the all-carrier fit with 52 events (Section 7.3). The 28-event P/LP fit is reported because the P/LP frame is the population the published comparators were derived in, and because suppressing it would hide the precision problem that is itself a finding (Section 7.11)."</w:t>
      </w:r>
    </w:p>
    <w:p>
      <w:pPr>
        <w:spacing w:after="120"/>
      </w:pPr>
      <w:r>
        <w:rPr>
          <w:b/>
        </w:rPr>
        <w:t>Q7.4 Give me the discrimination and calibration headline, then the mechanism.</w:t>
      </w:r>
    </w:p>
    <w:p>
      <w:pPr>
        <w:spacing w:after="120"/>
      </w:pPr>
      <w:r>
        <w:rPr>
          <w:i/>
        </w:rPr>
        <w:t>Model answer:</w:t>
      </w:r>
      <w:r>
        <w:t xml:space="preserve"> "Frozen ten-year concordance 0.699 (0.611 to 0.790) into the registry and 0.698 (0.609 to 0.778) out of it; across seven estimable cells 0.698 to 0.722, every interval overlapping (Section 7.5). Observed-to-expected 1.96 into the registry (3.05% predicted, 5.98% observed) and 0.70 out of it (6.76% versus 4.73%); slopes 0.83 (0.47 to 1.22) and 0.55 (0.36 to 0.72) (Section 7.6). Mechanism: by attained age 70 cumulative MACE incidence was 9.0% in UK Biobank carriers and 24.4% in registry carriers; a model inherits its development cohort's baseline hazard. Relative effects travelled, the lipid term 2.33 and 2.40 per log unit in the two cohorts; baseline risk did not. Re-estimating the baseline fixed the level in all seven cells; the slope needed a second correction only out of the registry."</w:t>
      </w:r>
    </w:p>
    <w:p>
      <w:pPr>
        <w:spacing w:after="120"/>
      </w:pPr>
      <w:r>
        <w:rPr>
          <w:b/>
        </w:rPr>
        <w:t>Q7.5 How much of the ranking is just age and sex?</w:t>
      </w:r>
    </w:p>
    <w:p>
      <w:pPr>
        <w:spacing w:after="120"/>
      </w:pPr>
      <w:r>
        <w:rPr>
          <w:i/>
        </w:rPr>
        <w:t>Model answer:</w:t>
      </w:r>
      <w:r>
        <w:t xml:space="preserve"> "Most of it. Age and sex alone reached 0.640 to 0.669 across the four cells; CALON-5 0.698 to 0.722 (Section 7.5). On identical registry rows CALON-5 beat the two-term model by 0.043 (0.005 to 0.083), but no interval exists for CALON-5 over age and sex (limitation L14). CALON-C's lineage warning was sharper: its frozen Welsh concordance of 0.7252 was matched by age and sex, the other seven terms adding +0.0008 (Section 7.14). I would not claim the increment over demographics is demonstrated."</w:t>
      </w:r>
    </w:p>
    <w:p>
      <w:pPr>
        <w:spacing w:after="120"/>
      </w:pPr>
      <w:r>
        <w:rPr>
          <w:b/>
        </w:rPr>
        <w:t>Q7.6 The reconstruction equation has R-squared 0.0975 and a slope of 0.33. Why is that acceptable?</w:t>
      </w:r>
    </w:p>
    <w:p>
      <w:pPr>
        <w:spacing w:after="120"/>
      </w:pPr>
      <w:r>
        <w:rPr>
          <w:i/>
        </w:rPr>
        <w:t>Model answer:</w:t>
      </w:r>
      <w:r>
        <w:t xml:space="preserve"> "It is acceptable only for what it is used for. It targets the guideline-specified untreated quantity at group level for the 24.7% of biobank carriers on therapy; it compresses the treated between-person spread and was fitted mostly on non-carrier pairs, so it is not accurate for an individual (Sections 7.2, 7.10, Appendix D.3). A drug- and dose-specific equation was not used because dated, dosed prescriptions existed for only 27.6% of treated carriers and the registry's drug-specific rule was biased by 4.5 mmol/L. The error is plausibly differential, because treatment starts in response to earlier lipids. The registry uses recorded values, so the two cohorts measure the exposure differently, which is a stated limitation. The stronger design is documented pre-treatment samples and propagation of a distribution of plausible untreated values through fitting; the propagation protocol is frozen but was not run (Appendix D.4)."</w:t>
      </w:r>
    </w:p>
    <w:p>
      <w:pPr>
        <w:spacing w:after="120"/>
      </w:pPr>
      <w:r>
        <w:rPr>
          <w:b/>
        </w:rPr>
        <w:t>Q7.7 Missingness in the registry was informative. What did you do?</w:t>
      </w:r>
    </w:p>
    <w:p>
      <w:pPr>
        <w:spacing w:after="120"/>
      </w:pPr>
      <w:r>
        <w:rPr>
          <w:i/>
        </w:rPr>
        <w:t>Model answer:</w:t>
      </w:r>
      <w:r>
        <w:t xml:space="preserve"> "Nothing to repair it, deliberately. Diabetes status was recorded for 54% of standardised registry participants; those without it had about half the hazard, age- and sex-adjusted 0.40 (0.21 to 0.77), so missing-at-random is doubtful and I did not impute (Section 7.4). The complete-case set is selected toward longer-observed, clinically assessed patients, limitation L15. This is why calculability is a result: CALON-5 could be computed for 469 of 945 registry carriers."</w:t>
      </w:r>
    </w:p>
    <w:p>
      <w:pPr>
        <w:spacing w:after="120"/>
      </w:pPr>
      <w:r>
        <w:rPr>
          <w:b/>
        </w:rPr>
        <w:t>Q7.8 Registry event times come from recorded ages and censoring is heavy. How much does that undermine the ten-year estimates?</w:t>
      </w:r>
    </w:p>
    <w:p>
      <w:pPr>
        <w:spacing w:after="120"/>
      </w:pPr>
      <w:r>
        <w:rPr>
          <w:i/>
        </w:rPr>
        <w:t>Model answer:</w:t>
      </w:r>
      <w:r>
        <w:t xml:space="preserve"> "Substantially for absolute risk, less for ranking. Censoring survival was 0.83 at five and 0.52 at ten years, so ten-year registry estimates lean on the censoring weights (Section 7.4, limitation L07). The registry composite also includes 8 angina and 35 revascularisation events among 101, which broadens it relative to the biobank endpoint."</w:t>
      </w:r>
    </w:p>
    <w:p>
      <w:pPr>
        <w:spacing w:after="120"/>
      </w:pPr>
      <w:r>
        <w:rPr>
          <w:b/>
        </w:rPr>
        <w:t>Q7.9 Did CALON-5 beat the published FH scores?</w:t>
      </w:r>
    </w:p>
    <w:p>
      <w:pPr>
        <w:spacing w:after="120"/>
      </w:pPr>
      <w:r>
        <w:rPr>
          <w:i/>
        </w:rPr>
        <w:t>Model answer:</w:t>
      </w:r>
      <w:r>
        <w:t xml:space="preserve"> "It did not demonstrably beat any of them, and I issue no non-inferiority verdicts because no margin exists (Section 7.8). In the standardised P/LP population one comparison resolved, against the Montreal-FH-SCORE into the registry, +0.052 with a lower limit of +0.0003 on 20 events, and it did not resolve under the earlier hypertension definition; FH-Risk-Score out of the registry +0.029 (minus 0.065 to 0.120); SAFEHEART-RE out +0.076 (minus 0.041 to 0.189); SAFEHEART-RE into the registry was computable for 26 patients with one event (Table 7.2). The published scores miscalibrated too: SAFEHEART-RE O/E 1.72, FH-Risk-Score 0.34 on UK Biobank rows. Events needed to resolve the observed differences: 71 against SAFEHEART-RE, 312 against FH-Risk-Score, 6,656 against Montreal."</w:t>
      </w:r>
    </w:p>
    <w:p>
      <w:pPr>
        <w:spacing w:after="120"/>
      </w:pPr>
      <w:r>
        <w:rPr>
          <w:b/>
        </w:rPr>
        <w:t>Q7.10 What is the size of a decisive study?</w:t>
      </w:r>
    </w:p>
    <w:p>
      <w:pPr>
        <w:spacing w:after="120"/>
      </w:pPr>
      <w:r>
        <w:rPr>
          <w:i/>
        </w:rPr>
        <w:t>Model answer:</w:t>
      </w:r>
      <w:r>
        <w:t xml:space="preserve"> "About 362 ten-year events to estimate calibration-in-the-large within plus or minus 0.1, and 248 to 1,285 for the slope (Section 7.11), in a genotype-confirmed cohort untouched by either model's development. Neither cohort approaches that; it is the principal resolving study in Table 8.4, for example an EAS FHSC registry."</w:t>
      </w:r>
    </w:p>
    <w:p>
      <w:pPr>
        <w:spacing w:after="120"/>
      </w:pPr>
      <w:r>
        <w:rPr>
          <w:b/>
        </w:rPr>
        <w:t>Q7.11 Do the decision curves show utility?</w:t>
      </w:r>
    </w:p>
    <w:p>
      <w:pPr>
        <w:spacing w:after="120"/>
      </w:pPr>
      <w:r>
        <w:rPr>
          <w:i/>
        </w:rPr>
        <w:t>Model answer:</w:t>
      </w:r>
      <w:r>
        <w:t xml:space="preserve"> "No. Frozen CALON-5 exceeded both treat-all and treat-none at 13 of 30 thresholds into the registry and 10 of 30 out of it, 18 and 7 after recalibration, and the 4.9 mmol/L cut-point at 6 and 4 (Section 7.12). Net benefit was undefined at six thresholds into the registry. Fewer than half the thresholds means net benefit does not follow from discrimination. Also, a general-population treatment threshold is the wrong action in FH; a credible action is added review, imaging or phenotyping, and a low score must never withdraw indicated therapy. Note: Appendix A records 12 and 9 for the same counts; I will correct whichever is stale (Part 1, P1)."</w:t>
      </w:r>
    </w:p>
    <w:p>
      <w:pPr>
        <w:spacing w:after="120"/>
      </w:pPr>
      <w:r>
        <w:rPr>
          <w:b/>
        </w:rPr>
        <w:t>Q7.12 Section 7.7 is the most clinically striking result. What is its weakness?</w:t>
      </w:r>
    </w:p>
    <w:p>
      <w:pPr>
        <w:spacing w:after="120"/>
      </w:pPr>
      <w:r>
        <w:rPr>
          <w:i/>
        </w:rPr>
        <w:t>Model answer:</w:t>
      </w:r>
      <w:r>
        <w:t xml:space="preserve"> "It is estimated only in the 261 genotype-positive patients who had a documented untreated value, and who has one is not random; they may be earlier-identified or more severe (limitation L16). It is therefore not a service-wide rate. Its strength is that it needs no reconstruction: median LDL-C 6.1 untreated versus 3.6 on treatment; 173 of 261 (66.3%) in a lower ESC/EAS stratum; 145 of 193 (75.1%) above 4.9 untreated not above it on the record. Secondary 1 in Table 8.4, SAIL linkage to primary-care lipids, would give the service-wide rate."</w:t>
      </w:r>
    </w:p>
    <w:p>
      <w:pPr>
        <w:spacing w:after="120"/>
      </w:pPr>
      <w:r>
        <w:rPr>
          <w:b/>
        </w:rPr>
        <w:t>Q7.13 Goal attainment was almost nil. Is that a data artefact?</w:t>
      </w:r>
    </w:p>
    <w:p>
      <w:pPr>
        <w:spacing w:after="120"/>
      </w:pPr>
      <w:r>
        <w:rPr>
          <w:i/>
        </w:rPr>
        <w:t>Model answer:</w:t>
      </w:r>
      <w:r>
        <w:t xml:space="preserve"> "Partly measurement, partly real. Below 1.8 mmol/L: 7 of 594 treated UK Biobank participants and 5 of 1,194 treated registry patients (Section 7.7). The registry's on-treatment values are the recorded clinic values and may precede intensification; and the triglyceride term's share of Friedewald LDL-C rose from 9% at the severity cut-point to 47% below 1.4 mmol/L, so the lowest goals are judged on the least reliable number. The 50% reduction criterion behaved differently, 26.8%, and depended on the starting value as regression to the mean predicts. No goal contrast was estimable for events, so I make no outcome claim."</w:t>
      </w:r>
    </w:p>
    <w:p>
      <w:pPr>
        <w:spacing w:after="120"/>
      </w:pPr>
      <w:r>
        <w:rPr>
          <w:b/>
        </w:rPr>
        <w:t>Q7.14 Effect modification by sex or age?</w:t>
      </w:r>
    </w:p>
    <w:p>
      <w:pPr>
        <w:spacing w:after="120"/>
      </w:pPr>
      <w:r>
        <w:rPr>
          <w:i/>
        </w:rPr>
        <w:t>Model answer:</w:t>
      </w:r>
      <w:r>
        <w:t xml:space="preserve"> "Interactions with the lipid term: none of nine estimable excluded one; sex by lipid 0.958 (0.716 to 1.282) (Section 7.13). For the cut-points the ratio of hazard ratios per decade was below one at 12 of 14 thresholds, so cut-points discriminate hardest in the young; sex modified 2 of 10, consistent with chance. No multiplicity adjustment; about one nominal result per family is expected."</w:t>
      </w:r>
    </w:p>
    <w:p>
      <w:pPr>
        <w:spacing w:after="120"/>
      </w:pPr>
      <w:r>
        <w:rPr>
          <w:b/>
        </w:rPr>
        <w:t>Q7.15 What is CALON-C and why is it in an appendix?</w:t>
      </w:r>
    </w:p>
    <w:p>
      <w:pPr>
        <w:spacing w:after="120"/>
      </w:pPr>
      <w:r>
        <w:rPr>
          <w:i/>
        </w:rPr>
        <w:t>Model answer:</w:t>
      </w:r>
      <w:r>
        <w:t xml:space="preserve"> "The predecessor: nine-term ridge Cox, penalty 0.02, developed in 3,209 UK Biobank operational-flag carriers with 289 events, out-of-fold C 0.708 (Appendix B). It is lineage because the exact historical fitted object and the missing-data pathway could not be recovered, endpoint dates were unambiguous for only 147 of 289 events and a stress test dropped C to 0.660, and competing-death counts had to be reconciled from 193 to 224. Its absolute-risk, Brier and decision-curve outputs are withheld. Its two lessons anticipated CALON-5: demographics carry the ranking, and Welsh frozen calibration failed, O/E 4.500 at five years."</w:t>
      </w:r>
    </w:p>
    <w:p>
      <w:pPr>
        <w:pStyle w:val="Heading2"/>
      </w:pPr>
      <w:r>
        <w:t>4.8 Chapter 8: Discussion, sex section, limitations</w:t>
      </w:r>
    </w:p>
    <w:p>
      <w:pPr>
        <w:spacing w:after="120"/>
      </w:pPr>
      <w:r>
        <w:rPr>
          <w:b/>
        </w:rPr>
        <w:t>Q8.1 Where do the guidelines sit relative to your conclusion?</w:t>
      </w:r>
    </w:p>
    <w:p>
      <w:pPr>
        <w:spacing w:after="120"/>
      </w:pPr>
      <w:r>
        <w:rPr>
          <w:i/>
        </w:rPr>
        <w:t>Model answer:</w:t>
      </w:r>
      <w:r>
        <w:t xml:space="preserve"> "Nothing here challenges LDL-C's primacy. The 2026 ACC/AHA multisociety guideline rates apoB measurement COR 2a in treated adults and 2b in untreated adults including inherited disorders; the 2025 ESC/EAS focused update makes no apoB recommendation (Section 8.1). FH-specific risk scores get COR 2b for short-term risk, and UK guidance advises against general-population tools in FH (Section 8.6). My results are consistent with all of that."</w:t>
      </w:r>
    </w:p>
    <w:p>
      <w:pPr>
        <w:spacing w:after="120"/>
      </w:pPr>
      <w:r>
        <w:rPr>
          <w:b/>
        </w:rPr>
        <w:t>Q8.2 The sex section rests on one population study. Why is it in an FH thesis?</w:t>
      </w:r>
    </w:p>
    <w:p>
      <w:pPr>
        <w:spacing w:after="120"/>
      </w:pPr>
      <w:r>
        <w:rPr>
          <w:i/>
        </w:rPr>
        <w:t>Model answer:</w:t>
      </w:r>
      <w:r>
        <w:t xml:space="preserve"> "As a bounded limit on single-marker reading, not as an FH result (Sections 1.5, 8.4). In 273,036 UK Biobank women with an age-matched male reference, at age 58 an apoB of at least 1.2 g/L corresponded to ten-year MACE risk of 10.88% in men and 4.34% in postmenopausal women; a sex-neutral internal model over-predicted in women, O/E 0.65 to 0.78, and under-predicted in men, 1.19. LDLR carriers rose +11.5% across menopause against +15.3% in non-carriers, which is compatible with Da Roza 2026's larger absolute rise in monogenic FH because the metrics and starting levels differ (limitation L18). Menopausal status was self-reported and stages cross-sectional. It is not an FH-specific menopause effect."</w:t>
      </w:r>
    </w:p>
    <w:p>
      <w:pPr>
        <w:spacing w:after="120"/>
      </w:pPr>
      <w:r>
        <w:rPr>
          <w:i/>
        </w:rPr>
        <w:t>Follow-up probe:</w:t>
      </w:r>
      <w:r>
        <w:t xml:space="preserve"> "Isn't the sex difference just lower baseline hazard in women?" Answer: "Yes, and that is the point: the marker's meaning for absolute risk depends on the baseline it is read against (Section 8.4)."</w:t>
      </w:r>
    </w:p>
    <w:p>
      <w:pPr>
        <w:spacing w:after="120"/>
      </w:pPr>
      <w:r>
        <w:rPr>
          <w:b/>
        </w:rPr>
        <w:t>Q8.3 Rank your limitations.</w:t>
      </w:r>
    </w:p>
    <w:p>
      <w:pPr>
        <w:spacing w:after="120"/>
      </w:pPr>
      <w:r>
        <w:rPr>
          <w:i/>
        </w:rPr>
        <w:t>Model answer:</w:t>
      </w:r>
      <w:r>
        <w:t xml:space="preserve"> "Table 8.3, top five: no untouched evaluation cohort and both settings in the UK (L04); few events and informative pedigrees, a registry fit on 28 events with informative missingness (L15); treatment reconstruction as a non-random, model-based surrogate (L02, L08); the grading result estimated only in carriers with a documented untreated value (L16); registry event times from recorded ages with heavy censoring (L07). Then genetic-definition heterogeneity with no zygosity (L09), family dependence in TUDOR inference (L11), incomplete comparators (L12), sample overlap (L03), the missing risk-weighted apoB comparison and the missing interval over age and sex (L10, L14), regression to the mean (L01), the population-cohort sex section (L18) and the incomplete search (L17)."</w:t>
      </w:r>
    </w:p>
    <w:p>
      <w:pPr>
        <w:spacing w:after="120"/>
      </w:pPr>
      <w:r>
        <w:rPr>
          <w:b/>
        </w:rPr>
        <w:t>Q8.4 What in this thesis changes practice tomorrow?</w:t>
      </w:r>
    </w:p>
    <w:p>
      <w:pPr>
        <w:spacing w:after="120"/>
      </w:pPr>
      <w:r>
        <w:rPr>
          <w:i/>
        </w:rPr>
        <w:t>Model answer:</w:t>
      </w:r>
      <w:r>
        <w:t xml:space="preserve"> "One thing, and it is a recording change, not a treatment change: record the first untreated LDL-C with date and method as a fixed field and grade severity on it; where none exists, say so rather than let the on-treatment value stand in (Section 8.6). Everything else is 'better understood' or 'warrants service evaluation'. No change in care has been tested."</w:t>
      </w:r>
    </w:p>
    <w:p>
      <w:pPr>
        <w:spacing w:after="120"/>
      </w:pPr>
      <w:r>
        <w:rPr>
          <w:b/>
        </w:rPr>
        <w:t>Q8.5 What is the 'chapter-removal test'?</w:t>
      </w:r>
    </w:p>
    <w:p>
      <w:pPr>
        <w:spacing w:after="120"/>
      </w:pPr>
      <w:r>
        <w:rPr>
          <w:i/>
        </w:rPr>
        <w:t>Model answer:</w:t>
      </w:r>
      <w:r>
        <w:t xml:space="preserve"> "Section 8.3. Each chapter carries weight no other supplies: without Chapter 4 the particle condition rests on general-population evidence; without 5 the route condition is asserted, not measured; without 6 the treatment condition has no identification test; without 7 the separation of ranking from absolute risk has no FH demonstration. The strongest simpler explanation is that these are five familiar principles established separately, and the thesis accepts it: its contribution is their measurement together in linked genotyped cohorts."</w:t>
      </w:r>
    </w:p>
    <w:p>
      <w:pPr>
        <w:spacing w:after="120"/>
      </w:pPr>
      <w:r>
        <w:rPr>
          <w:b/>
        </w:rPr>
        <w:t>Q8.6 Is the framework refutable?</w:t>
      </w:r>
    </w:p>
    <w:p>
      <w:pPr>
        <w:spacing w:after="120"/>
      </w:pPr>
      <w:r>
        <w:rPr>
          <w:i/>
        </w:rPr>
        <w:t>Model answer:</w:t>
      </w:r>
      <w:r>
        <w:t xml:space="preserve"> "Four results would weaken it (Section 8.5): a frozen residual failing under harmonised assays in an independent FH cohort; no residue-matched proband-cascade difference in an independently designed cohort; frozen TUDOR failing against fully scored DLCN on complete data; a frozen prognostic model calibrating across independently ascertained cohorts without updating."</w:t>
      </w:r>
    </w:p>
    <w:p>
      <w:pPr>
        <w:pStyle w:val="Heading2"/>
      </w:pPr>
      <w:r>
        <w:t>4.9 Appendices, governance, AI statement, reproducibility</w:t>
      </w:r>
    </w:p>
    <w:p>
      <w:pPr>
        <w:spacing w:after="120"/>
      </w:pPr>
      <w:r>
        <w:rPr>
          <w:b/>
        </w:rPr>
        <w:t>Q9.1 UK Biobank Research Analysis Platform access "ceased". Why, and what does it mean for reproducibility?</w:t>
      </w:r>
    </w:p>
    <w:p>
      <w:pPr>
        <w:spacing w:after="120"/>
      </w:pPr>
      <w:r>
        <w:rPr>
          <w:i/>
        </w:rPr>
        <w:t>Model answer:</w:t>
      </w:r>
      <w:r>
        <w:t xml:space="preserve"> "Access closed during the final phase of the programme (Data governance statement; Section 3.3.4). The thesis does not give the reason; I should state it plainly at the review. Consequence: UK Biobank values that cannot be re-verified from a located producing output are labelled 'retained aggregate; not re-verifiable while the RAP is closed' and support only sensitivity or descriptive statements (Appendix A.1). The Chapter 4 primary estimates are held in the frozen package THESIS-AN-01 dated 12 July 2026. Several secondary values, the never-treated stratum, the whole-population context, the local TUDOR calibration, CALON-C subgroups, are retained aggregates. Restoring access, or a formal statement of why it cannot be restored, is on the critical path (Part 9)."</w:t>
      </w:r>
    </w:p>
    <w:p>
      <w:pPr>
        <w:spacing w:after="120"/>
      </w:pPr>
      <w:r>
        <w:rPr>
          <w:b/>
        </w:rPr>
        <w:t>Q9.2 Your AI statement says generative AI helped with literature searching, drafting and consistency checking, and Appendix F says title screening was a language-model first pass. What did the AI not do, and how can I tell?</w:t>
      </w:r>
    </w:p>
    <w:p>
      <w:pPr>
        <w:spacing w:after="120"/>
      </w:pPr>
      <w:r>
        <w:rPr>
          <w:i/>
        </w:rPr>
        <w:t>Model answer:</w:t>
      </w:r>
      <w:r>
        <w:t xml:space="preserve"> "AI tools had no access to participant-level data and ran no analysis; every analysis was designed, run and verified by me, and every passage reviewed by me (AI statement). Section 3.1 states that model-generated prose, summaries and reviews are not numerical or bibliographic evidence. The evidence-admission rule requires every number to trace to a publication, manuscript, package or code; Appendix A is that map. Screening was not duplicated, which is listed as a limit (F.8) with the fix in F.9. I would welcome the committee's guidance on the University's current expectations for disclosure detail."</w:t>
      </w:r>
    </w:p>
    <w:p>
      <w:pPr>
        <w:spacing w:after="120"/>
      </w:pPr>
      <w:r>
        <w:rPr>
          <w:b/>
        </w:rPr>
        <w:t>Q9.3 Why are there 13 THESIS-AN packages and why do several say 'producing output not located'?</w:t>
      </w:r>
    </w:p>
    <w:p>
      <w:pPr>
        <w:spacing w:after="120"/>
      </w:pPr>
      <w:r>
        <w:rPr>
          <w:i/>
        </w:rPr>
        <w:t>Model answer:</w:t>
      </w:r>
      <w:r>
        <w:t xml:space="preserve"> "Each thesis reanalysis has an identifier recording frame, producing artefact or its unavailability, and freeze date (Section 3.1). Where the producing output was not located, for example THESIS-AN-02 (71-variant synthesis), THESIS-AN-03a/b (TUDOR local sensitivities), THESIS-AN-07 to 09 (CALON-C stress test and subgroups), the value rests on a secondary record and is tiered T5 or retained aggregate, and it is never load-bearing. The rule is zero silent correction: the audit package records every changed denominator, term or value (Section 3.10)."</w:t>
      </w:r>
    </w:p>
    <w:p>
      <w:pPr>
        <w:spacing w:after="120"/>
      </w:pPr>
      <w:r>
        <w:rPr>
          <w:b/>
        </w:rPr>
        <w:t>Q9.4 What is the Methods-Results lock?</w:t>
      </w:r>
    </w:p>
    <w:p>
      <w:pPr>
        <w:spacing w:after="120"/>
      </w:pPr>
      <w:r>
        <w:rPr>
          <w:i/>
        </w:rPr>
        <w:t>Model answer:</w:t>
      </w:r>
      <w:r>
        <w:t xml:space="preserve"> "A bidirectional mapping so that no method disappears without explanation and no result appears without a method (Section 3.9). Gated items are listed: CALON-C absolute risk and utility; no interval for CALON-5 over age and sex; TUDOR calibration, utility and impact; the unrun reconstruction-uncertainty propagation."</w:t>
      </w:r>
    </w:p>
    <w:p>
      <w:pPr>
        <w:spacing w:after="120"/>
      </w:pPr>
      <w:r>
        <w:rPr>
          <w:b/>
        </w:rPr>
        <w:t>Q9.5 The reference list shows two of your own outputs whose titles conflict with the thesis: TUDOR as 'ascertainment-aware' (reference 21) and the abstract claiming 'dual external validation in 4,028 genetically confirmed cases' (reference 82). How do you reconcile them?</w:t>
      </w:r>
    </w:p>
    <w:p>
      <w:pPr>
        <w:spacing w:after="120"/>
      </w:pPr>
      <w:r>
        <w:rPr>
          <w:i/>
        </w:rPr>
        <w:t>Model answer:</w:t>
      </w:r>
      <w:r>
        <w:t xml:space="preserve"> "I do not reconcile them; the thesis corrects them. Reference 82 is a congress abstract by me on the same two cohorts; the thesis states it is related work and 'not independent validation' (Box 6.1, Table A.2). Reference 21's descriptor is addressed in Q6.4. The lesson I have taken is that the thesis applies a stricter evidence-wording rule than my earlier outputs did, and that the earlier outputs need correcting to match, not the other way round."</w:t>
      </w:r>
    </w:p>
    <w:p>
      <w:pPr>
        <w:pStyle w:val="Heading1"/>
      </w:pPr>
      <w:r>
        <w:t>Part 5. Cross-cutting hard questions</w:t>
      </w:r>
    </w:p>
    <w:p>
      <w:pPr>
        <w:spacing w:after="120"/>
      </w:pPr>
      <w:r>
        <w:rPr>
          <w:b/>
        </w:rPr>
        <w:t>Q5A. Is any of this causal?</w:t>
      </w:r>
    </w:p>
    <w:p>
      <w:pPr>
        <w:spacing w:after="120"/>
      </w:pPr>
      <w:r>
        <w:rPr>
          <w:i/>
        </w:rPr>
        <w:t>Model answer:</w:t>
      </w:r>
      <w:r>
        <w:t xml:space="preserve"> "No chapter estimates a causal effect (Section 3.2). Chapter 4 is an association at fixed LDL-C; Chapter 5 is selection into observation; Chapter 6 and 7 are model tasks. The verbs are held to that: 'associated with', 'ranked', 'carried information'. The one place where causal knowledge is invoked, that LDL causes ASCVD, is cited to the EAS consensus and the guidelines, not to my data."</w:t>
      </w:r>
    </w:p>
    <w:p>
      <w:pPr>
        <w:spacing w:after="120"/>
      </w:pPr>
      <w:r>
        <w:rPr>
          <w:b/>
        </w:rPr>
        <w:t>Q5B. If a sharp reviewer had one objection per chapter, what would it be, and what disarms it?</w:t>
      </w:r>
    </w:p>
    <w:p>
      <w:pPr>
        <w:spacing w:after="120"/>
      </w:pPr>
      <w:r>
        <w:rPr>
          <w:i/>
        </w:rPr>
        <w:t>Model answer:</w:t>
      </w:r>
      <w:r>
        <w:t xml:space="preserve"> "Chapter 4: residual confounding by metabolic state; disarmed only partly by the adjustment ladder and the remnant decomposition, fully only by the resolving study. Chapter 5: polygenic enrichment in probands; not disarmed, disclosed. Chapter 6: comparator starvation; disarmed by naming it and by Akyea 2026 as counterweight, resolved only by a fully scored DLCN comparison. Chapter 7: leakage of receiving-cohort performance into term selection and 28 events; disarmed only by an untouched cohort with about 362 events."</w:t>
      </w:r>
    </w:p>
    <w:p>
      <w:pPr>
        <w:spacing w:after="120"/>
      </w:pPr>
      <w:r>
        <w:rPr>
          <w:b/>
        </w:rPr>
        <w:t>Q5C. What would you do differently if you started again?</w:t>
      </w:r>
    </w:p>
    <w:p>
      <w:pPr>
        <w:spacing w:after="120"/>
      </w:pPr>
      <w:r>
        <w:rPr>
          <w:i/>
        </w:rPr>
        <w:t>Model answer:</w:t>
      </w:r>
      <w:r>
        <w:t xml:space="preserve"> "Prospectively register the framework and falsifiers; fix one treatment-reconstruction convention with uncertainty propagation; record ascertainment route at eligibility; separate a validation cohort before any model choice; request the TUDOR corrigendum the day the object discrepancy was found; and complete the Embase search."</w:t>
      </w:r>
    </w:p>
    <w:p>
      <w:pPr>
        <w:spacing w:after="120"/>
      </w:pPr>
      <w:r>
        <w:rPr>
          <w:b/>
        </w:rPr>
        <w:t>Q5D. Why should an MD be awarded for a thesis whose every model is 'not ready for clinical use'?</w:t>
      </w:r>
    </w:p>
    <w:p>
      <w:pPr>
        <w:spacing w:after="120"/>
      </w:pPr>
      <w:r>
        <w:rPr>
          <w:i/>
        </w:rPr>
        <w:t>Model answer:</w:t>
      </w:r>
      <w:r>
        <w:t xml:space="preserve"> "Because the thesis's contribution is measurement of the conditions under which a familiar number misleads, with the direction and size of each error in linked genotyped cohorts, and the named repair for each (Section 8.3). Negative and bounded results are the evidence: the retired ratio, the imprecise within-family rung, TUDOR's frozen fall, CALON-5's calibration failure. Declaring a model ready on this evidence would have been the failure."</w:t>
      </w:r>
    </w:p>
    <w:p>
      <w:pPr>
        <w:spacing w:after="120"/>
      </w:pPr>
      <w:r>
        <w:rPr>
          <w:b/>
        </w:rPr>
        <w:t>Q5E. Sample overlap: are Chapters 4 and 5 independent?</w:t>
      </w:r>
    </w:p>
    <w:p>
      <w:pPr>
        <w:spacing w:after="120"/>
      </w:pPr>
      <w:r>
        <w:rPr>
          <w:i/>
        </w:rPr>
        <w:t>Model answer:</w:t>
      </w:r>
      <w:r>
        <w:t xml:space="preserve"> "No, and the number of shared Welsh participants was not established (Section 5.7, limitation L03). The UK Biobank frames of Chapters 4, 5 and 7 come from one application and their overlap has not been established either. I treat them as one programme, not as replications."</w:t>
      </w:r>
    </w:p>
    <w:p>
      <w:pPr>
        <w:spacing w:after="120"/>
      </w:pPr>
      <w:r>
        <w:rPr>
          <w:b/>
        </w:rPr>
        <w:t>Q5F. Spin: apply the SPIN-PM framework to your own summary.</w:t>
      </w:r>
    </w:p>
    <w:p>
      <w:pPr>
        <w:spacing w:after="120"/>
      </w:pPr>
      <w:r>
        <w:rPr>
          <w:i/>
        </w:rPr>
        <w:t>Model answer:</w:t>
      </w:r>
      <w:r>
        <w:t xml:space="preserve"> "The summary reports the frozen TUDOR fall to 0.669, the calibration failure of CALON-5 and 'no model is ready for clinical use' in the same paragraph as the favourable findings; comparator wins are reported as unresolved; refits are labelled apparent. I cite SPIN-PM and Van Calster 2023 as the standards (references 99, 100). If the committee finds spin, I would like it pointed to."</w:t>
      </w:r>
    </w:p>
    <w:p>
      <w:pPr>
        <w:pStyle w:val="Heading1"/>
      </w:pPr>
      <w:r>
        <w:t>Part 6. Genetic-medicine questions</w:t>
      </w:r>
    </w:p>
    <w:p>
      <w:pPr>
        <w:spacing w:after="120"/>
      </w:pPr>
      <w:r>
        <w:rPr>
          <w:b/>
        </w:rPr>
        <w:t>Q6A. What is the "operational LDLR-carrier flag", and why does it give 1 in 142 when FH prevalence is nearer 1 in 250 to 300?</w:t>
      </w:r>
    </w:p>
    <w:p>
      <w:pPr>
        <w:spacing w:after="120"/>
      </w:pPr>
      <w:r>
        <w:rPr>
          <w:i/>
        </w:rPr>
        <w:t>Model answer:</w:t>
      </w:r>
      <w:r>
        <w:t xml:space="preserve"> "It is a broad variant flag in the locked extract that selected 3,540 of 501,936 participants, and Appendix B.2 says explicitly that this frequency exceeds published estimates of pathogenic FH-variant prevalence and lacked identifiers for complete re-adjudication of pathogenicity, zygosity or functional class. That is why it is never labelled HeFH and why Chapter 7 restricts to ClinVar P/LP single-variant carriers, 1,009 of the 3,209 flagged participants free of ASCVD (Section 7.4). Among the 2,398 untreated flagged carriers in Chapter 5, 29.8% were P/LP and 46.3% VUS (Section 5.6)."</w:t>
      </w:r>
    </w:p>
    <w:p>
      <w:pPr>
        <w:spacing w:after="120"/>
      </w:pPr>
      <w:r>
        <w:rPr>
          <w:b/>
        </w:rPr>
        <w:t>Q6B. ClinVar P/LP by database, not expert adjudication. How different are the two cohorts' calls?</w:t>
      </w:r>
    </w:p>
    <w:p>
      <w:pPr>
        <w:spacing w:after="120"/>
      </w:pPr>
      <w:r>
        <w:rPr>
          <w:i/>
        </w:rPr>
        <w:t>Model answer:</w:t>
      </w:r>
      <w:r>
        <w:t xml:space="preserve"> "Materially. At two or more review stars, 69.0% of the 1,009 biobank P/LP variants qualified against 97.7% of 954 registry variants; zygosity is recorded in neither cohort (Section 7.4, limitation L09). The P/LP fraction was 31.4% in the biobank and 57.7% in the registry, which is itself an ascertainment gradient in the genetic label. Uniform adjudication is listed as what would remove the limitation (Table 8.3)."</w:t>
      </w:r>
    </w:p>
    <w:p>
      <w:pPr>
        <w:spacing w:after="120"/>
      </w:pPr>
      <w:r>
        <w:rPr>
          <w:b/>
        </w:rPr>
        <w:t>Q6C. Why combine LDLR and APOB variants in Chapter 4 when APOB p.(Arg3527Gln) typically gives a milder phenotype?</w:t>
      </w:r>
    </w:p>
    <w:p>
      <w:pPr>
        <w:spacing w:after="120"/>
      </w:pPr>
      <w:r>
        <w:rPr>
          <w:i/>
        </w:rPr>
        <w:t>Model answer:</w:t>
      </w:r>
      <w:r>
        <w:t xml:space="preserve"> "The Chapter 4 frame is an operational rare LDLR/APOB variant rule inherited from the source-locked package and its results are frame-specific (Section 4.2). The thesis does not report gene-stratified estimates for Chapter 4 and, at 75 events, could not do so with precision. I accept that APOB and LDLR carriers may differ in particle composition and that a gene-stratified sensitivity should be listed among the resolving-study requirements. Chapter 7 tested LDLR versus other gene as an interaction with the lipid term and the registry cell had too few events (Section 7.13)."</w:t>
      </w:r>
    </w:p>
    <w:p>
      <w:pPr>
        <w:spacing w:after="120"/>
      </w:pPr>
      <w:r>
        <w:rPr>
          <w:b/>
        </w:rPr>
        <w:t>Q6D. What does residue matching actually control, and what does variant identity explain?</w:t>
      </w:r>
    </w:p>
    <w:p>
      <w:pPr>
        <w:spacing w:after="120"/>
      </w:pPr>
      <w:r>
        <w:rPr>
          <w:i/>
        </w:rPr>
        <w:t>Model answer:</w:t>
      </w:r>
      <w:r>
        <w:t xml:space="preserve"> "Position on the receptor, not the substitution or its function (Section 5.2). Variant identity explains a small share of LDL-C variance: intraclass correlation about 0.145, leave-one-variant-out 0.127 to 0.149 in the TUDOR analyses, and carriers of the same LDLR variants had LDL-C 1.36 mmol/L lower in UK Biobank than in the Welsh clinic (minus 2.03 to minus 0.76). A predicted measure of variant function tracked the untreated LDL-C stratum in relatives, rho 0.26, but not in probands, 0.02, a post hoc pattern consistent with selection acting on the phenotype (Section 5.2)."</w:t>
      </w:r>
    </w:p>
    <w:p>
      <w:pPr>
        <w:spacing w:after="120"/>
      </w:pPr>
      <w:r>
        <w:rPr>
          <w:b/>
        </w:rPr>
        <w:t>Q6E. Penetrance: does a cascade-detected relative with LDL-C 3.8 mmol/L have FH?</w:t>
      </w:r>
    </w:p>
    <w:p>
      <w:pPr>
        <w:spacing w:after="120"/>
      </w:pPr>
      <w:r>
        <w:rPr>
          <w:i/>
        </w:rPr>
        <w:t>Model answer:</w:t>
      </w:r>
      <w:r>
        <w:t xml:space="preserve"> "Yes, in the molecular sense, and the thesis's interpretive rule is that a lower LDL-C observed through a different route should not overturn an expert-adjudicated familial LDLR diagnosis or imply low cumulative burden (Section 5.7). Expressivity, recognition and prognosis are separated deliberately (Section 5.1). Management follows molecular and clinical context and guidance, not a manufactured proband value."</w:t>
      </w:r>
    </w:p>
    <w:p>
      <w:pPr>
        <w:spacing w:after="120"/>
      </w:pPr>
      <w:r>
        <w:rPr>
          <w:b/>
        </w:rPr>
        <w:t>Q6F. Polygenic risk: what did you find and what does it mean?</w:t>
      </w:r>
    </w:p>
    <w:p>
      <w:pPr>
        <w:spacing w:after="120"/>
      </w:pPr>
      <w:r>
        <w:rPr>
          <w:i/>
        </w:rPr>
        <w:t>Model answer:</w:t>
      </w:r>
      <w:r>
        <w:t xml:space="preserve"> "Association without incremental ranking. Chapter 4's exploratory coronary PRS: 1.43 per SD (1.12 to 1.84) with concordance 0.569 and 64.1% missing. Chapter 7 all-carrier: 1.37 (1.12 to 1.68) with a concordance gain of +0.012 (minus 0.000 to +0.040). Consistent with Paquette 2026's FH result of hazard ratio 1.77 and a C change from 0.746 to 0.750 (Section 2.9). Polygenic enrichment among probands remains the unexcluded competing explanation in Chapter 5."</w:t>
      </w:r>
    </w:p>
    <w:p>
      <w:pPr>
        <w:spacing w:after="120"/>
      </w:pPr>
      <w:r>
        <w:rPr>
          <w:b/>
        </w:rPr>
        <w:t>Q6G. Ancestry?</w:t>
      </w:r>
    </w:p>
    <w:p>
      <w:pPr>
        <w:spacing w:after="120"/>
      </w:pPr>
      <w:r>
        <w:rPr>
          <w:i/>
        </w:rPr>
        <w:t>Model answer:</w:t>
      </w:r>
      <w:r>
        <w:t xml:space="preserve"> "Section 5.7 states an ancestry restriction limits transportability of the UK Biobank comparison. I need to state the restriction explicitly and confirm it was the same across Chapters 4 and 7 (Part 1, P9)."</w:t>
      </w:r>
    </w:p>
    <w:p>
      <w:pPr>
        <w:spacing w:after="120"/>
      </w:pPr>
      <w:r>
        <w:rPr>
          <w:b/>
        </w:rPr>
        <w:t>Q6H. Incidental and direct-to-consumer findings?</w:t>
      </w:r>
    </w:p>
    <w:p>
      <w:pPr>
        <w:spacing w:after="120"/>
      </w:pPr>
      <w:r>
        <w:rPr>
          <w:i/>
        </w:rPr>
        <w:t>Model answer:</w:t>
      </w:r>
      <w:r>
        <w:t xml:space="preserve"> "Outside the data; considered in Section 8.6. Their phenotype may resemble genotype-first carriers, raw direct-to-consumer genotypes can be false positive on confirmation (reference 89), and a score developed in a referred population should not be assumed to rank or calibrate for them. A prospective audit is deferred work (Section 8.8)."</w:t>
      </w:r>
    </w:p>
    <w:p>
      <w:pPr>
        <w:spacing w:after="120"/>
      </w:pPr>
      <w:r>
        <w:rPr>
          <w:b/>
        </w:rPr>
        <w:t>Q6I. Homozygous FH and PCSK9?</w:t>
      </w:r>
    </w:p>
    <w:p>
      <w:pPr>
        <w:spacing w:after="120"/>
      </w:pPr>
      <w:r>
        <w:rPr>
          <w:i/>
        </w:rPr>
        <w:t>Model answer:</w:t>
      </w:r>
      <w:r>
        <w:t xml:space="preserve"> "Homozygous FH is outside the empirical architecture (Section 1.7). Chapter 7's gene set is described as dominant FH genes and I should enumerate it with per-gene counts (Part 1, P8)."</w:t>
      </w:r>
    </w:p>
    <w:p>
      <w:pPr>
        <w:pStyle w:val="Heading1"/>
      </w:pPr>
      <w:r>
        <w:t>Part 7. Biostatistics rapid-fire (one-line answers)</w:t>
      </w:r>
    </w:p>
    <w:p>
      <w:pPr>
        <w:pStyle w:val="ListBullet"/>
      </w:pPr>
      <w:r>
        <w:rPr>
          <w:b/>
        </w:rPr>
        <w:t>Events per parameter for CALON-5?</w:t>
      </w:r>
      <w:r>
        <w:t xml:space="preserve"> 14.8 in UK Biobank, 5.6 in the registry P/LP fit; floor was 10 (Section 7.3).</w:t>
      </w:r>
    </w:p>
    <w:p>
      <w:pPr>
        <w:pStyle w:val="ListBullet"/>
      </w:pPr>
      <w:r>
        <w:rPr>
          <w:b/>
        </w:rPr>
        <w:t>Optimism?</w:t>
      </w:r>
      <w:r>
        <w:t xml:space="preserve"> Whole-procedure bootstrap: apparent 0.6972, optimism 0.0209, corrected 0.6763; slope corrected 0.901 (Section 7.3).</w:t>
      </w:r>
    </w:p>
    <w:p>
      <w:pPr>
        <w:pStyle w:val="ListBullet"/>
      </w:pPr>
      <w:r>
        <w:rPr>
          <w:b/>
        </w:rPr>
        <w:t>Proportional hazards?</w:t>
      </w:r>
      <w:r>
        <w:t xml:space="preserve"> 0 of 10 tests at p under 0.05 for CALON-5, little power on 52 registry events; Chapter 4's diagnostic object not recovered (Sections 7.3, 4.5).</w:t>
      </w:r>
    </w:p>
    <w:p>
      <w:pPr>
        <w:pStyle w:val="ListBullet"/>
      </w:pPr>
      <w:r>
        <w:rPr>
          <w:b/>
        </w:rPr>
        <w:t>Why cause-specific Cox rather than Fine-Gray for the association?</w:t>
      </w:r>
      <w:r>
        <w:t xml:space="preserve"> The estimand was the rate among the event-free; Fine-Gray answers the cumulative-incidence question and is reported only as a sensitivity (Table 3.3).</w:t>
      </w:r>
    </w:p>
    <w:p>
      <w:pPr>
        <w:pStyle w:val="ListBullet"/>
      </w:pPr>
      <w:r>
        <w:rPr>
          <w:b/>
        </w:rPr>
        <w:t>Why Aalen-Johansen?</w:t>
      </w:r>
      <w:r>
        <w:t xml:space="preserve"> One minus Kaplan-Meier overestimates absolute risk when competing death is censored (Section 3.5).</w:t>
      </w:r>
    </w:p>
    <w:p>
      <w:pPr>
        <w:pStyle w:val="ListBullet"/>
      </w:pPr>
      <w:r>
        <w:rPr>
          <w:b/>
        </w:rPr>
        <w:t>Why no imputation in Chapter 7?</w:t>
      </w:r>
      <w:r>
        <w:t xml:space="preserve"> Missingness associated with the outcome, hazard ratio 0.40, so MAR doubtful (Section 7.4).</w:t>
      </w:r>
    </w:p>
    <w:p>
      <w:pPr>
        <w:pStyle w:val="ListBullet"/>
      </w:pPr>
      <w:r>
        <w:rPr>
          <w:b/>
        </w:rPr>
        <w:t>Why 20 imputations in the discordance paper?</w:t>
      </w:r>
      <w:r>
        <w:t xml:space="preserve"> Source study choice for 40% apoB missingness; imputed apoB is not an assay (Section 4.4).</w:t>
      </w:r>
    </w:p>
    <w:p>
      <w:pPr>
        <w:pStyle w:val="ListBullet"/>
      </w:pPr>
      <w:r>
        <w:rPr>
          <w:b/>
        </w:rPr>
        <w:t>What determines the width of a concordance interval?</w:t>
      </w:r>
      <w:r>
        <w:t xml:space="preserve"> Number of events and, for paired comparisons, correlation between scores, not cohort size (Section 3.8).</w:t>
      </w:r>
    </w:p>
    <w:p>
      <w:pPr>
        <w:pStyle w:val="ListBullet"/>
      </w:pPr>
      <w:r>
        <w:rPr>
          <w:b/>
        </w:rPr>
        <w:t>Twenty-event floor?</w:t>
      </w:r>
      <w:r>
        <w:t xml:space="preserve"> Comparisons below 20 events at a declared horizon are not interpreted (Section 3.8).</w:t>
      </w:r>
    </w:p>
    <w:p>
      <w:pPr>
        <w:pStyle w:val="ListBullet"/>
      </w:pPr>
      <w:r>
        <w:rPr>
          <w:b/>
        </w:rPr>
        <w:t>Sequential interval rule for updating?</w:t>
      </w:r>
      <w:r>
        <w:t xml:space="preserve"> Baseline and slope where the slope interval excludes one; baseline alone where only the O/E interval does; otherwise none; not a closed testing procedure (Section 3.8).</w:t>
      </w:r>
    </w:p>
    <w:p>
      <w:pPr>
        <w:pStyle w:val="ListBullet"/>
      </w:pPr>
      <w:r>
        <w:rPr>
          <w:b/>
        </w:rPr>
        <w:t>Why no equivalence claims?</w:t>
      </w:r>
      <w:r>
        <w:t xml:space="preserve"> No prespecified margin; an interval including zero is 'undemonstrated, not demonstrated absent' (Section 3.7.1, reference 80).</w:t>
      </w:r>
    </w:p>
    <w:p>
      <w:pPr>
        <w:pStyle w:val="ListBullet"/>
      </w:pPr>
      <w:r>
        <w:rPr>
          <w:b/>
        </w:rPr>
        <w:t>NRI weaknesses?</w:t>
      </w:r>
      <w:r>
        <w:t xml:space="preserve"> Sensitive to prevalence, category definitions and miscalibration; secondary only (Sections 6.3, 6.7, reference 88).</w:t>
      </w:r>
    </w:p>
    <w:p>
      <w:pPr>
        <w:pStyle w:val="ListBullet"/>
      </w:pPr>
      <w:r>
        <w:rPr>
          <w:b/>
        </w:rPr>
        <w:t>Brier score?</w:t>
      </w:r>
      <w:r>
        <w:t xml:space="preserve"> Overall error at a horizon combining discrimination and calibration; not a calibration metric; small when events are rare (Section 3.8).</w:t>
      </w:r>
    </w:p>
    <w:p>
      <w:pPr>
        <w:pStyle w:val="ListBullet"/>
      </w:pPr>
      <w:r>
        <w:rPr>
          <w:b/>
        </w:rPr>
        <w:t>Wild cluster bootstrap?</w:t>
      </w:r>
      <w:r>
        <w:t xml:space="preserve"> Rademacher, 1,999 pedigree resamples, same interval 0.83 to 1.36 as the clustered SE (Section 5.3).</w:t>
      </w:r>
    </w:p>
    <w:p>
      <w:pPr>
        <w:pStyle w:val="ListBullet"/>
      </w:pPr>
      <w:r>
        <w:rPr>
          <w:b/>
        </w:rPr>
        <w:t>Why is the dummy-variable df correction relevant?</w:t>
      </w:r>
      <w:r>
        <w:t xml:space="preserve"> With 488 pedigree fixed effects it counts each as a parameter and widens the within-pedigree interval to minus 0.06 to 0.85 (Section 5.3).</w:t>
      </w:r>
    </w:p>
    <w:p>
      <w:pPr>
        <w:pStyle w:val="ListBullet"/>
      </w:pPr>
      <w:r>
        <w:rPr>
          <w:b/>
        </w:rPr>
        <w:t>Why is the +0.052 Montreal win fragile?</w:t>
      </w:r>
      <w:r>
        <w:t xml:space="preserve"> Lower limit +0.0003 on 20 events, and it did not resolve under the earlier hypertension definition (Section 7.8).</w:t>
      </w:r>
    </w:p>
    <w:p>
      <w:pPr>
        <w:pStyle w:val="ListBullet"/>
      </w:pPr>
      <w:r>
        <w:rPr>
          <w:b/>
        </w:rPr>
        <w:t>Why did you change the hypertension definition?</w:t>
      </w:r>
      <w:r>
        <w:t xml:space="preserve"> To recorded medication only, on 24 September 2026, before any refit result was seen; the earlier definition is a sensitivity (Section 7.2).</w:t>
      </w:r>
    </w:p>
    <w:p>
      <w:pPr>
        <w:pStyle w:val="ListBullet"/>
      </w:pPr>
      <w:r>
        <w:rPr>
          <w:b/>
        </w:rPr>
        <w:t>Time-dependent AUC versus Harrell C?</w:t>
      </w:r>
      <w:r>
        <w:t xml:space="preserve"> Both reported: 0.718 and 0.713 at ten years alongside 0.699 and 0.698 (Section 7.5).</w:t>
      </w:r>
    </w:p>
    <w:p>
      <w:pPr>
        <w:pStyle w:val="ListBullet"/>
      </w:pPr>
      <w:r>
        <w:rPr>
          <w:b/>
        </w:rPr>
        <w:t>Why is target refit AUC 0.756 not comparable with frozen 0.669?</w:t>
      </w:r>
      <w:r>
        <w:t xml:space="preserve"> Different model state; outcomes informed the coefficients (Section 6.5).</w:t>
      </w:r>
    </w:p>
    <w:p>
      <w:pPr>
        <w:pStyle w:val="ListBullet"/>
      </w:pPr>
      <w:r>
        <w:rPr>
          <w:b/>
        </w:rPr>
        <w:t>What is 'calculability'?</w:t>
      </w:r>
      <w:r>
        <w:t xml:space="preserve"> Rows on which an instrument can be computed as published; SAFEHEART-RE 26 registry rows with one event (Table 7.3).</w:t>
      </w:r>
    </w:p>
    <w:p>
      <w:pPr>
        <w:pStyle w:val="Heading1"/>
      </w:pPr>
      <w:r>
        <w:t>Part 8. Lipid-medicine rapid-fire (one-line answers)</w:t>
      </w:r>
    </w:p>
    <w:p>
      <w:pPr>
        <w:pStyle w:val="ListBullet"/>
      </w:pPr>
      <w:r>
        <w:rPr>
          <w:b/>
        </w:rPr>
        <w:t>Why does LDL-C under-grade after treatment?</w:t>
      </w:r>
      <w:r>
        <w:t xml:space="preserve"> Median 6.1 untreated versus 3.6 on treatment in 261 registry pairs; 66.3% drop a stratum (Section 7.7).</w:t>
      </w:r>
    </w:p>
    <w:p>
      <w:pPr>
        <w:pStyle w:val="ListBullet"/>
      </w:pPr>
      <w:r>
        <w:rPr>
          <w:b/>
        </w:rPr>
        <w:t>Why not just back-calculate?</w:t>
      </w:r>
      <w:r>
        <w:t xml:space="preserve"> Because every convention has MAE around 1.2 mmol/L and correlation 0.09 to 0.32 with documented values (Part 1, P11).</w:t>
      </w:r>
    </w:p>
    <w:p>
      <w:pPr>
        <w:pStyle w:val="ListBullet"/>
      </w:pPr>
      <w:r>
        <w:rPr>
          <w:b/>
        </w:rPr>
        <w:t>Where is Friedewald least reliable?</w:t>
      </w:r>
      <w:r>
        <w:t xml:space="preserve"> Below 1.4 mmol/L the triglyceride term is 47% of the calculated value (Section 7.7).</w:t>
      </w:r>
    </w:p>
    <w:p>
      <w:pPr>
        <w:pStyle w:val="ListBullet"/>
      </w:pPr>
      <w:r>
        <w:rPr>
          <w:b/>
        </w:rPr>
        <w:t>Non-HDL-C alternative in Chapter 5?</w:t>
      </w:r>
      <w:r>
        <w:t xml:space="preserve"> +1.67 mmol/L crude, +1.44 age- and sex-adjusted; same-visit differences 1.64 and 1.49 (Section 5.4).</w:t>
      </w:r>
    </w:p>
    <w:p>
      <w:pPr>
        <w:pStyle w:val="ListBullet"/>
      </w:pPr>
      <w:r>
        <w:rPr>
          <w:b/>
        </w:rPr>
        <w:t>Does a severity cut-point rank risk?</w:t>
      </w:r>
      <w:r>
        <w:t xml:space="preserve"> Poorly: concordance 0.552 to 0.593 for 4.9 mmol/L alone; but the event-rate ratio above versus below was 2.97 in the registry and 1.61 in the biobank (Sections 7.5, 7.7).</w:t>
      </w:r>
    </w:p>
    <w:p>
      <w:pPr>
        <w:pStyle w:val="ListBullet"/>
      </w:pPr>
      <w:r>
        <w:rPr>
          <w:b/>
        </w:rPr>
        <w:t>Reaching goal means low lifetime exposure?</w:t>
      </w:r>
      <w:r>
        <w:t xml:space="preserve"> No: of 51 registry patients at the 2.6 goal with a recorded pre-treatment value, 54.9% had been at or above 4.9 (Section 7.7).</w:t>
      </w:r>
    </w:p>
    <w:p>
      <w:pPr>
        <w:pStyle w:val="ListBullet"/>
      </w:pPr>
      <w:r>
        <w:rPr>
          <w:b/>
        </w:rPr>
        <w:t>Lp(a)?</w:t>
      </w:r>
      <w:r>
        <w:t xml:space="preserve"> Modifier, not subtractable component; measured in only 143 of 1,904 Welsh carriers in Chapter 5; Lp(a) of at least 125 nmol/L over CALON-5 gave 0.88 (0.40 to 1.94) (Sections 5.7, 7.9).</w:t>
      </w:r>
    </w:p>
    <w:p>
      <w:pPr>
        <w:pStyle w:val="ListBullet"/>
      </w:pPr>
      <w:r>
        <w:rPr>
          <w:b/>
        </w:rPr>
        <w:t>Should clinics measure apoB?</w:t>
      </w:r>
      <w:r>
        <w:t xml:space="preserve"> Where the question concerns particle burden; guidance already supports it in treated adults (COR 2a); the 0.31 ratio threshold should not be adopted (Section 8.6).</w:t>
      </w:r>
    </w:p>
    <w:p>
      <w:pPr>
        <w:pStyle w:val="ListBullet"/>
      </w:pPr>
      <w:r>
        <w:rPr>
          <w:b/>
        </w:rPr>
        <w:t>Which ratio direction did the paper use?</w:t>
      </w:r>
      <w:r>
        <w:t xml:space="preserve"> apoB/LDL-C in g/mmol, threshold 0.31; other literature uses LDL-C/apoB as a size proxy (Section 2.5).</w:t>
      </w:r>
    </w:p>
    <w:p>
      <w:pPr>
        <w:pStyle w:val="ListBullet"/>
      </w:pPr>
      <w:r>
        <w:rPr>
          <w:b/>
        </w:rPr>
        <w:t>Diabetes and TUDOR?</w:t>
      </w:r>
      <w:r>
        <w:t xml:space="preserve"> AUC 0.648 Wales, 0.642 UK Biobank: a metabolically challenging setting, not a subgroup licence (Section 6.5).</w:t>
      </w:r>
    </w:p>
    <w:p>
      <w:pPr>
        <w:pStyle w:val="ListBullet"/>
      </w:pPr>
      <w:r>
        <w:rPr>
          <w:b/>
        </w:rPr>
        <w:t>Cascade versus proband age?</w:t>
      </w:r>
      <w:r>
        <w:t xml:space="preserve"> Median 60.2 versus 38.6 years; treated 89.0% versus 67.5%; prior ASCVD 21.3% versus 6.9% (Table 5.1).</w:t>
      </w:r>
    </w:p>
    <w:p>
      <w:pPr>
        <w:pStyle w:val="ListBullet"/>
      </w:pPr>
      <w:r>
        <w:rPr>
          <w:b/>
        </w:rPr>
        <w:t>Minimum data set a service needs for any FH risk score?</w:t>
      </w:r>
      <w:r>
        <w:t xml:space="preserve"> Untreated LDL-C, Lp(a), BMI, diabetes and hypertension status, dated events (Section 8.6).</w:t>
      </w:r>
    </w:p>
    <w:p>
      <w:pPr>
        <w:pStyle w:val="ListBullet"/>
      </w:pPr>
      <w:r>
        <w:rPr>
          <w:b/>
        </w:rPr>
        <w:t>Menopause and FH LDL-C?</w:t>
      </w:r>
      <w:r>
        <w:t xml:space="preserve"> LDLR carriers +11.5% versus +15.3% percentage rise from a higher base; Da Roza 2026 found a larger absolute rise in monogenic FH; compatible (Section 8.4).</w:t>
      </w:r>
    </w:p>
    <w:p>
      <w:pPr>
        <w:pStyle w:val="ListBullet"/>
      </w:pPr>
      <w:r>
        <w:rPr>
          <w:b/>
        </w:rPr>
        <w:t>Pregnancy?</w:t>
      </w:r>
      <w:r>
        <w:t xml:space="preserve"> Klevmoen 2021 documented loss of statin-treatment years; adds untreated exposure current status cannot summarise (Section 2.11).</w:t>
      </w:r>
    </w:p>
    <w:p>
      <w:pPr>
        <w:pStyle w:val="Heading1"/>
      </w:pPr>
      <w:r>
        <w:t>Part 9. Annual-review specific: progress, risks and the next 12 months</w:t>
      </w:r>
    </w:p>
    <w:p>
      <w:pPr>
        <w:spacing w:after="120"/>
      </w:pPr>
      <w:r>
        <w:rPr>
          <w:b/>
        </w:rPr>
        <w:t>Q9A. What is the publication status of each component?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sz w:val="18"/>
              </w:rPr>
            </w:r>
            <w:r>
              <w:rPr>
                <w:b/>
                <w:sz w:val="18"/>
              </w:rPr>
              <w:t>Component</w:t>
            </w:r>
          </w:p>
        </w:tc>
        <w:tc>
          <w:tcPr>
            <w:tcW w:type="dxa" w:w="3249"/>
            <w:shd w:val="clear" w:color="auto" w:fill="D9E2F3"/>
          </w:tcPr>
          <w:p>
            <w:r>
              <w:rPr>
                <w:b/>
                <w:sz w:val="18"/>
              </w:rPr>
            </w:r>
            <w:r>
              <w:rPr>
                <w:b/>
                <w:sz w:val="18"/>
              </w:rPr>
              <w:t>Status per thesis</w:t>
            </w:r>
          </w:p>
        </w:tc>
        <w:tc>
          <w:tcPr>
            <w:tcW w:type="dxa" w:w="3249"/>
            <w:shd w:val="clear" w:color="auto" w:fill="D9E2F3"/>
          </w:tcPr>
          <w:p>
            <w:r>
              <w:rPr>
                <w:b/>
                <w:sz w:val="18"/>
              </w:rPr>
            </w:r>
            <w:r>
              <w:rPr>
                <w:b/>
                <w:sz w:val="18"/>
              </w:rPr>
              <w:t>Reference</w:t>
            </w:r>
          </w:p>
        </w:tc>
      </w:tr>
      <w:tr>
        <w:tc>
          <w:tcPr>
            <w:tcW w:type="dxa" w:w="3249"/>
          </w:tcPr>
          <w:p>
            <w:r>
              <w:rPr>
                <w:b w:val="0"/>
                <w:sz w:val="18"/>
              </w:rPr>
            </w:r>
            <w:r>
              <w:rPr>
                <w:b w:val="0"/>
                <w:sz w:val="18"/>
              </w:rPr>
              <w:t>ApoB/LDL-C discordance paper</w:t>
            </w:r>
          </w:p>
        </w:tc>
        <w:tc>
          <w:tcPr>
            <w:tcW w:type="dxa" w:w="3249"/>
          </w:tcPr>
          <w:p>
            <w:r>
              <w:rPr>
                <w:b w:val="0"/>
                <w:sz w:val="18"/>
              </w:rPr>
            </w:r>
            <w:r>
              <w:rPr>
                <w:b w:val="0"/>
                <w:sz w:val="18"/>
              </w:rPr>
              <w:t>Published J Clin Lipidol 2026 with erratum (highlights only)</w:t>
            </w:r>
          </w:p>
        </w:tc>
        <w:tc>
          <w:tcPr>
            <w:tcW w:type="dxa" w:w="3249"/>
          </w:tcPr>
          <w:p>
            <w:r>
              <w:rPr>
                <w:b w:val="0"/>
                <w:sz w:val="18"/>
              </w:rPr>
            </w:r>
            <w:r>
              <w:rPr>
                <w:b w:val="0"/>
                <w:sz w:val="18"/>
              </w:rPr>
              <w:t>51, 72</w:t>
            </w:r>
          </w:p>
        </w:tc>
      </w:tr>
      <w:tr>
        <w:tc>
          <w:tcPr>
            <w:tcW w:type="dxa" w:w="3249"/>
            <w:shd w:val="clear" w:color="auto" w:fill="F2F2F2"/>
          </w:tcPr>
          <w:p>
            <w:r>
              <w:rPr>
                <w:b w:val="0"/>
                <w:sz w:val="18"/>
              </w:rPr>
            </w:r>
            <w:r>
              <w:rPr>
                <w:b w:val="0"/>
                <w:sz w:val="18"/>
              </w:rPr>
              <w:t>TUDOR</w:t>
            </w:r>
          </w:p>
        </w:tc>
        <w:tc>
          <w:tcPr>
            <w:tcW w:type="dxa" w:w="3249"/>
            <w:shd w:val="clear" w:color="auto" w:fill="F2F2F2"/>
          </w:tcPr>
          <w:p>
            <w:r>
              <w:rPr>
                <w:b w:val="0"/>
                <w:sz w:val="18"/>
              </w:rPr>
            </w:r>
            <w:r>
              <w:rPr>
                <w:b w:val="0"/>
                <w:sz w:val="18"/>
              </w:rPr>
              <w:t>Published online J Clin Lipidol 2026; description-object discrepancy uncorrected</w:t>
            </w:r>
          </w:p>
        </w:tc>
        <w:tc>
          <w:tcPr>
            <w:tcW w:type="dxa" w:w="3249"/>
            <w:shd w:val="clear" w:color="auto" w:fill="F2F2F2"/>
          </w:tcPr>
          <w:p>
            <w:r>
              <w:rPr>
                <w:b w:val="0"/>
                <w:sz w:val="18"/>
              </w:rPr>
            </w:r>
            <w:r>
              <w:rPr>
                <w:b w:val="0"/>
                <w:sz w:val="18"/>
              </w:rPr>
              <w:t>21</w:t>
            </w:r>
          </w:p>
        </w:tc>
      </w:tr>
      <w:tr>
        <w:tc>
          <w:tcPr>
            <w:tcW w:type="dxa" w:w="3249"/>
          </w:tcPr>
          <w:p>
            <w:r>
              <w:rPr>
                <w:b w:val="0"/>
                <w:sz w:val="18"/>
              </w:rPr>
            </w:r>
            <w:r>
              <w:rPr>
                <w:b w:val="0"/>
                <w:sz w:val="18"/>
              </w:rPr>
              <w:t>TUDOR congress abstract</w:t>
            </w:r>
          </w:p>
        </w:tc>
        <w:tc>
          <w:tcPr>
            <w:tcW w:type="dxa" w:w="3249"/>
          </w:tcPr>
          <w:p>
            <w:r>
              <w:rPr>
                <w:b w:val="0"/>
                <w:sz w:val="18"/>
              </w:rPr>
            </w:r>
            <w:r>
              <w:rPr>
                <w:b w:val="0"/>
                <w:sz w:val="18"/>
              </w:rPr>
              <w:t>Atheroscler Plus 2026; related work, not independent</w:t>
            </w:r>
          </w:p>
        </w:tc>
        <w:tc>
          <w:tcPr>
            <w:tcW w:type="dxa" w:w="3249"/>
          </w:tcPr>
          <w:p>
            <w:r>
              <w:rPr>
                <w:b w:val="0"/>
                <w:sz w:val="18"/>
              </w:rPr>
            </w:r>
            <w:r>
              <w:rPr>
                <w:b w:val="0"/>
                <w:sz w:val="18"/>
              </w:rPr>
              <w:t>82</w:t>
            </w:r>
          </w:p>
        </w:tc>
      </w:tr>
      <w:tr>
        <w:tc>
          <w:tcPr>
            <w:tcW w:type="dxa" w:w="3249"/>
            <w:shd w:val="clear" w:color="auto" w:fill="F2F2F2"/>
          </w:tcPr>
          <w:p>
            <w:r>
              <w:rPr>
                <w:b w:val="0"/>
                <w:sz w:val="18"/>
              </w:rPr>
            </w:r>
            <w:r>
              <w:rPr>
                <w:b w:val="0"/>
                <w:sz w:val="18"/>
              </w:rPr>
              <w:t>Ascertainment (Paper 14)</w:t>
            </w:r>
          </w:p>
        </w:tc>
        <w:tc>
          <w:tcPr>
            <w:tcW w:type="dxa" w:w="3249"/>
            <w:shd w:val="clear" w:color="auto" w:fill="F2F2F2"/>
          </w:tcPr>
          <w:p>
            <w:r>
              <w:rPr>
                <w:b w:val="0"/>
                <w:sz w:val="18"/>
              </w:rPr>
            </w:r>
            <w:r>
              <w:rPr>
                <w:b w:val="0"/>
                <w:sz w:val="18"/>
              </w:rPr>
              <w:t>Under revision, R4, J Clin Lipidol</w:t>
            </w:r>
          </w:p>
        </w:tc>
        <w:tc>
          <w:tcPr>
            <w:tcW w:type="dxa" w:w="3249"/>
            <w:shd w:val="clear" w:color="auto" w:fill="F2F2F2"/>
          </w:tcPr>
          <w:p>
            <w:r>
              <w:rPr>
                <w:b w:val="0"/>
                <w:sz w:val="18"/>
              </w:rPr>
            </w:r>
            <w:r>
              <w:rPr>
                <w:b w:val="0"/>
                <w:sz w:val="18"/>
              </w:rPr>
              <w:t>52</w:t>
            </w:r>
          </w:p>
        </w:tc>
      </w:tr>
      <w:tr>
        <w:tc>
          <w:tcPr>
            <w:tcW w:type="dxa" w:w="3249"/>
          </w:tcPr>
          <w:p>
            <w:r>
              <w:rPr>
                <w:b w:val="0"/>
                <w:sz w:val="18"/>
              </w:rPr>
            </w:r>
            <w:r>
              <w:rPr>
                <w:b w:val="0"/>
                <w:sz w:val="18"/>
              </w:rPr>
              <w:t>CALON-5 cross-cohort evaluation</w:t>
            </w:r>
          </w:p>
        </w:tc>
        <w:tc>
          <w:tcPr>
            <w:tcW w:type="dxa" w:w="3249"/>
          </w:tcPr>
          <w:p>
            <w:r>
              <w:rPr>
                <w:b w:val="0"/>
                <w:sz w:val="18"/>
              </w:rPr>
            </w:r>
            <w:r>
              <w:rPr>
                <w:b w:val="0"/>
                <w:sz w:val="18"/>
              </w:rPr>
              <w:t>Submitted manuscript, revision r7</w:t>
            </w:r>
          </w:p>
        </w:tc>
        <w:tc>
          <w:tcPr>
            <w:tcW w:type="dxa" w:w="3249"/>
          </w:tcPr>
          <w:p>
            <w:r>
              <w:rPr>
                <w:b w:val="0"/>
                <w:sz w:val="18"/>
              </w:rPr>
            </w:r>
            <w:r>
              <w:rPr>
                <w:b w:val="0"/>
                <w:sz w:val="18"/>
              </w:rPr>
              <w:t>83</w:t>
            </w:r>
          </w:p>
        </w:tc>
      </w:tr>
      <w:tr>
        <w:tc>
          <w:tcPr>
            <w:tcW w:type="dxa" w:w="3249"/>
            <w:shd w:val="clear" w:color="auto" w:fill="F2F2F2"/>
          </w:tcPr>
          <w:p>
            <w:r>
              <w:rPr>
                <w:b w:val="0"/>
                <w:sz w:val="18"/>
              </w:rPr>
            </w:r>
            <w:r>
              <w:rPr>
                <w:b w:val="0"/>
                <w:sz w:val="18"/>
              </w:rPr>
              <w:t>CALON-C</w:t>
            </w:r>
          </w:p>
        </w:tc>
        <w:tc>
          <w:tcPr>
            <w:tcW w:type="dxa" w:w="3249"/>
            <w:shd w:val="clear" w:color="auto" w:fill="F2F2F2"/>
          </w:tcPr>
          <w:p>
            <w:r>
              <w:rPr>
                <w:b w:val="0"/>
                <w:sz w:val="18"/>
              </w:rPr>
            </w:r>
            <w:r>
              <w:rPr>
                <w:b w:val="0"/>
                <w:sz w:val="18"/>
              </w:rPr>
              <w:t>Developmental manuscript, lineage only</w:t>
            </w:r>
          </w:p>
        </w:tc>
        <w:tc>
          <w:tcPr>
            <w:tcW w:type="dxa" w:w="3249"/>
            <w:shd w:val="clear" w:color="auto" w:fill="F2F2F2"/>
          </w:tcPr>
          <w:p>
            <w:r>
              <w:rPr>
                <w:b w:val="0"/>
                <w:sz w:val="18"/>
              </w:rPr>
            </w:r>
            <w:r>
              <w:rPr>
                <w:b w:val="0"/>
                <w:sz w:val="18"/>
              </w:rPr>
              <w:t>22</w:t>
            </w:r>
          </w:p>
        </w:tc>
      </w:tr>
      <w:tr>
        <w:tc>
          <w:tcPr>
            <w:tcW w:type="dxa" w:w="3249"/>
          </w:tcPr>
          <w:p>
            <w:r>
              <w:rPr>
                <w:b w:val="0"/>
                <w:sz w:val="18"/>
              </w:rPr>
            </w:r>
            <w:r>
              <w:rPr>
                <w:b w:val="0"/>
                <w:sz w:val="18"/>
              </w:rPr>
              <w:t>Menopausal transition study</w:t>
            </w:r>
          </w:p>
        </w:tc>
        <w:tc>
          <w:tcPr>
            <w:tcW w:type="dxa" w:w="3249"/>
          </w:tcPr>
          <w:p>
            <w:r>
              <w:rPr>
                <w:b w:val="0"/>
                <w:sz w:val="18"/>
              </w:rPr>
            </w:r>
            <w:r>
              <w:rPr>
                <w:b w:val="0"/>
                <w:sz w:val="18"/>
              </w:rPr>
              <w:t>In press</w:t>
            </w:r>
          </w:p>
        </w:tc>
        <w:tc>
          <w:tcPr>
            <w:tcW w:type="dxa" w:w="3249"/>
          </w:tcPr>
          <w:p>
            <w:r>
              <w:rPr>
                <w:b w:val="0"/>
                <w:sz w:val="18"/>
              </w:rPr>
            </w:r>
            <w:r>
              <w:rPr>
                <w:b w:val="0"/>
                <w:sz w:val="18"/>
              </w:rPr>
              <w:t>50</w:t>
            </w:r>
          </w:p>
        </w:tc>
      </w:tr>
    </w:tbl>
    <w:p/>
    <w:p>
      <w:pPr>
        <w:spacing w:after="120"/>
      </w:pPr>
      <w:r>
        <w:rPr>
          <w:b/>
        </w:rPr>
        <w:t>Q9B. What is on your critical path to submission?</w:t>
      </w:r>
    </w:p>
    <w:p>
      <w:pPr>
        <w:spacing w:after="120"/>
      </w:pPr>
      <w:r>
        <w:t>Recommended answer, ordered by dependency and impact (executive-planner view):</w:t>
      </w:r>
    </w:p>
    <w:p>
      <w:pPr>
        <w:pStyle w:val="ListNumber"/>
      </w:pPr>
      <w:r>
        <w:rPr>
          <w:b/>
        </w:rPr>
        <w:t>Correct the internal inconsistencies in Part 1</w:t>
      </w:r>
      <w:r>
        <w:t xml:space="preserve"> (P1 to P6, P12): one week; no data access needed.</w:t>
      </w:r>
    </w:p>
    <w:p>
      <w:pPr>
        <w:pStyle w:val="ListNumber"/>
      </w:pPr>
      <w:r>
        <w:rPr>
          <w:b/>
        </w:rPr>
        <w:t>TUDOR corrigendum request</w:t>
      </w:r>
      <w:r>
        <w:t xml:space="preserve"> to J Clin Lipidol for the Index Effect descriptor: draft this month; integrity item that examiners weigh most heavily.</w:t>
      </w:r>
    </w:p>
    <w:p>
      <w:pPr>
        <w:pStyle w:val="ListNumber"/>
      </w:pPr>
      <w:r>
        <w:rPr>
          <w:b/>
        </w:rPr>
        <w:t>Registry-side analyses that need no UK Biobank access:</w:t>
      </w:r>
      <w:r>
        <w:t xml:space="preserve"> family-grouped bootstrap of the Welsh TUDOR paired differences (closes L11); interval for CALON-5 over age and sex on registry rows (closes half of L14); enumerate Chapter 7 genes and ancestry restriction (P8, P9); complete TUDOR PROBAST+AI (P12).</w:t>
      </w:r>
    </w:p>
    <w:p>
      <w:pPr>
        <w:pStyle w:val="ListNumber"/>
      </w:pPr>
      <w:r>
        <w:rPr>
          <w:b/>
        </w:rPr>
        <w:t>UK Biobank RAP:</w:t>
      </w:r>
      <w:r>
        <w:t xml:space="preserve"> either restore access under Application 1002450 or record formally why not; if restored, re-verify the retained aggregates flagged in Table A.2 and run the frozen reconstruction-uncertainty protocol (Appendix D.4).</w:t>
      </w:r>
    </w:p>
    <w:p>
      <w:pPr>
        <w:pStyle w:val="ListNumber"/>
      </w:pPr>
      <w:r>
        <w:rPr>
          <w:b/>
        </w:rPr>
        <w:t>Paper 14 R4</w:t>
      </w:r>
      <w:r>
        <w:t xml:space="preserve"> through review; if the within-pedigree rung changes again, Chapter 5 and Table B.2 change with it.</w:t>
      </w:r>
    </w:p>
    <w:p>
      <w:pPr>
        <w:pStyle w:val="ListNumber"/>
      </w:pPr>
      <w:r>
        <w:rPr>
          <w:b/>
        </w:rPr>
        <w:t>CALON-5 r7</w:t>
      </w:r>
      <w:r>
        <w:t xml:space="preserve"> through review; align Chapter 7 and Appendix A to the accepted version.</w:t>
      </w:r>
    </w:p>
    <w:p>
      <w:pPr>
        <w:pStyle w:val="ListNumber"/>
      </w:pPr>
      <w:r>
        <w:rPr>
          <w:b/>
        </w:rPr>
        <w:t>Complete the search:</w:t>
      </w:r>
      <w:r>
        <w:t xml:space="preserve"> Embase via Cardiff University Library, refresh Elicit, Consensus and Scite after 1 October 2026, read the eight unread priority full texts, duplicate screening (F.9).</w:t>
      </w:r>
    </w:p>
    <w:p>
      <w:pPr>
        <w:pStyle w:val="ListNumber"/>
      </w:pPr>
      <w:r>
        <w:t>Only then: final formatting, word count against Cardiff regulations, and viva preparation.</w:t>
      </w:r>
    </w:p>
    <w:p>
      <w:pPr>
        <w:spacing w:after="120"/>
      </w:pPr>
      <w:r>
        <w:rPr>
          <w:b/>
        </w:rPr>
        <w:t>Q9C. What could stop you submitting on time?</w:t>
      </w:r>
    </w:p>
    <w:p>
      <w:pPr>
        <w:spacing w:after="120"/>
      </w:pPr>
      <w:r>
        <w:t>"Three things: the RAP closure if any examiner requires re-verification of a UK Biobank primary value; a reversal of the Paper 14 within-pedigree result on review; and the TUDOR corrigendum process if the journal asks for more than a wording correction. None affects the Chapter 7 grading result, which needs no reconstruction and no UK Biobank data."</w:t>
      </w:r>
    </w:p>
    <w:p>
      <w:pPr>
        <w:spacing w:after="120"/>
      </w:pPr>
      <w:r>
        <w:rPr>
          <w:b/>
        </w:rPr>
        <w:t>Q9D. Training needs?</w:t>
      </w:r>
    </w:p>
    <w:p>
      <w:pPr>
        <w:spacing w:after="120"/>
      </w:pPr>
      <w:r>
        <w:t>"Two the thesis exposes: formal multiple-imputation and MNAR sensitivity methods for the registry (Chapter 7 avoided imputation rather than modelling it); and systematic-search methodology so that the novelty statements can be made unconditional."</w:t>
      </w:r>
    </w:p>
    <w:p>
      <w:pPr>
        <w:spacing w:after="120"/>
      </w:pPr>
      <w:r>
        <w:rPr>
          <w:b/>
        </w:rPr>
        <w:t>Q9E. The single next action after this meeting?</w:t>
      </w:r>
    </w:p>
    <w:p>
      <w:pPr>
        <w:spacing w:after="120"/>
      </w:pPr>
      <w:r>
        <w:t>"Correct P1 to P6 and draft the corrigendum letter; both are within my control and neither needs data access."</w:t>
      </w:r>
    </w:p>
    <w:p>
      <w:pPr>
        <w:pStyle w:val="Heading1"/>
      </w:pPr>
      <w:r>
        <w:t>Part 10. External-citation verification status</w:t>
      </w:r>
    </w:p>
    <w:p>
      <w:pPr>
        <w:spacing w:after="120"/>
      </w:pPr>
      <w:r>
        <w:t xml:space="preserve">A background check of 18 external citations whose numbers the thesis quotes was run against PubMed abstracts and, where reachable, PubMed Central full text. Scite and Consensus quotas were exhausted and publisher pages were blocked, so nothing was answered from memory; where a check failed it is marked as such. The full report, with PMIDs and verbatim wording, is filed beside this document as </w:t>
      </w:r>
      <w:r>
        <w:rPr>
          <w:rFonts w:ascii="Consolas" w:hAnsi="Consolas"/>
          <w:sz w:val="19"/>
        </w:rPr>
        <w:t>MD_THESIS_citation_verification.md</w:t>
      </w:r>
      <w: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sz w:val="18"/>
              </w:rPr>
            </w:r>
            <w:r>
              <w:rPr>
                <w:b/>
                <w:sz w:val="18"/>
              </w:rPr>
              <w:t>Item</w:t>
            </w:r>
          </w:p>
        </w:tc>
        <w:tc>
          <w:tcPr>
            <w:tcW w:type="dxa" w:w="3249"/>
            <w:shd w:val="clear" w:color="auto" w:fill="D9E2F3"/>
          </w:tcPr>
          <w:p>
            <w:r>
              <w:rPr>
                <w:b/>
                <w:sz w:val="18"/>
              </w:rPr>
            </w:r>
            <w:r>
              <w:rPr>
                <w:b/>
                <w:sz w:val="18"/>
              </w:rPr>
              <w:t>Thesis figure</w:t>
            </w:r>
          </w:p>
        </w:tc>
        <w:tc>
          <w:tcPr>
            <w:tcW w:type="dxa" w:w="3249"/>
            <w:shd w:val="clear" w:color="auto" w:fill="D9E2F3"/>
          </w:tcPr>
          <w:p>
            <w:r>
              <w:rPr>
                <w:b/>
                <w:sz w:val="18"/>
              </w:rPr>
            </w:r>
            <w:r>
              <w:rPr>
                <w:b/>
                <w:sz w:val="18"/>
              </w:rPr>
              <w:t>Status</w:t>
            </w:r>
          </w:p>
        </w:tc>
      </w:tr>
      <w:tr>
        <w:tc>
          <w:tcPr>
            <w:tcW w:type="dxa" w:w="3249"/>
          </w:tcPr>
          <w:p>
            <w:r>
              <w:rPr>
                <w:b w:val="0"/>
                <w:sz w:val="18"/>
              </w:rPr>
            </w:r>
            <w:r>
              <w:rPr>
                <w:b w:val="0"/>
                <w:sz w:val="18"/>
              </w:rPr>
              <w:t>Akyea 2026 (ref 45)</w:t>
            </w:r>
          </w:p>
        </w:tc>
        <w:tc>
          <w:tcPr>
            <w:tcW w:type="dxa" w:w="3249"/>
          </w:tcPr>
          <w:p>
            <w:r>
              <w:rPr>
                <w:b w:val="0"/>
                <w:sz w:val="18"/>
              </w:rPr>
            </w:r>
            <w:r>
              <w:rPr>
                <w:b w:val="0"/>
                <w:sz w:val="18"/>
              </w:rPr>
              <w:t>885/267; DLCN 0.816 (0.784 to 0.847) vs FAMCAT 0.748 (0.712 to 0.784)</w:t>
            </w:r>
          </w:p>
        </w:tc>
        <w:tc>
          <w:tcPr>
            <w:tcW w:type="dxa" w:w="3249"/>
          </w:tcPr>
          <w:p>
            <w:r>
              <w:rPr>
                <w:b w:val="0"/>
                <w:sz w:val="18"/>
              </w:rPr>
            </w:r>
            <w:r>
              <w:rPr>
                <w:b w:val="0"/>
                <w:sz w:val="18"/>
              </w:rPr>
              <w:t>Verified</w:t>
            </w:r>
          </w:p>
        </w:tc>
      </w:tr>
      <w:tr>
        <w:tc>
          <w:tcPr>
            <w:tcW w:type="dxa" w:w="3249"/>
            <w:shd w:val="clear" w:color="auto" w:fill="F2F2F2"/>
          </w:tcPr>
          <w:p>
            <w:r>
              <w:rPr>
                <w:b w:val="0"/>
                <w:sz w:val="18"/>
              </w:rPr>
            </w:r>
            <w:r>
              <w:rPr>
                <w:b w:val="0"/>
                <w:sz w:val="18"/>
              </w:rPr>
              <w:t>Johannesen 2024 (ref 38)</w:t>
            </w:r>
          </w:p>
        </w:tc>
        <w:tc>
          <w:tcPr>
            <w:tcW w:type="dxa" w:w="3249"/>
            <w:shd w:val="clear" w:color="auto" w:fill="F2F2F2"/>
          </w:tcPr>
          <w:p>
            <w:r>
              <w:rPr>
                <w:b w:val="0"/>
                <w:sz w:val="18"/>
              </w:rPr>
            </w:r>
            <w:r>
              <w:rPr>
                <w:b w:val="0"/>
                <w:sz w:val="18"/>
              </w:rPr>
              <w:t>expected apoB from regression on LDL-C at TG at or below 1 mmol/L, statin-free</w:t>
            </w:r>
          </w:p>
        </w:tc>
        <w:tc>
          <w:tcPr>
            <w:tcW w:type="dxa" w:w="3249"/>
            <w:shd w:val="clear" w:color="auto" w:fill="F2F2F2"/>
          </w:tcPr>
          <w:p>
            <w:r>
              <w:rPr>
                <w:b w:val="0"/>
                <w:sz w:val="18"/>
              </w:rPr>
            </w:r>
            <w:r>
              <w:rPr>
                <w:b w:val="0"/>
                <w:sz w:val="18"/>
              </w:rPr>
              <w:t>Verified</w:t>
            </w:r>
          </w:p>
        </w:tc>
      </w:tr>
      <w:tr>
        <w:tc>
          <w:tcPr>
            <w:tcW w:type="dxa" w:w="3249"/>
          </w:tcPr>
          <w:p>
            <w:r>
              <w:rPr>
                <w:b w:val="0"/>
                <w:sz w:val="18"/>
              </w:rPr>
            </w:r>
            <w:r>
              <w:rPr>
                <w:b w:val="0"/>
                <w:sz w:val="18"/>
              </w:rPr>
              <w:t>Sayed 2024 (ref 15)</w:t>
            </w:r>
          </w:p>
        </w:tc>
        <w:tc>
          <w:tcPr>
            <w:tcW w:type="dxa" w:w="3249"/>
          </w:tcPr>
          <w:p>
            <w:r>
              <w:rPr>
                <w:b w:val="0"/>
                <w:sz w:val="18"/>
              </w:rPr>
            </w:r>
            <w:r>
              <w:rPr>
                <w:b w:val="0"/>
                <w:sz w:val="18"/>
              </w:rPr>
              <w:t>12,688; apoB 66 to 99 mg/dL at LDL-C 100 mg/dL</w:t>
            </w:r>
          </w:p>
        </w:tc>
        <w:tc>
          <w:tcPr>
            <w:tcW w:type="dxa" w:w="3249"/>
          </w:tcPr>
          <w:p>
            <w:r>
              <w:rPr>
                <w:b w:val="0"/>
                <w:sz w:val="18"/>
              </w:rPr>
            </w:r>
            <w:r>
              <w:rPr>
                <w:b w:val="0"/>
                <w:sz w:val="18"/>
              </w:rPr>
              <w:t>Verified</w:t>
            </w:r>
          </w:p>
        </w:tc>
      </w:tr>
      <w:tr>
        <w:tc>
          <w:tcPr>
            <w:tcW w:type="dxa" w:w="3249"/>
            <w:shd w:val="clear" w:color="auto" w:fill="F2F2F2"/>
          </w:tcPr>
          <w:p>
            <w:r>
              <w:rPr>
                <w:b w:val="0"/>
                <w:sz w:val="18"/>
              </w:rPr>
            </w:r>
            <w:r>
              <w:rPr>
                <w:b w:val="0"/>
                <w:sz w:val="18"/>
              </w:rPr>
              <w:t>Marston 2022 (ref 13)</w:t>
            </w:r>
          </w:p>
        </w:tc>
        <w:tc>
          <w:tcPr>
            <w:tcW w:type="dxa" w:w="3249"/>
            <w:shd w:val="clear" w:color="auto" w:fill="F2F2F2"/>
          </w:tcPr>
          <w:p>
            <w:r>
              <w:rPr>
                <w:b w:val="0"/>
                <w:sz w:val="18"/>
              </w:rPr>
            </w:r>
            <w:r>
              <w:rPr>
                <w:b w:val="0"/>
                <w:sz w:val="18"/>
              </w:rPr>
              <w:t>apoB 1.27 (1.15 to 1.40) per SD</w:t>
            </w:r>
          </w:p>
        </w:tc>
        <w:tc>
          <w:tcPr>
            <w:tcW w:type="dxa" w:w="3249"/>
            <w:shd w:val="clear" w:color="auto" w:fill="F2F2F2"/>
          </w:tcPr>
          <w:p>
            <w:r>
              <w:rPr>
                <w:b w:val="0"/>
                <w:sz w:val="18"/>
              </w:rPr>
            </w:r>
            <w:r>
              <w:rPr>
                <w:b w:val="0"/>
                <w:sz w:val="18"/>
              </w:rPr>
              <w:t>Verified; the "LDL-C not independent" wording is not in the abstract (P16)</w:t>
            </w:r>
          </w:p>
        </w:tc>
      </w:tr>
      <w:tr>
        <w:tc>
          <w:tcPr>
            <w:tcW w:type="dxa" w:w="3249"/>
          </w:tcPr>
          <w:p>
            <w:r>
              <w:rPr>
                <w:b w:val="0"/>
                <w:sz w:val="18"/>
              </w:rPr>
            </w:r>
            <w:r>
              <w:rPr>
                <w:b w:val="0"/>
                <w:sz w:val="18"/>
              </w:rPr>
              <w:t>Johannesen 2021 (ref 14)</w:t>
            </w:r>
          </w:p>
        </w:tc>
        <w:tc>
          <w:tcPr>
            <w:tcW w:type="dxa" w:w="3249"/>
          </w:tcPr>
          <w:p>
            <w:r>
              <w:rPr>
                <w:b w:val="0"/>
                <w:sz w:val="18"/>
              </w:rPr>
            </w:r>
            <w:r>
              <w:rPr>
                <w:b w:val="0"/>
                <w:sz w:val="18"/>
              </w:rPr>
              <w:t>HR 1.49 (1.15 to 1.92)</w:t>
            </w:r>
          </w:p>
        </w:tc>
        <w:tc>
          <w:tcPr>
            <w:tcW w:type="dxa" w:w="3249"/>
          </w:tcPr>
          <w:p>
            <w:r>
              <w:rPr>
                <w:b w:val="0"/>
                <w:sz w:val="18"/>
              </w:rPr>
            </w:r>
            <w:r>
              <w:rPr>
                <w:b w:val="0"/>
                <w:sz w:val="18"/>
              </w:rPr>
              <w:t>Verified</w:t>
            </w:r>
          </w:p>
        </w:tc>
      </w:tr>
      <w:tr>
        <w:tc>
          <w:tcPr>
            <w:tcW w:type="dxa" w:w="3249"/>
            <w:shd w:val="clear" w:color="auto" w:fill="F2F2F2"/>
          </w:tcPr>
          <w:p>
            <w:r>
              <w:rPr>
                <w:b w:val="0"/>
                <w:sz w:val="18"/>
              </w:rPr>
            </w:r>
            <w:r>
              <w:rPr>
                <w:b w:val="0"/>
                <w:sz w:val="18"/>
              </w:rPr>
              <w:t>Jin 2023 (ref 61)</w:t>
            </w:r>
          </w:p>
        </w:tc>
        <w:tc>
          <w:tcPr>
            <w:tcW w:type="dxa" w:w="3249"/>
            <w:shd w:val="clear" w:color="auto" w:fill="F2F2F2"/>
          </w:tcPr>
          <w:p>
            <w:r>
              <w:rPr>
                <w:b w:val="0"/>
                <w:sz w:val="18"/>
              </w:rPr>
            </w:r>
            <w:r>
              <w:rPr>
                <w:b w:val="0"/>
                <w:sz w:val="18"/>
              </w:rPr>
              <w:t>89,422; 3,821 events; HR 1.03 (99% CI 0.94 to 1.14); r = 0.99</w:t>
            </w:r>
          </w:p>
        </w:tc>
        <w:tc>
          <w:tcPr>
            <w:tcW w:type="dxa" w:w="3249"/>
            <w:shd w:val="clear" w:color="auto" w:fill="F2F2F2"/>
          </w:tcPr>
          <w:p>
            <w:r>
              <w:rPr>
                <w:b w:val="0"/>
                <w:sz w:val="18"/>
              </w:rPr>
            </w:r>
            <w:r>
              <w:rPr>
                <w:b w:val="0"/>
                <w:sz w:val="18"/>
              </w:rPr>
              <w:t>Verified; adjustment was for VLDL, LDL and HDL particle concentrations (P15)</w:t>
            </w:r>
          </w:p>
        </w:tc>
      </w:tr>
      <w:tr>
        <w:tc>
          <w:tcPr>
            <w:tcW w:type="dxa" w:w="3249"/>
          </w:tcPr>
          <w:p>
            <w:r>
              <w:rPr>
                <w:b w:val="0"/>
                <w:sz w:val="18"/>
              </w:rPr>
            </w:r>
            <w:r>
              <w:rPr>
                <w:b w:val="0"/>
                <w:sz w:val="18"/>
              </w:rPr>
              <w:t>Morze 2025 (ref 62)</w:t>
            </w:r>
          </w:p>
        </w:tc>
        <w:tc>
          <w:tcPr>
            <w:tcW w:type="dxa" w:w="3249"/>
          </w:tcPr>
          <w:p>
            <w:r>
              <w:rPr>
                <w:b w:val="0"/>
                <w:sz w:val="18"/>
              </w:rPr>
            </w:r>
            <w:r>
              <w:rPr>
                <w:b w:val="0"/>
                <w:sz w:val="18"/>
              </w:rPr>
              <w:t>207,368; AUC 0.769 to 0.774 with Lp(a)</w:t>
            </w:r>
          </w:p>
        </w:tc>
        <w:tc>
          <w:tcPr>
            <w:tcW w:type="dxa" w:w="3249"/>
          </w:tcPr>
          <w:p>
            <w:r>
              <w:rPr>
                <w:b w:val="0"/>
                <w:sz w:val="18"/>
              </w:rPr>
            </w:r>
            <w:r>
              <w:rPr>
                <w:b w:val="0"/>
                <w:sz w:val="18"/>
              </w:rPr>
              <w:t>Verified</w:t>
            </w:r>
          </w:p>
        </w:tc>
      </w:tr>
      <w:tr>
        <w:tc>
          <w:tcPr>
            <w:tcW w:type="dxa" w:w="3249"/>
            <w:shd w:val="clear" w:color="auto" w:fill="F2F2F2"/>
          </w:tcPr>
          <w:p>
            <w:r>
              <w:rPr>
                <w:b w:val="0"/>
                <w:sz w:val="18"/>
              </w:rPr>
            </w:r>
            <w:r>
              <w:rPr>
                <w:b w:val="0"/>
                <w:sz w:val="18"/>
              </w:rPr>
              <w:t>Paquette 2026 (ref 79)</w:t>
            </w:r>
          </w:p>
        </w:tc>
        <w:tc>
          <w:tcPr>
            <w:tcW w:type="dxa" w:w="3249"/>
            <w:shd w:val="clear" w:color="auto" w:fill="F2F2F2"/>
          </w:tcPr>
          <w:p>
            <w:r>
              <w:rPr>
                <w:b w:val="0"/>
                <w:sz w:val="18"/>
              </w:rPr>
            </w:r>
            <w:r>
              <w:rPr>
                <w:b w:val="0"/>
                <w:sz w:val="18"/>
              </w:rPr>
              <w:t>PRS HR 1.77; C 0.746 to 0.750, p = 0.60</w:t>
            </w:r>
          </w:p>
        </w:tc>
        <w:tc>
          <w:tcPr>
            <w:tcW w:type="dxa" w:w="3249"/>
            <w:shd w:val="clear" w:color="auto" w:fill="F2F2F2"/>
          </w:tcPr>
          <w:p>
            <w:r>
              <w:rPr>
                <w:b w:val="0"/>
                <w:sz w:val="18"/>
              </w:rPr>
            </w:r>
            <w:r>
              <w:rPr>
                <w:b w:val="0"/>
                <w:sz w:val="18"/>
              </w:rPr>
              <w:t>Verified (HR interval 1.20 to 2.61)</w:t>
            </w:r>
          </w:p>
        </w:tc>
      </w:tr>
      <w:tr>
        <w:tc>
          <w:tcPr>
            <w:tcW w:type="dxa" w:w="3249"/>
          </w:tcPr>
          <w:p>
            <w:r>
              <w:rPr>
                <w:b w:val="0"/>
                <w:sz w:val="18"/>
              </w:rPr>
            </w:r>
            <w:r>
              <w:rPr>
                <w:b w:val="0"/>
                <w:sz w:val="18"/>
              </w:rPr>
              <w:t>Tybjaerg-Hansen 2005 (ref 91)</w:t>
            </w:r>
          </w:p>
        </w:tc>
        <w:tc>
          <w:tcPr>
            <w:tcW w:type="dxa" w:w="3249"/>
          </w:tcPr>
          <w:p>
            <w:r>
              <w:rPr>
                <w:b w:val="0"/>
                <w:sz w:val="18"/>
              </w:rPr>
            </w:r>
            <w:r>
              <w:rPr>
                <w:b w:val="0"/>
                <w:sz w:val="18"/>
              </w:rPr>
              <w:t>larger increments with clinical selection</w:t>
            </w:r>
          </w:p>
        </w:tc>
        <w:tc>
          <w:tcPr>
            <w:tcW w:type="dxa" w:w="3249"/>
          </w:tcPr>
          <w:p>
            <w:r>
              <w:rPr>
                <w:b w:val="0"/>
                <w:sz w:val="18"/>
              </w:rPr>
            </w:r>
            <w:r>
              <w:rPr>
                <w:b w:val="0"/>
                <w:sz w:val="18"/>
              </w:rPr>
              <w:t>Verified in direction; gradient is total cholesterol, not LDL-C (P14)</w:t>
            </w:r>
          </w:p>
        </w:tc>
      </w:tr>
      <w:tr>
        <w:tc>
          <w:tcPr>
            <w:tcW w:type="dxa" w:w="3249"/>
            <w:shd w:val="clear" w:color="auto" w:fill="F2F2F2"/>
          </w:tcPr>
          <w:p>
            <w:r>
              <w:rPr>
                <w:b w:val="0"/>
                <w:sz w:val="18"/>
              </w:rPr>
            </w:r>
            <w:r>
              <w:rPr>
                <w:b w:val="0"/>
                <w:sz w:val="18"/>
              </w:rPr>
              <w:t>Richardson 2020 (ref 11)</w:t>
            </w:r>
          </w:p>
        </w:tc>
        <w:tc>
          <w:tcPr>
            <w:tcW w:type="dxa" w:w="3249"/>
            <w:shd w:val="clear" w:color="auto" w:fill="F2F2F2"/>
          </w:tcPr>
          <w:p>
            <w:r>
              <w:rPr>
                <w:b w:val="0"/>
                <w:sz w:val="18"/>
              </w:rPr>
            </w:r>
            <w:r>
              <w:rPr>
                <w:b w:val="0"/>
                <w:sz w:val="18"/>
              </w:rPr>
              <w:t>apoB OR 1.92 (1.31 to 2.81); LDL-C attenuated</w:t>
            </w:r>
          </w:p>
        </w:tc>
        <w:tc>
          <w:tcPr>
            <w:tcW w:type="dxa" w:w="3249"/>
            <w:shd w:val="clear" w:color="auto" w:fill="F2F2F2"/>
          </w:tcPr>
          <w:p>
            <w:r>
              <w:rPr>
                <w:b w:val="0"/>
                <w:sz w:val="18"/>
              </w:rPr>
            </w:r>
            <w:r>
              <w:rPr>
                <w:b w:val="0"/>
                <w:sz w:val="18"/>
              </w:rPr>
              <w:t>Verified (LDL-C 0.85, 0.57 to 1.27)</w:t>
            </w:r>
          </w:p>
        </w:tc>
      </w:tr>
      <w:tr>
        <w:tc>
          <w:tcPr>
            <w:tcW w:type="dxa" w:w="3249"/>
          </w:tcPr>
          <w:p>
            <w:r>
              <w:rPr>
                <w:b w:val="0"/>
                <w:sz w:val="18"/>
              </w:rPr>
            </w:r>
            <w:r>
              <w:rPr>
                <w:b w:val="0"/>
                <w:sz w:val="18"/>
              </w:rPr>
              <w:t>Sniderman 2011 (ref 10)</w:t>
            </w:r>
          </w:p>
        </w:tc>
        <w:tc>
          <w:tcPr>
            <w:tcW w:type="dxa" w:w="3249"/>
          </w:tcPr>
          <w:p>
            <w:r>
              <w:rPr>
                <w:b w:val="0"/>
                <w:sz w:val="18"/>
              </w:rPr>
            </w:r>
            <w:r>
              <w:rPr>
                <w:b w:val="0"/>
                <w:sz w:val="18"/>
              </w:rPr>
              <w:t>RRR 1.43 / 1.34 / 1.25</w:t>
            </w:r>
          </w:p>
        </w:tc>
        <w:tc>
          <w:tcPr>
            <w:tcW w:type="dxa" w:w="3249"/>
          </w:tcPr>
          <w:p>
            <w:r>
              <w:rPr>
                <w:b w:val="0"/>
                <w:sz w:val="18"/>
              </w:rPr>
            </w:r>
            <w:r>
              <w:rPr>
                <w:b w:val="0"/>
                <w:sz w:val="18"/>
              </w:rPr>
              <w:t>Verified</w:t>
            </w:r>
          </w:p>
        </w:tc>
      </w:tr>
      <w:tr>
        <w:tc>
          <w:tcPr>
            <w:tcW w:type="dxa" w:w="3249"/>
            <w:shd w:val="clear" w:color="auto" w:fill="F2F2F2"/>
          </w:tcPr>
          <w:p>
            <w:r>
              <w:rPr>
                <w:b w:val="0"/>
                <w:sz w:val="18"/>
              </w:rPr>
            </w:r>
            <w:r>
              <w:rPr>
                <w:b w:val="0"/>
                <w:sz w:val="18"/>
              </w:rPr>
              <w:t>Pan 2026 (ref 39)</w:t>
            </w:r>
          </w:p>
        </w:tc>
        <w:tc>
          <w:tcPr>
            <w:tcW w:type="dxa" w:w="3249"/>
            <w:shd w:val="clear" w:color="auto" w:fill="F2F2F2"/>
          </w:tcPr>
          <w:p>
            <w:r>
              <w:rPr>
                <w:b w:val="0"/>
                <w:sz w:val="18"/>
              </w:rPr>
            </w:r>
            <w:r>
              <w:rPr>
                <w:b w:val="0"/>
                <w:sz w:val="18"/>
              </w:rPr>
              <w:t>1.12 (1.06 to 1.18); 1.24 (1.15 to 1.34); UK Biobank validation</w:t>
            </w:r>
          </w:p>
        </w:tc>
        <w:tc>
          <w:tcPr>
            <w:tcW w:type="dxa" w:w="3249"/>
            <w:shd w:val="clear" w:color="auto" w:fill="F2F2F2"/>
          </w:tcPr>
          <w:p>
            <w:r>
              <w:rPr>
                <w:b w:val="0"/>
                <w:sz w:val="18"/>
              </w:rPr>
            </w:r>
            <w:r>
              <w:rPr>
                <w:b w:val="0"/>
                <w:sz w:val="18"/>
              </w:rPr>
              <w:t>Verified (UKB n = 13,702)</w:t>
            </w:r>
          </w:p>
        </w:tc>
      </w:tr>
      <w:tr>
        <w:tc>
          <w:tcPr>
            <w:tcW w:type="dxa" w:w="3249"/>
          </w:tcPr>
          <w:p>
            <w:r>
              <w:rPr>
                <w:b w:val="0"/>
                <w:sz w:val="18"/>
              </w:rPr>
            </w:r>
            <w:r>
              <w:rPr>
                <w:b w:val="0"/>
                <w:sz w:val="18"/>
              </w:rPr>
              <w:t>McKay 2022 (ref 28)</w:t>
            </w:r>
          </w:p>
        </w:tc>
        <w:tc>
          <w:tcPr>
            <w:tcW w:type="dxa" w:w="3249"/>
          </w:tcPr>
          <w:p>
            <w:r>
              <w:rPr>
                <w:b w:val="0"/>
                <w:sz w:val="18"/>
              </w:rPr>
            </w:r>
            <w:r>
              <w:rPr>
                <w:b w:val="0"/>
                <w:sz w:val="18"/>
              </w:rPr>
              <w:t>c 0.67 (0.61 to 0.72)</w:t>
            </w:r>
          </w:p>
        </w:tc>
        <w:tc>
          <w:tcPr>
            <w:tcW w:type="dxa" w:w="3249"/>
          </w:tcPr>
          <w:p>
            <w:r>
              <w:rPr>
                <w:b w:val="0"/>
                <w:sz w:val="18"/>
              </w:rPr>
            </w:r>
            <w:r>
              <w:rPr>
                <w:b w:val="0"/>
                <w:sz w:val="18"/>
              </w:rPr>
              <w:t>Verified</w:t>
            </w:r>
          </w:p>
        </w:tc>
      </w:tr>
      <w:tr>
        <w:tc>
          <w:tcPr>
            <w:tcW w:type="dxa" w:w="3249"/>
            <w:shd w:val="clear" w:color="auto" w:fill="F2F2F2"/>
          </w:tcPr>
          <w:p>
            <w:r>
              <w:rPr>
                <w:b w:val="0"/>
                <w:sz w:val="18"/>
              </w:rPr>
            </w:r>
            <w:r>
              <w:rPr>
                <w:b w:val="0"/>
                <w:sz w:val="18"/>
              </w:rPr>
              <w:t>Mourre 2025 (ref 40)</w:t>
            </w:r>
          </w:p>
        </w:tc>
        <w:tc>
          <w:tcPr>
            <w:tcW w:type="dxa" w:w="3249"/>
            <w:shd w:val="clear" w:color="auto" w:fill="F2F2F2"/>
          </w:tcPr>
          <w:p>
            <w:r>
              <w:rPr>
                <w:b w:val="0"/>
                <w:sz w:val="18"/>
              </w:rPr>
            </w:r>
            <w:r>
              <w:rPr>
                <w:b w:val="0"/>
                <w:sz w:val="18"/>
              </w:rPr>
              <w:t>earlier statins, fewer events, null after matching</w:t>
            </w:r>
          </w:p>
        </w:tc>
        <w:tc>
          <w:tcPr>
            <w:tcW w:type="dxa" w:w="3249"/>
            <w:shd w:val="clear" w:color="auto" w:fill="F2F2F2"/>
          </w:tcPr>
          <w:p>
            <w:r>
              <w:rPr>
                <w:b w:val="0"/>
                <w:sz w:val="18"/>
              </w:rPr>
            </w:r>
            <w:r>
              <w:rPr>
                <w:b w:val="0"/>
                <w:sz w:val="18"/>
              </w:rPr>
              <w:t>Verified (Eur J Prev Cardiol)</w:t>
            </w:r>
          </w:p>
        </w:tc>
      </w:tr>
      <w:tr>
        <w:tc>
          <w:tcPr>
            <w:tcW w:type="dxa" w:w="3249"/>
          </w:tcPr>
          <w:p>
            <w:r>
              <w:rPr>
                <w:b w:val="0"/>
                <w:sz w:val="18"/>
              </w:rPr>
            </w:r>
            <w:r>
              <w:rPr>
                <w:b w:val="0"/>
                <w:sz w:val="18"/>
              </w:rPr>
              <w:t>Bogsrud 2025 (ref 85)</w:t>
            </w:r>
          </w:p>
        </w:tc>
        <w:tc>
          <w:tcPr>
            <w:tcW w:type="dxa" w:w="3249"/>
          </w:tcPr>
          <w:p>
            <w:r>
              <w:rPr>
                <w:b w:val="0"/>
                <w:sz w:val="18"/>
              </w:rPr>
            </w:r>
            <w:r>
              <w:rPr>
                <w:b w:val="0"/>
                <w:sz w:val="18"/>
              </w:rPr>
              <w:t>1.26 vs 1.18 mmol/L, p = 0.552</w:t>
            </w:r>
          </w:p>
        </w:tc>
        <w:tc>
          <w:tcPr>
            <w:tcW w:type="dxa" w:w="3249"/>
          </w:tcPr>
          <w:p>
            <w:r>
              <w:rPr>
                <w:b w:val="0"/>
                <w:sz w:val="18"/>
              </w:rPr>
            </w:r>
            <w:r>
              <w:rPr>
                <w:b w:val="0"/>
                <w:sz w:val="18"/>
              </w:rPr>
              <w:t>Verified; contrast is within 61 FH newborns, not 113 (P17)</w:t>
            </w:r>
          </w:p>
        </w:tc>
      </w:tr>
      <w:tr>
        <w:tc>
          <w:tcPr>
            <w:tcW w:type="dxa" w:w="3249"/>
            <w:shd w:val="clear" w:color="auto" w:fill="F2F2F2"/>
          </w:tcPr>
          <w:p>
            <w:r>
              <w:rPr>
                <w:b w:val="0"/>
                <w:sz w:val="18"/>
              </w:rPr>
            </w:r>
            <w:r>
              <w:rPr>
                <w:b w:val="0"/>
                <w:sz w:val="18"/>
              </w:rPr>
              <w:t>Trinder 2024 (ref 41)</w:t>
            </w:r>
          </w:p>
        </w:tc>
        <w:tc>
          <w:tcPr>
            <w:tcW w:type="dxa" w:w="3249"/>
            <w:shd w:val="clear" w:color="auto" w:fill="F2F2F2"/>
          </w:tcPr>
          <w:p>
            <w:r>
              <w:rPr>
                <w:b w:val="0"/>
                <w:sz w:val="18"/>
              </w:rPr>
            </w:r>
            <w:r>
              <w:rPr>
                <w:b w:val="0"/>
                <w:sz w:val="18"/>
              </w:rPr>
              <w:t>clinical FH higher LDL-C, more ASCVD, different polygenic background</w:t>
            </w:r>
          </w:p>
        </w:tc>
        <w:tc>
          <w:tcPr>
            <w:tcW w:type="dxa" w:w="3249"/>
            <w:shd w:val="clear" w:color="auto" w:fill="F2F2F2"/>
          </w:tcPr>
          <w:p>
            <w:r>
              <w:rPr>
                <w:b w:val="0"/>
                <w:sz w:val="18"/>
              </w:rPr>
            </w:r>
            <w:r>
              <w:rPr>
                <w:b w:val="0"/>
                <w:sz w:val="18"/>
              </w:rPr>
              <w:t>Verified</w:t>
            </w:r>
          </w:p>
        </w:tc>
      </w:tr>
      <w:tr>
        <w:tc>
          <w:tcPr>
            <w:tcW w:type="dxa" w:w="3249"/>
          </w:tcPr>
          <w:p>
            <w:r>
              <w:rPr>
                <w:b w:val="0"/>
                <w:sz w:val="18"/>
              </w:rPr>
            </w:r>
            <w:r>
              <w:rPr>
                <w:b w:val="0"/>
                <w:sz w:val="18"/>
              </w:rPr>
              <w:t>Weng 2019 (ref 43)</w:t>
            </w:r>
          </w:p>
        </w:tc>
        <w:tc>
          <w:tcPr>
            <w:tcW w:type="dxa" w:w="3249"/>
          </w:tcPr>
          <w:p>
            <w:r>
              <w:rPr>
                <w:b w:val="0"/>
                <w:sz w:val="18"/>
              </w:rPr>
            </w:r>
            <w:r>
              <w:rPr>
                <w:b w:val="0"/>
                <w:sz w:val="18"/>
              </w:rPr>
              <w:t>low PPV</w:t>
            </w:r>
          </w:p>
        </w:tc>
        <w:tc>
          <w:tcPr>
            <w:tcW w:type="dxa" w:w="3249"/>
          </w:tcPr>
          <w:p>
            <w:r>
              <w:rPr>
                <w:b w:val="0"/>
                <w:sz w:val="18"/>
              </w:rPr>
            </w:r>
            <w:r>
              <w:rPr>
                <w:b w:val="0"/>
                <w:sz w:val="18"/>
              </w:rPr>
              <w:t>Verified (PPV 0.84%)</w:t>
            </w:r>
          </w:p>
        </w:tc>
      </w:tr>
      <w:tr>
        <w:tc>
          <w:tcPr>
            <w:tcW w:type="dxa" w:w="3249"/>
            <w:shd w:val="clear" w:color="auto" w:fill="F2F2F2"/>
          </w:tcPr>
          <w:p>
            <w:r>
              <w:rPr>
                <w:b w:val="0"/>
                <w:sz w:val="18"/>
              </w:rPr>
            </w:r>
            <w:r>
              <w:rPr>
                <w:b w:val="0"/>
                <w:sz w:val="18"/>
              </w:rPr>
              <w:t>Genedy 2026 TUDOR (ref 21)</w:t>
            </w:r>
          </w:p>
        </w:tc>
        <w:tc>
          <w:tcPr>
            <w:tcW w:type="dxa" w:w="3249"/>
            <w:shd w:val="clear" w:color="auto" w:fill="F2F2F2"/>
          </w:tcPr>
          <w:p>
            <w:r>
              <w:rPr>
                <w:b w:val="0"/>
                <w:sz w:val="18"/>
              </w:rPr>
            </w:r>
            <w:r>
              <w:rPr>
                <w:b w:val="0"/>
                <w:sz w:val="18"/>
              </w:rPr>
              <w:t>title "ascertainment-aware"; AUC 0.760 vs 0.652 / 0.600 / 0.569 / 0.524</w:t>
            </w:r>
          </w:p>
        </w:tc>
        <w:tc>
          <w:tcPr>
            <w:tcW w:type="dxa" w:w="3249"/>
            <w:shd w:val="clear" w:color="auto" w:fill="F2F2F2"/>
          </w:tcPr>
          <w:p>
            <w:r>
              <w:rPr>
                <w:b w:val="0"/>
                <w:sz w:val="18"/>
              </w:rPr>
            </w:r>
            <w:r>
              <w:rPr>
                <w:b w:val="0"/>
                <w:sz w:val="18"/>
              </w:rPr>
              <w:t>Verified; "Index Effect" not in title or abstract (P18)</w:t>
            </w:r>
          </w:p>
        </w:tc>
      </w:tr>
      <w:tr>
        <w:tc>
          <w:tcPr>
            <w:tcW w:type="dxa" w:w="3249"/>
          </w:tcPr>
          <w:p>
            <w:r>
              <w:rPr>
                <w:b w:val="0"/>
                <w:sz w:val="18"/>
              </w:rPr>
            </w:r>
            <w:r>
              <w:rPr>
                <w:b w:val="0"/>
                <w:sz w:val="18"/>
              </w:rPr>
              <w:t>Genedy 2026 Atheroscler Plus (ref 82)</w:t>
            </w:r>
          </w:p>
        </w:tc>
        <w:tc>
          <w:tcPr>
            <w:tcW w:type="dxa" w:w="3249"/>
          </w:tcPr>
          <w:p>
            <w:r>
              <w:rPr>
                <w:b w:val="0"/>
                <w:sz w:val="18"/>
              </w:rPr>
            </w:r>
            <w:r>
              <w:rPr>
                <w:b w:val="0"/>
                <w:sz w:val="18"/>
              </w:rPr>
              <w:t>"dual external validation in 4,028 cases"</w:t>
            </w:r>
          </w:p>
        </w:tc>
        <w:tc>
          <w:tcPr>
            <w:tcW w:type="dxa" w:w="3249"/>
          </w:tcPr>
          <w:p>
            <w:r>
              <w:rPr>
                <w:b w:val="0"/>
                <w:sz w:val="18"/>
              </w:rPr>
            </w:r>
            <w:r>
              <w:rPr>
                <w:b w:val="0"/>
                <w:sz w:val="18"/>
              </w:rPr>
              <w:t>Could not verify (P19)</w:t>
            </w:r>
          </w:p>
        </w:tc>
      </w:tr>
    </w:tbl>
    <w:p/>
    <w:p>
      <w:pPr>
        <w:spacing w:after="120"/>
      </w:pPr>
      <w:r>
        <w:t>Practical rule for the room: the verified numbers may be quoted as fact; the four nuanced items should be quoted in the corrected form given in Part 1; reference 82 should be quoted only as "my abstract states".</w:t>
      </w:r>
    </w:p>
    <w:p>
      <w:pPr>
        <w:pStyle w:val="Heading1"/>
      </w:pPr>
      <w:r>
        <w:t>Part 11. Likely examiner verdict and what would convert it</w:t>
      </w:r>
    </w:p>
    <w:p>
      <w:pPr>
        <w:spacing w:after="120"/>
      </w:pPr>
      <w:r>
        <w:rPr>
          <w:b/>
        </w:rPr>
        <w:t>Likely annual-review verdict:</w:t>
      </w:r>
      <w:r>
        <w:t xml:space="preserve"> satisfactory progress with required corrections before submission. The thesis is unusually candid, its evidence-tiering is a strength, and the grading result in Section 7.7 is a clean, clinically legible finding. An examiner will, however, record five concerns:</w:t>
      </w:r>
    </w:p>
    <w:p>
      <w:pPr>
        <w:pStyle w:val="ListNumber"/>
      </w:pPr>
      <w:r>
        <w:t>The TUDOR description-object discrepancy is disclosed but not corrected in the literature.</w:t>
      </w:r>
    </w:p>
    <w:p>
      <w:pPr>
        <w:pStyle w:val="ListNumber"/>
      </w:pPr>
      <w:r>
        <w:t>Neither prognostic model has an untouched validation cohort, and the registry fit rests on 28 events.</w:t>
      </w:r>
    </w:p>
    <w:p>
      <w:pPr>
        <w:pStyle w:val="ListNumber"/>
      </w:pPr>
      <w:r>
        <w:t>The within-pedigree result is convention-dependent and has moved across manuscript versions.</w:t>
      </w:r>
    </w:p>
    <w:p>
      <w:pPr>
        <w:pStyle w:val="ListNumber"/>
      </w:pPr>
      <w:r>
        <w:t>Several UK Biobank values are retained aggregates that cannot be re-verified.</w:t>
      </w:r>
    </w:p>
    <w:p>
      <w:pPr>
        <w:pStyle w:val="ListNumber"/>
      </w:pPr>
      <w:r>
        <w:t>The novelty statements rest on an incomplete search with AI-assisted, unduplicated screening.</w:t>
      </w:r>
    </w:p>
    <w:p>
      <w:pPr>
        <w:spacing w:after="120"/>
      </w:pPr>
      <w:r>
        <w:rPr>
          <w:b/>
        </w:rPr>
        <w:t>What converts concern to credit:</w:t>
      </w:r>
      <w:r>
        <w:t xml:space="preserve"> a corrigendum request lodged; a family-grouped Welsh bootstrap for TUDOR and an interval for CALON-5 over age and sex, both computable from the registry; Part 1 inconsistencies fixed; a dated plan for RAP re-verification or a formal statement that it is closed; and the Embase search logged.</w:t>
      </w:r>
    </w:p>
    <w:p>
      <w:pPr>
        <w:spacing w:after="120"/>
      </w:pPr>
      <w:r>
        <w:rPr>
          <w:b/>
        </w:rPr>
        <w:t>Sentence to close the viva with, if asked for one:</w:t>
      </w:r>
      <w:r>
        <w:t xml:space="preserve"> "LDL-C remains indispensable; what this thesis shows, with numbers, is what must travel with it, and where its own models stop."</w:t>
      </w:r>
    </w:p>
    <w:p>
      <w:pPr>
        <w:spacing w:after="120"/>
      </w:pPr>
      <w:r>
        <w:rPr>
          <w:i/>
        </w:rPr>
        <w:t>Prepared as a preparation document for the candidate. Every figure above is quoted from MD_SUBMISSION_v3_FINAL.docx at the section cited; none was generated or re-estimated. Items in Part 1 are the author's findings from reading and should be checked against the source manuscripts (Paper 14 R4; CALON r7) before any edit.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