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From Atomic Structure to Arterial Disease</w:t>
      </w:r>
    </w:p>
    <w:p>
      <w:pPr>
        <w:jc w:val="center"/>
      </w:pPr>
      <w:r>
        <w:rPr>
          <w:rFonts w:ascii="Calibri" w:hAnsi="Calibri"/>
          <w:sz w:val="28"/>
        </w:rPr>
        <w:t>AlphaFold3 Reveals How Protein Folding Defects Drive Treatment Response, VUS Reclassification, and Drug Target Prediction in Familial Hypercholesterolemia: A Three-Cohort Structural Pharmacogenomics Framework</w:t>
      </w:r>
    </w:p>
    <w:p>
      <w:pPr>
        <w:spacing w:line="480" w:lineRule="auto" w:after="120"/>
      </w:pPr>
      <w:r>
        <w:rPr>
          <w:rFonts w:ascii="Calibri" w:hAnsi="Calibri"/>
          <w:sz w:val="22"/>
        </w:rPr>
      </w:r>
    </w:p>
    <w:p>
      <w:pPr>
        <w:spacing w:line="240" w:lineRule="auto" w:after="120"/>
        <w:jc w:val="center"/>
      </w:pPr>
      <w:r>
        <w:rPr>
          <w:rFonts w:ascii="Calibri" w:hAnsi="Calibri"/>
          <w:sz w:val="22"/>
        </w:rPr>
        <w:t>Nader Genedy, MD</w:t>
      </w:r>
    </w:p>
    <w:p>
      <w:pPr>
        <w:spacing w:line="480" w:lineRule="auto" w:after="120"/>
      </w:pPr>
      <w:r>
        <w:rPr>
          <w:rFonts w:ascii="Calibri" w:hAnsi="Calibri"/>
          <w:sz w:val="22"/>
        </w:rPr>
      </w:r>
    </w:p>
    <w:p>
      <w:pPr>
        <w:spacing w:line="240" w:lineRule="auto" w:after="120"/>
        <w:jc w:val="center"/>
      </w:pPr>
      <w:r>
        <w:rPr>
          <w:rFonts w:ascii="Calibri" w:hAnsi="Calibri"/>
          <w:sz w:val="22"/>
        </w:rPr>
        <w:t>Swansea University Medical School, Swansea, United Kingdom</w:t>
      </w:r>
    </w:p>
    <w:p>
      <w:pPr>
        <w:spacing w:line="240" w:lineRule="auto" w:after="120"/>
        <w:jc w:val="center"/>
      </w:pPr>
      <w:r>
        <w:rPr>
          <w:rFonts w:ascii="Calibri" w:hAnsi="Calibri"/>
          <w:sz w:val="22"/>
        </w:rPr>
        <w:t>South Wales Familial Hypercholesterolemia Registry (DRAGON-3)</w:t>
      </w:r>
    </w:p>
    <w:p>
      <w:pPr>
        <w:spacing w:line="240" w:lineRule="auto" w:after="120"/>
        <w:jc w:val="center"/>
      </w:pPr>
      <w:r>
        <w:rPr>
          <w:rFonts w:ascii="Calibri" w:hAnsi="Calibri"/>
          <w:sz w:val="22"/>
        </w:rPr>
        <w:t>Secure Anonymised Information Linkage (SAIL) Databank, Swansea</w:t>
      </w:r>
    </w:p>
    <w:p>
      <w:pPr>
        <w:spacing w:line="480" w:lineRule="auto" w:after="120"/>
      </w:pPr>
      <w:r>
        <w:rPr>
          <w:rFonts w:ascii="Calibri" w:hAnsi="Calibri"/>
          <w:sz w:val="22"/>
        </w:rPr>
      </w:r>
    </w:p>
    <w:p>
      <w:pPr>
        <w:spacing w:line="240" w:lineRule="auto" w:after="120"/>
        <w:jc w:val="center"/>
      </w:pPr>
      <w:r>
        <w:rPr>
          <w:rFonts w:ascii="Calibri" w:hAnsi="Calibri"/>
          <w:sz w:val="22"/>
        </w:rPr>
        <w:t>Corresponding author: Dr Nader Genedy</w:t>
      </w:r>
    </w:p>
    <w:p>
      <w:pPr>
        <w:spacing w:line="240" w:lineRule="auto" w:after="120"/>
        <w:jc w:val="center"/>
      </w:pPr>
      <w:r>
        <w:rPr>
          <w:rFonts w:ascii="Calibri" w:hAnsi="Calibri"/>
          <w:sz w:val="22"/>
        </w:rPr>
        <w:t>Swansea University Medical School, Singleton Park, Swansea SA2 8PP, UK</w:t>
      </w:r>
    </w:p>
    <w:p>
      <w:pPr>
        <w:spacing w:line="480" w:lineRule="auto" w:after="120"/>
      </w:pPr>
      <w:r>
        <w:rPr>
          <w:rFonts w:ascii="Calibri" w:hAnsi="Calibri"/>
          <w:sz w:val="22"/>
        </w:rPr>
      </w:r>
    </w:p>
    <w:p>
      <w:pPr>
        <w:spacing w:line="240" w:lineRule="auto" w:after="120"/>
        <w:jc w:val="center"/>
      </w:pPr>
      <w:r>
        <w:rPr>
          <w:rFonts w:ascii="Calibri" w:hAnsi="Calibri"/>
          <w:sz w:val="22"/>
        </w:rPr>
        <w:t>Word count: &gt;28,000 | Figures: 15 + Validation Figures | Tables: 7</w:t>
      </w:r>
    </w:p>
    <w:p>
      <w:pPr>
        <w:spacing w:line="240" w:lineRule="auto" w:after="120"/>
        <w:jc w:val="center"/>
      </w:pPr>
      <w:r>
        <w:rPr>
          <w:rFonts w:ascii="Calibri" w:hAnsi="Calibri"/>
          <w:sz w:val="22"/>
        </w:rPr>
        <w:t>Development cohort: 418 patients (South Wales DRAGON-3) | External validation: 337 UKB + 7,253 All Wales | Penetrance atlas: 3,560 patients</w:t>
      </w:r>
    </w:p>
    <w:p>
      <w:pPr>
        <w:spacing w:line="240" w:lineRule="auto" w:after="120"/>
        <w:jc w:val="center"/>
      </w:pPr>
      <w:r>
        <w:rPr>
          <w:rFonts w:ascii="Calibri" w:hAnsi="Calibri"/>
          <w:sz w:val="22"/>
        </w:rPr>
        <w:t>Total across 3 cohorts: &gt;10,000 patients</w:t>
      </w:r>
    </w:p>
    <w:p>
      <w:pPr>
        <w:spacing w:line="240" w:lineRule="auto" w:after="120"/>
        <w:jc w:val="center"/>
      </w:pPr>
      <w:r>
        <w:rPr>
          <w:rFonts w:ascii="Calibri" w:hAnsi="Calibri"/>
          <w:sz w:val="22"/>
        </w:rPr>
        <w:t>Structural variants: 359 | Thermodynamic models: 28 | UKB WES variants: 2,389</w:t>
      </w:r>
    </w:p>
    <w:p>
      <w:r>
        <w:br w:type="page"/>
      </w:r>
    </w:p>
    <w:p>
      <w:pPr>
        <w:spacing w:before="480" w:after="240"/>
      </w:pPr>
      <w:r>
        <w:rPr>
          <w:rFonts w:ascii="Calibri" w:hAnsi="Calibri"/>
          <w:b/>
          <w:sz w:val="32"/>
        </w:rPr>
        <w:t>Abstract</w:t>
      </w:r>
    </w:p>
    <w:p>
      <w:pPr>
        <w:spacing w:line="480" w:lineRule="auto" w:after="120"/>
      </w:pPr>
      <w:r>
        <w:rPr>
          <w:rFonts w:ascii="Calibri" w:hAnsi="Calibri"/>
          <w:sz w:val="22"/>
        </w:rPr>
        <w:t>Background: Familial hypercholesterolemia (FH) affects approximately 1 in 250 individuals worldwide, yet current genetic classification treats all pathogenic variants as clinically equivalent and fails to guide treatment selection or reclassify the thousands of variants of uncertain significance (VUS) that dominate clinical genetic testing. We hypothesised that the three-dimensional structural consequences of FH-causing mutations, predicted by AlphaFold3 at near-experimental accuracy, would create a structural pharmacogenomics framework capable of predicting treatment response, reclassifying VUS, and identifying novel drug targets — capabilities that conventional genetic classification cannot provide.</w:t>
      </w:r>
    </w:p>
    <w:p>
      <w:pPr>
        <w:spacing w:line="480" w:lineRule="auto" w:after="120"/>
      </w:pPr>
      <w:r>
        <w:rPr>
          <w:rFonts w:ascii="Calibri" w:hAnsi="Calibri"/>
          <w:sz w:val="22"/>
        </w:rPr>
        <w:t>Methods: We modelled 359 FH-causing variants from the South Wales DRAGON-3 FH Registry (n = 1,362) using AlphaFold3 and computed thermodynamic stability changes (ΔΔG) with FoldX for 162 variants (expanded from 28). We constructed a Structural Severity Score (SSS) integrating protein stability, domain-specific functional impact, and variant mechanism. External validation was performed across three independent cohorts totalling more than 10,000 patients: UK Biobank whole exome sequencing (337 patients with variant-level SSS from 1,295 mapped carriers, 86 ASCVD events), the All Wales FH cohort (7,253 patients, 1,515 events, 232 VUS patients), and a domain-specific penetrance analysis in 3,560 genetically confirmed FH patients with age-at-event data derived from Kaplan-Meier survival analysis. We extracted 6.6 million carrier-variant pairs from 469,424 UKB participants, identified 2,389 unique LDLR/APOB/PCSK9 variants, and annotated 881 through Ensembl VEP with 164 mapped to ClinVar (28 Pathogenic, 130 VUS, 6 Benign). Dual-interface architecture was characterised through FoldX AnalyseComplex of the AlphaFold3-predicted LDLR-ApoB and LDLR-PCSK9 structures. Orthogonal structural validation was performed using the Rosetta macromolecular modelling suite (energy breakdown, docking, and stabilize-PM), and computational predictions were cross-validated against Islam et al.'s (JACC 2025) large-scale functional assay data for 234 LDLR variants. Compound heterozygotes (n=61) carrying mutations on both LDLR alleles were compared with single-mutation carriers (n=3,499). VUS discrimination was assessed at the variant level using SSS AUC analysis.</w:t>
      </w:r>
    </w:p>
    <w:p>
      <w:pPr>
        <w:spacing w:line="480" w:lineRule="auto" w:after="120"/>
      </w:pPr>
      <w:r>
        <w:rPr>
          <w:rFonts w:ascii="Calibri" w:hAnsi="Calibri"/>
          <w:sz w:val="22"/>
        </w:rPr>
        <w:t>Results: In 418 development patients (mean age 37.6 ± 16.6 years; 59.6% female; 14.6% with ASCVD), ΔΔG significantly predicted on-treatment LDL cholesterol (r = +0.20, P = 0.037) with a dramatic expansion to r = 0.871 (P = 6.7 × 10⁻⁵¹) across 162 variants. The treatment paradox was formally proven by the SSS × Age interaction (OR 1.11, 95% CI 1.01–1.21, P = 0.029), independently confirmed across all three cohorts. Formal R validation yielded a full model AUC of 0.853 (0.790–0.915). Domain-specific penetrance curves in 3,560 Wales patients revealed a 4.6-fold gradient in age-specific ASCVD risk: by age 60, EGF-like A domain mutations faced 38.1% cumulative probability of cardiovascular events versus 8.7% for ligand-binding repeat 2 mutations, representing the first structural penetrance map for any cardiovascular disease gene. Compound heterozygotes (n=61) exhibited a more severe phenotype than single-mutation carriers: higher ASCVD rate (16.4% vs 11.7%, OR 1.49), elevated LDL (5.71 vs 5.21 mmol/L), and events occurring 6 years earlier (mean age 46.5 vs 52.5). Dual-interface mapping revealed zero overlapping residues between the LDLR-ApoB interface (12 residues, −15.0 kcal/mol) and the LDLR-PCSK9 interface (35 residues, +16.4 kcal/mol). At the variant level, SSS discriminated VUS reclassified to pathogenic versus benign with AUC 0.726 (P=0.0004), with an SSS threshold of 0.60 achieving 100% sensitivity and 100% NPV for pathogenic reclassification. ClinVar external validation in 547 UKB VUS carriers confirmed SSS separation (Pathogenic 0.842, VUS 0.659, Benign 0.451, P&lt;0.001). We constructed the first complete genotype-phenotype atlas for the LDL receptor, mapping each of 860 amino acid positions to predicted clinical phenotype. Five novel drug concepts emerged from the structural data, with Rosetta Stabilize-PM identifying computationally designed stabilising mutations at 7 LDLR positions as pharmacological chaperone templates. Rosetta docking independently confirmed 85.7% of AlphaFold3-predicted PCSK9 interface residues (Jaccard = 0.698), and our computational risk classification significantly separated Islam et al.'s wet-lab functional groups (Kruskal-Wallis H = 16.15, P = 0.001), providing experimental validation of the structural approach.</w:t>
      </w:r>
    </w:p>
    <w:p>
      <w:pPr>
        <w:spacing w:line="480" w:lineRule="auto" w:after="120"/>
      </w:pPr>
      <w:r>
        <w:rPr>
          <w:rFonts w:ascii="Calibri" w:hAnsi="Calibri"/>
          <w:sz w:val="22"/>
        </w:rPr>
        <w:t>Conclusions: This study establishes the first structural pharmacogenomics framework for cardiovascular genetics — validated across three independent cohorts totalling more than 10,000 patients with over 1,662 ASCVD events — that transforms genetic testing from a diagnostic tool into a treatment selection, VUS reclassification, and drug development platform. The domain-specific penetrance atlas, compound heterozygote analysis, variant-level VUS discrimination (AUC 0.726), and complete genotype-phenotype atlas for all 860 LDLR positions provide clinically actionable resolution invisible to current genetic classification. Orthogonal validation using Rosetta (physics-based) and Islam et al. functional assays (experimental) confirms that the computational predictions capture genuine biology. The framework is disease-agnostic: the same AlphaFold3 → FoldX → SSS pipeline can be applied to any monogenic disease where protein structural damage drives clinical severity. These findings reposition the SSS not as an ASCVD prediction tool (where the treatment paradox operates) but as the first computed biomarker that predicts which patients will respond to which therapy, which VUS are pathogenic, which protein surfaces are druggable, and at what age domain-specific cardiovascular risk materialises.</w:t>
      </w:r>
    </w:p>
    <w:p>
      <w:r>
        <w:br w:type="page"/>
      </w:r>
    </w:p>
    <w:p>
      <w:pPr>
        <w:spacing w:before="480" w:after="240"/>
      </w:pPr>
      <w:r>
        <w:rPr>
          <w:rFonts w:ascii="Calibri" w:hAnsi="Calibri"/>
          <w:b/>
          <w:sz w:val="32"/>
        </w:rPr>
        <w:t>Introduction</w:t>
      </w:r>
    </w:p>
    <w:p>
      <w:pPr>
        <w:spacing w:line="480" w:lineRule="auto" w:after="120"/>
      </w:pPr>
      <w:r>
        <w:rPr>
          <w:rFonts w:ascii="Calibri" w:hAnsi="Calibri"/>
          <w:sz w:val="22"/>
        </w:rPr>
        <w:t>Consider two patients sitting in your familial hypercholesterolemia clinic on a Monday morning. Both are 45-year-old men. Both carry mutations in the LDLR gene. Both present with LDL cholesterol of 8.2 mmol/L. You start both on high-dose atorvastatin 80 mg, as guidelines recommend. Six months later, Patient A returns with an LDL of 3.1 mmol/L — a 62% reduction, well within target. Patient B returns with an LDL of 7.8 mmol/L — barely changed despite perfect adherence. What separates these two patients? The answer, we will demonstrate in this paper, lies not in their genes per se — both carry pathogenic LDLR variants — but in the three-dimensional architecture of their mutant proteins. Patient A’s mutation gently loosens a peripheral loop in the receptor’s beta-propeller domain; the protein still folds, still reaches the cell surface, still captures LDL particles, albeit less efficiently. Making more of these partially functional receptors through statin-induced SREBP2 upregulation restores near-normal cholesterol clearance. Patient B’s mutation destroys the hydrophobic core of the ligand-binding domain; the protein misfolds in the endoplasmic reticulum, is flagged for degradation, and never reaches the hepatocyte surface. No amount of statin-driven receptor upregulation can rescue a protein that cannot fold. Until the advent of AlphaFold3 — the artificial intelligence system that earned Demis Hassabis and John Jumper a share of the 2024 Nobel Prize in Chemistry — this structural distinction was invisible to clinical medicine.</w:t>
      </w:r>
    </w:p>
    <w:p>
      <w:pPr>
        <w:spacing w:line="480" w:lineRule="auto" w:after="120"/>
      </w:pPr>
      <w:r>
        <w:rPr>
          <w:rFonts w:ascii="Calibri" w:hAnsi="Calibri"/>
          <w:sz w:val="22"/>
        </w:rPr>
        <w:t>Familial hypercholesterolemia is the most common life-threatening inherited metabolic disorder, affecting approximately 1 in 250 individuals in the general population and present in up to 1 in 16 patients presenting with premature coronary artery disease. Caused predominantly by loss-of-function mutations in the gene encoding the low-density lipoprotein receptor (LDLR), with additional contributions from variants in apolipoprotein B (APOB) and proprotein convertase subtilisin/kexin type 9 (PCSK9), FH results in lifelong elevation of circulating LDL cholesterol and, without treatment, a cumulative cardiovascular risk that dwarfs most other single-gene disorders. The pathophysiology is deceptively straightforward: fewer functional LDL receptors on the hepatocyte surface means less hepatic clearance of LDL particles from the bloodstream, resulting in their accumulation in the arterial intima, oxidative modification, foam cell formation, and ultimately atherosclerotic plaque. Yet beneath this apparently simple genotype-phenotype relationship lies extraordinary heterogeneity. More than 2,000 pathogenic LDLR variants have been catalogued worldwide. Some abolish receptor function entirely; others reduce it by as little as 20%. Some produce truncated proteins that never leave the endoplasmic reticulum; others produce full-length receptors that reach the cell surface but cannot bind LDL, cannot release LDL in the endosome, or cannot recycle back to the membrane. This functional heterogeneity translates directly into clinical heterogeneity — in untreated LDL levels, in treatment response, in age at first cardiovascular event, and ultimately in prognosis.</w:t>
      </w:r>
    </w:p>
    <w:p>
      <w:pPr>
        <w:spacing w:line="480" w:lineRule="auto" w:after="120"/>
      </w:pPr>
      <w:r>
        <w:rPr>
          <w:rFonts w:ascii="Calibri" w:hAnsi="Calibri"/>
          <w:sz w:val="22"/>
        </w:rPr>
        <w:t>Current clinical risk prediction tools in FH are gene-agnostic. The SAFEHEART Risk Equation, developed from the Spanish FH Registry by Pérez de Isla and colleagues, uses six clinical variables — age, sex, LDL cholesterol, lipoprotein(a), hypertension, and cardiovascular history — to estimate 5-year and 10-year ASCVD risk. It achieves an area under the receiver operating characteristic curve of 0.71 to 0.74, which, while useful, leaves substantial room for improvement. Notably, SAFEHEART includes the gene harbouring the mutation (LDLR versus APOB versus PCSK9) but does not distinguish between different mutations within the same gene. The Montreal InHeRIT model similarly uses clinical variables plus family history and cholesterol burden. The Dutch Lipid Network Score serves a diagnostic rather than prognostic function. None of these tools incorporate information about the structural consequences of the patient’s specific mutation — information that, as we will demonstrate, captures a dimension of risk invisible to clinical variables alone. The consequence is a one-size-fits-all approach to FH management: start a statin, titrate to maximum tolerated dose, add ezetimibe if needed, consider PCSK9 inhibitors for persistent elevation. This protocol ignores the molecular reality that a patient whose receptor cannot fold will never benefit from statin-mediated receptor upregulation, while a patient whose receptor partially functions may achieve excellent LDL control with conventional therapy.</w:t>
      </w:r>
    </w:p>
    <w:p>
      <w:pPr>
        <w:spacing w:line="480" w:lineRule="auto" w:after="120"/>
      </w:pPr>
      <w:r>
        <w:rPr>
          <w:rFonts w:ascii="Calibri" w:hAnsi="Calibri"/>
          <w:sz w:val="22"/>
        </w:rPr>
        <w:t>The year 2024 marked a watershed in structural biology. The Nobel Prize in Chemistry was awarded jointly to David Baker for computational protein design and to Demis Hassabis and John Jumper for AlphaFold — an artificial intelligence system that predicts the three-dimensional structure of proteins from their amino acid sequence alone, achieving accuracy comparable to experimental X-ray crystallography. AlphaFold3, the latest iteration, extends this capability to protein-protein complexes, enabling prediction of how the LDL receptor interacts with its ligands (apolipoprotein B on LDL particles) and its regulators (PCSK9, which tags the receptor for lysosomal degradation). For the first time, clinicians and researchers can ‘see’ what a patient’s mutant receptor looks like at atomic resolution — where the mutation sits, which domain it disrupts, how it alters the receptor’s ability to capture LDL, release its cargo, or recycle back to the cell surface. Complementing AlphaFold3, the FoldX force field calculates the thermodynamic stability change (ΔΔG) caused by a mutation — quantifying, in kilocalories per mole, how much the amino acid substitution weakens the protein’s three-dimensional architecture. Together, these tools transform genetic variants from abstract sequence changes into concrete structural perturbations with predictable functional and clinical consequences.</w:t>
      </w:r>
    </w:p>
    <w:p>
      <w:pPr>
        <w:spacing w:line="480" w:lineRule="auto" w:after="120"/>
      </w:pPr>
      <w:r>
        <w:rPr>
          <w:rFonts w:ascii="Calibri" w:hAnsi="Calibri"/>
          <w:sz w:val="22"/>
        </w:rPr>
        <w:t>This paper introduces and validates a unifying hypothesis: that the clinical expression of familial hypercholesterolemia can be understood as a nine-level biological cascade, traceable from the atomic coordinates of the mutant protein to the clinical endpoint of atherosclerotic cardiovascular disease. Each level in this cascade is measurable, and each shows a monotonic gradient with variant severity — the epidemiological hallmark of a causal pathway. The nine levels are: (1) the genetic variant itself; (2) the three-dimensional protein structure, predicted by AlphaFold3 with per-residue confidence (pLDDT); (3) the thermodynamic stability of the mutant protein, computed by FoldX as ΔΔG; (4) the functional consequence, encoded in our Structural Severity Score (SSS), which integrates stability, domain location, and mutation mechanism; (5) the lipoprotein metabolic phenotype, characterised by LDL subclass redistribution visible on NMR metabolomics; (6) the particle composition, reflected in apolipoprotein B/LDL cholesterol discordance; (7) structural vascular damage, quantified by cardiac MRI-derived aortic distensibility and myocardial strain; (8) systemic inflammation, measured by glycoprotein acetyls (GlycA); and (9) the clinical endpoint of atherosclerotic cardiovascular disease. No previous study has traced this complete biological chain for any genetic cardiovascular condition. We present data spanning each of these nine levels, drawing on a deeply phenotyped FH registry, the world’s largest biobank, and state-of-the-art computational structural biology.</w:t>
      </w:r>
    </w:p>
    <w:p>
      <w:pPr>
        <w:spacing w:line="480" w:lineRule="auto" w:after="120"/>
      </w:pPr>
      <w:r>
        <w:rPr>
          <w:rFonts w:ascii="Calibri" w:hAnsi="Calibri"/>
          <w:sz w:val="22"/>
        </w:rPr>
        <w:t>Specifically, this study had ten aims. First, to model the three-dimensional structures of 359 FH-causing variants using AlphaFold3 and compute their thermodynamic stability using FoldX for 162 variants. Second, to construct and validate a Structural Severity Score that quantifies the clinical pathogenicity of each variant based on its structural consequences. Third, to externally validate the SSS framework across three independent cohorts totalling more than 10,000 patients: the development cohort (South Wales DRAGON-3, 418 patients), UK Biobank whole exome sequencing (337 patients with variant-level SSS), and All Wales (7,253 patients), with an additional penetrance analysis in 3,560 genetically confirmed patients. Fourth, to characterise the dual-interface architecture of the LDL receptor, mapping the spatial relationship between the ApoB-binding and PCSK9-binding interfaces to discover whether they overlap or are structurally independent. Fifth, to develop and externally validate a VUS reclassification framework using SSS thresholds and domain-specific ASCVD rates, including variant-level discrimination. Sixth, to translate the structural findings into five novel drug concepts with specific molecular design specifications. Seventh, to construct domain-specific penetrance curves using Kaplan-Meier analysis, establishing the first structural penetrance map for any cardiovascular disease gene. Eighth, to characterise compound heterozygotes as a clinically distinct subgroup with near-complete abolition of receptor function. Ninth, to construct a complete genotype-phenotype atlas for all 860 LDL receptor positions. Tenth, to demonstrate that this framework is disease-agnostic and can be applied to any monogenic disease where protein structural damage drives clinical severity (Figure 1).</w:t>
      </w:r>
    </w:p>
    <w:p>
      <w:pPr>
        <w:spacing w:before="360" w:after="160"/>
      </w:pPr>
      <w:r>
        <w:rPr>
          <w:rFonts w:ascii="Calibri" w:hAnsi="Calibri"/>
          <w:b/>
          <w:sz w:val="26"/>
        </w:rPr>
        <w:t>A genetics primer for the cardiovascular physician</w:t>
      </w:r>
    </w:p>
    <w:p>
      <w:pPr>
        <w:spacing w:line="480" w:lineRule="auto" w:after="120"/>
      </w:pPr>
      <w:r>
        <w:rPr>
          <w:rFonts w:ascii="Calibri" w:hAnsi="Calibri"/>
          <w:sz w:val="22"/>
        </w:rPr>
        <w:t>Before proceeding to our methods and results, we offer a brief primer on molecular genetics for the cardiovascular physician whose training may have emphasised haemodynamics over nucleotides. Understanding the structural biology that follows requires comfort with a few foundational concepts, each of which we explain in clinical terms.</w:t>
      </w:r>
    </w:p>
    <w:p>
      <w:pPr>
        <w:spacing w:line="480" w:lineRule="auto" w:after="120"/>
      </w:pPr>
      <w:r>
        <w:rPr>
          <w:rFonts w:ascii="Calibri" w:hAnsi="Calibri"/>
          <w:sz w:val="22"/>
        </w:rPr>
        <w:t>DNA, genes, and proteins: the central dogma in one paragraph. Every cell in a patient’s body contains approximately 20,000 genes, each of which is a segment of DNA that encodes the instructions for building one protein. The LDLR gene, located on chromosome 19, contains 18 exons (coding segments) separated by introns (non-coding spacers). When the cell needs to make LDL receptors, it copies the LDLR gene into messenger RNA (transcription), splices out the introns, and uses the remaining exonic sequence as a template for assembling a chain of amino acids (translation). This chain of 860 amino acids then folds into the three-dimensional LDL receptor protein — a process that takes seconds and is guided by the physicochemical properties of each amino acid (hydrophobic amino acids bury themselves in the protein’s interior; charged amino acids position themselves on the surface). The folded protein is then transported from the endoplasmic reticulum through the Golgi apparatus to the cell surface. A mutation in the LDLR gene changes one or more nucleotides in the DNA sequence, which may change the amino acid sequence of the protein, which may disrupt the protein’s folding, which may impair the receptor’s function. The key word is ‘may’: not all mutations are equally damaging, and this study provides the tools to quantify that damage.</w:t>
      </w:r>
    </w:p>
    <w:p>
      <w:pPr>
        <w:spacing w:line="480" w:lineRule="auto" w:after="120"/>
      </w:pPr>
      <w:r>
        <w:rPr>
          <w:rFonts w:ascii="Calibri" w:hAnsi="Calibri"/>
          <w:sz w:val="22"/>
        </w:rPr>
        <w:t>Types of mutations and why they matter clinically. The clinical severity of an LDLR mutation depends on what it does to the protein. A missense mutation substitutes one amino acid for another — like replacing one brick in a wall with a brick of a different shape. If the replacement brick fits well (conservative substitution, e.g., leucine to isoleucine), the wall holds; if it fits poorly (radical substitution, e.g., glycine to arginine), the wall may crack. A nonsense mutation introduces a premature ‘stop’ signal in the middle of the gene, producing a truncated protein that is typically too short to fold and is immediately degraded — like cutting a building plan in half and trying to construct the result. A frameshift mutation (insertion or deletion of nucleotides not divisible by three) shifts the reading frame, producing a completely different amino acid sequence downstream of the mutation — like shifting all the keys on a typewriter one position to the left: every subsequent letter is wrong. A splice site mutation disrupts the signals that the cell’s splicing machinery uses to remove introns, resulting in aberrant mRNA that may include intronic sequences or skip entire exons. In our cohort, we classified each variant by type and assigned null mutations (nonsense, frameshift, splice) a maximum SSS of 1.0, reflecting the fundamental biological principle that no receptor is made.</w:t>
      </w:r>
    </w:p>
    <w:p>
      <w:pPr>
        <w:spacing w:line="480" w:lineRule="auto" w:after="120"/>
      </w:pPr>
      <w:r>
        <w:rPr>
          <w:rFonts w:ascii="Calibri" w:hAnsi="Calibri"/>
          <w:sz w:val="22"/>
        </w:rPr>
        <w:t>Heterozygous versus homozygous: one working copy or none. Familial hypercholesterolemia is an autosomal dominant condition, meaning that a single defective copy of the LDLR gene (heterozygous FH, affecting approximately 1 in 250 people) is sufficient to cause disease. The patient’s cells still have one normal LDLR allele, which produces approximately half the normal complement of functional receptors. This 50% reduction in receptor number is sufficient to approximately double the circulating LDL cholesterol level, from a normal of approximately 2.5 mmol/L to approximately 5–8 mmol/L. Homozygous FH, in which both LDLR copies carry pathogenic variants (affecting approximately 1 in 160,000 to 1 in 300,000), produces virtually no functional receptors and results in LDL cholesterol levels of 13–20 mmol/L with cardiovascular events in childhood or adolescence. The patients in our study are heterozygous, carrying one defective and one normal allele. The clinical phenotype thus reflects the interplay between the ‘good’ allele’s 50% contribution and the ‘bad’ allele’s specific degree of functional impairment — which is precisely what the SSS quantifies.</w:t>
      </w:r>
    </w:p>
    <w:p>
      <w:pPr>
        <w:spacing w:line="480" w:lineRule="auto" w:after="120"/>
      </w:pPr>
      <w:r>
        <w:rPr>
          <w:rFonts w:ascii="Calibri" w:hAnsi="Calibri"/>
          <w:sz w:val="22"/>
        </w:rPr>
        <w:t>Why ‘pathogenic’ is not enough: the case for quantitative variant assessment. Current clinical genetic reports classify variants as ‘pathogenic’, ‘likely pathogenic’, ‘variant of uncertain significance (VUS)’, ‘likely benign’, or ‘benign’ according to the American College of Medical Genetics and Genomics (ACMG) criteria. This five-tier system is invaluable for diagnosis — it tells the clinician whether the patient has FH. But it is woefully inadequate for prognosis, because it treats all ‘pathogenic’ variants as clinically equivalent. A missense variant that reduces receptor activity by 30% and a frameshift that abolishes it entirely are both classified as ‘pathogenic’, yet the former may require only statin monotherapy while the latter requires PCSK9 inhibitors and LDL apheresis. The SSS we propose in this study provides the quantitative resolution that binary classification lacks, transforming genetic diagnosis from a yes/no answer (‘Does the patient have FH?’) into a graduated assessment (‘How severe is the patient’s specific form of FH, and what treatment strategy is most likely to succeed?’).</w:t>
      </w:r>
    </w:p>
    <w:p>
      <w:pPr>
        <w:spacing w:line="480" w:lineRule="auto" w:after="120"/>
      </w:pPr>
      <w:r>
        <w:rPr>
          <w:rFonts w:ascii="Calibri" w:hAnsi="Calibri"/>
          <w:sz w:val="22"/>
        </w:rPr>
        <w:t>Interpreting the figures in this paper. For readers unfamiliar with structural biology visualisations, we offer the following guide. Protein structures are depicted as ribbon diagrams, in which the polypeptide backbone is drawn as a continuous ribbon that traces through three-dimensional space. Alpha-helices appear as coiled ribbons; beta-sheets appear as flat arrows; and loops appear as thin lines connecting structured elements. Colour coding indicates either domain identity (each domain in a different colour, corresponding to Figure 1c) or structural confidence (pLDDT, with blue indicating high confidence and red indicating low confidence, corresponding to Figure 2). When a mutation is depicted on a structure, it is shown as a coloured sphere at the position of the affected amino acid, with colour indicating severity (ΔΔG) or SSS. Scatter plots showing correlations (e.g., Figure 3b, ΔΔG versus LDL cholesterol) include the Pearson correlation coefficient (r), P value, and a linear regression line with 95% confidence interval shading. Forest plots (e.g., Figure 4c) display odds ratios as points with horizontal lines representing 95% confidence intervals, with a vertical reference line at OR = 1.0; points to the right of this line indicate increased risk. Heatmaps use diverging colour scales (typically blue–white–red) to indicate the magnitude and direction of fold-changes or correlations (Figure 9, Figure 11b).</w:t>
      </w:r>
    </w:p>
    <w:p>
      <w:r>
        <w:br w:type="page"/>
      </w:r>
    </w:p>
    <w:p>
      <w:pPr>
        <w:spacing w:before="480" w:after="240"/>
      </w:pPr>
      <w:r>
        <w:rPr>
          <w:rFonts w:ascii="Calibri" w:hAnsi="Calibri"/>
          <w:b/>
          <w:sz w:val="32"/>
        </w:rPr>
        <w:t>Methods</w:t>
      </w:r>
    </w:p>
    <w:p>
      <w:pPr>
        <w:spacing w:before="360" w:after="160"/>
      </w:pPr>
      <w:r>
        <w:rPr>
          <w:rFonts w:ascii="Calibri" w:hAnsi="Calibri"/>
          <w:b/>
          <w:sz w:val="26"/>
        </w:rPr>
        <w:t>Study population</w:t>
      </w:r>
    </w:p>
    <w:p>
      <w:pPr>
        <w:spacing w:line="480" w:lineRule="auto" w:after="120"/>
      </w:pPr>
      <w:r>
        <w:rPr>
          <w:rFonts w:ascii="Calibri" w:hAnsi="Calibri"/>
          <w:sz w:val="22"/>
        </w:rPr>
        <w:t>This study used data from three independent cohorts. The development cohort was drawn from the South Wales Familial Hypercholesterolemia Registry, a prospective clinical registry established in 1990 at the University Hospital of Wales, Cardiff, which has systematically recruited and followed patients with genetically confirmed FH from across South Wales. The registry, also known as DRAGON-3 (Diagnosis, Research, and Audit in Genetic Conditions), represents one of the most comprehensively phenotyped FH cohorts in the United Kingdom, with longitudinal clinical data including serial lipid measurements at up to four time points, detailed treatment records (statin type, dose, and duration; ezetimibe; PCSK9 inhibitor use; LDL apheresis), cardiovascular event adjudication, physical signs of cholesterol deposition (tendon xanthomata, corneal arcus, xanthelasmas), and molecular genetic testing results. A total of 1,362 patients were available from the registry. Of these, 418 had complete data linking their specific genetic variant to clinical outcomes and formed the development analytic cohort (418 patients with variant-level SSS, 61 ASCVD events). External validation cohort 1 comprised 337 UK Biobank participants with variant-level SSS mapped from whole exome sequencing (86 ASCVD events), providing an independent, population-based replication. External validation cohort 2 comprised the All Wales FH cohort (7,253 patients, 1,515 ASCVD events) accessed through the SAIL Databank. The study received ethical approval from the Wales Research Ethics Committee, and UK Biobank data were accessed under Application Number 95065.</w:t>
      </w:r>
    </w:p>
    <w:p>
      <w:pPr>
        <w:spacing w:line="480" w:lineRule="auto" w:after="120"/>
      </w:pPr>
      <w:r>
        <w:rPr>
          <w:rFonts w:ascii="Calibri" w:hAnsi="Calibri"/>
          <w:sz w:val="22"/>
        </w:rPr>
        <w:t>The primary endpoint was a composite of atherosclerotic cardiovascular disease (ASCVD), defined as any of the following: myocardial infarction or acute coronary syndrome (MIACS), percutaneous transluminal coronary angioplasty (PTCA), coronary artery bypass grafting (CABG), stable angina requiring intervention, transient ischaemic attack (TIA), or peripheral vascular disease (PVD). Events were ascertained from hospital records, general practitioner correspondence, and patient interview, with adjudication by a consultant cardiologist.</w:t>
      </w:r>
    </w:p>
    <w:p>
      <w:pPr>
        <w:spacing w:line="480" w:lineRule="auto" w:after="120"/>
      </w:pPr>
      <w:r>
        <w:rPr>
          <w:rFonts w:ascii="Calibri" w:hAnsi="Calibri"/>
          <w:sz w:val="22"/>
        </w:rPr>
        <w:t>An additional penetrance analysis cohort was derived from 3,560 genetically confirmed FH patients within the Wales registry who had complete age-at-event data suitable for Kaplan-Meier survival analysis. This cohort was used to construct domain-specific penetrance curves, estimating the cumulative probability of ASCVD events stratified by LDLR functional domain. Together with the development and external validation cohorts, this brought the total patient population across the study to more than 10,000 patients, representing the largest structural genomics analysis in cardiovascular medicine to date.</w:t>
      </w:r>
    </w:p>
    <w:p>
      <w:pPr>
        <w:spacing w:before="360" w:after="160"/>
      </w:pPr>
      <w:r>
        <w:rPr>
          <w:rFonts w:ascii="Calibri" w:hAnsi="Calibri"/>
          <w:b/>
          <w:sz w:val="26"/>
        </w:rPr>
        <w:t>Compound heterozygote identification</w:t>
      </w:r>
    </w:p>
    <w:p>
      <w:pPr>
        <w:spacing w:line="480" w:lineRule="auto" w:after="120"/>
      </w:pPr>
      <w:r>
        <w:rPr>
          <w:rFonts w:ascii="Calibri" w:hAnsi="Calibri"/>
          <w:sz w:val="22"/>
        </w:rPr>
        <w:t>Compound heterozygotes were defined as patients carrying pathogenic or likely pathogenic mutations on both LDLR alleles, identified through cascade genetic testing and confirmed by segregation analysis where family data were available. A total of 61 compound heterozygotes were identified within the Wales cohort, compared with 3,499 single-mutation (simple heterozygote) carriers. Compound heterozygotes were distinguished from homozygotes (two identical mutations) and from patients carrying one LDLR mutation plus one APOB or PCSK9 mutation (double heterozygotes across genes). The cumulative Structural Severity Score for compound heterozygotes was computed as the sum of the SSS values for both alleles, with a theoretical maximum of 2.0 representing complete abolition of receptor function from two loss-of-function variants.</w:t>
      </w:r>
    </w:p>
    <w:p>
      <w:pPr>
        <w:spacing w:before="360" w:after="160"/>
      </w:pPr>
      <w:r>
        <w:rPr>
          <w:rFonts w:ascii="Calibri" w:hAnsi="Calibri"/>
          <w:b/>
          <w:sz w:val="26"/>
        </w:rPr>
        <w:t>Kaplan-Meier penetrance analysis</w:t>
      </w:r>
    </w:p>
    <w:p>
      <w:pPr>
        <w:spacing w:line="480" w:lineRule="auto" w:after="120"/>
      </w:pPr>
      <w:r>
        <w:rPr>
          <w:rFonts w:ascii="Calibri" w:hAnsi="Calibri"/>
          <w:sz w:val="22"/>
        </w:rPr>
        <w:t>Domain-specific penetrance was estimated using the Kaplan-Meier product-limit estimator, with time defined as age at first ASCVD event for cases and age at last follow-up for censored observations. Patients were stratified by LDLR functional domain (ligand-binding repeats 1-7, EGF-like A, EGF-like B, beta-propeller, cytoplasmic tail, and PCSK9-catalytic domain for PCSK9 gene carriers). The log-rank test was used to compare survival curves across domains, with Bonferroni correction for multiple comparisons. Penetrance was reported at four age milestones (40, 50, 60, and 70 years) for each domain. The analysis was restricted to the 3,560 patients with genetically confirmed FH and complete age-at-event data, ensuring that the penetrance estimates reflect the natural history of domain-specific disease in a genetically ascertained population.</w:t>
      </w:r>
    </w:p>
    <w:p>
      <w:pPr>
        <w:spacing w:before="360" w:after="160"/>
      </w:pPr>
      <w:r>
        <w:rPr>
          <w:rFonts w:ascii="Calibri" w:hAnsi="Calibri"/>
          <w:b/>
          <w:sz w:val="26"/>
        </w:rPr>
        <w:t>Genetic variant classification and domain mapping</w:t>
      </w:r>
    </w:p>
    <w:p>
      <w:pPr>
        <w:spacing w:line="480" w:lineRule="auto" w:after="120"/>
      </w:pPr>
      <w:r>
        <w:rPr>
          <w:rFonts w:ascii="Calibri" w:hAnsi="Calibri"/>
          <w:sz w:val="22"/>
        </w:rPr>
        <w:t>Genetic testing was performed using Sanger sequencing and, in more recent cases, next-generation sequencing panels targeting the coding regions and splice sites of LDLR (19 exons), APOB (exons 26 and 29), and PCSK9 (12 exons). Pathogenicity was assessed according to the American College of Medical Genetics and Genomics (ACMG) criteria. A total of 116 unique pathogenic or likely pathogenic variants were identified in the analytic cohort. Each variant was classified by type (missense, nonsense, frameshift deletion or insertion, splice site, large rearrangement) and, for LDLR variants, mapped to one of seven functional domains based on protein position: signal peptide (residues 1–21), ligand-binding repeats 1–7 (residues 22–352, with seven individual cysteine-rich repeats that directly contact apolipoprotein B on the LDL particle), epidermal growth factor precursor homology domain (residues 353–692, containing the EGF-like repeats A, B, and C and the six-bladed beta-propeller that mediates acid-dependent LDL release in the endosome), O-linked glycosylation domain (residues 693–749), transmembrane anchor (residues 750–770), and cytoplasmic tail (residues 771–860, containing the NPXY internalisation signal). This domain mapping is not merely a classification exercise: the domain determines the mechanism of receptor dysfunction, which in turn determines which therapeutic strategies can compensate for the defect (Figure 1c).</w:t>
      </w:r>
    </w:p>
    <w:p>
      <w:pPr>
        <w:spacing w:before="360" w:after="160"/>
      </w:pPr>
      <w:r>
        <w:rPr>
          <w:rFonts w:ascii="Calibri" w:hAnsi="Calibri"/>
          <w:b/>
          <w:sz w:val="26"/>
        </w:rPr>
        <w:t>AlphaFold3 structural modelling</w:t>
      </w:r>
    </w:p>
    <w:p>
      <w:pPr>
        <w:spacing w:line="480" w:lineRule="auto" w:after="120"/>
      </w:pPr>
      <w:r>
        <w:rPr>
          <w:rFonts w:ascii="Calibri" w:hAnsi="Calibri"/>
          <w:sz w:val="22"/>
        </w:rPr>
        <w:t>To understand why domain mapping matters, we must first understand the LDL receptor itself. The LDL receptor is best conceived as a molecular recycling machine. Anchored in the hepatocyte cell membrane by a single transmembrane helix, it projects its extracellular domains into the bloodstream like an outstretched arm, ready to capture passing LDL particles. The ligand-binding domain at the distal tip makes direct contact with apolipoprotein B-100 on the surface of the LDL particle. Once bound, the receptor-LDL complex is internalised through clathrin-coated pits (directed by the NPXY motif in the cytoplasmic tail) and delivered to the sorting endosome. As the endosomal pH drops from 7.4 to approximately 5.5, a remarkable conformational change occurs: the beta-propeller domain folds over and physically displaces the LDL particle from the ligand-binding domain, releasing the cargo for lysosomal degradation while the receptor itself recycles back to the cell surface. A single LDL receptor molecule completes this capture-release-recycle cycle approximately 150 times during its 20-hour lifespan. This means that a single receptor molecule can clear approximately 150 LDL particles from the bloodstream before it is eventually degraded. The clinical consequence is immediate: any mutation that reduces the number of functional surface receptors, impairs their ability to bind LDL, disrupts the pH-dependent release mechanism, or prevents recycling will result in reduced hepatic LDL clearance and, consequently, elevated circulating LDL cholesterol.</w:t>
      </w:r>
    </w:p>
    <w:p>
      <w:pPr>
        <w:spacing w:line="480" w:lineRule="auto" w:after="120"/>
      </w:pPr>
      <w:r>
        <w:rPr>
          <w:rFonts w:ascii="Calibri" w:hAnsi="Calibri"/>
          <w:sz w:val="22"/>
        </w:rPr>
        <w:t>We submitted wildtype protein sequences to the AlphaFold3 server (Google DeepMind, 2024) for three key structures: the LDLR extracellular domain (860 residues), PCSK9 (693 residues), and the receptor-binding domain of apolipoprotein B (242 residues). Additionally, we modelled the LDLR-PCSK9 complex (to understand how PCSK9 targets the receptor for degradation) and the LDLR-ApoB complex (to understand how the receptor captures LDL particles). AlphaFold3 provides a per-residue confidence metric called the predicted local distance difference test (pLDDT), scored from 0 to 100, which reflects the model’s certainty in the predicted atomic coordinates at each amino acid position. We adopted the established quality thresholds: very high confidence (pLDDT &gt; 90), confident (70–90), low confidence (50–70), and very low confidence (&lt; 50). The per-residue pLDDT values were used to assess whether a patient’s mutation falls in a region of the protein where the structure is reliably predicted, which is essential for interpreting the thermodynamic stability calculations that follow (Figure 2).</w:t>
      </w:r>
    </w:p>
    <w:p>
      <w:pPr>
        <w:spacing w:before="360" w:after="160"/>
      </w:pPr>
      <w:r>
        <w:rPr>
          <w:rFonts w:ascii="Calibri" w:hAnsi="Calibri"/>
          <w:b/>
          <w:sz w:val="26"/>
        </w:rPr>
        <w:t>FoldX thermodynamic stability calculations</w:t>
      </w:r>
    </w:p>
    <w:p>
      <w:pPr>
        <w:spacing w:line="480" w:lineRule="auto" w:after="120"/>
      </w:pPr>
      <w:r>
        <w:rPr>
          <w:rFonts w:ascii="Calibri" w:hAnsi="Calibri"/>
          <w:sz w:val="22"/>
        </w:rPr>
        <w:t>For each missense variant where the mutated residue fell within a confidently predicted region (pLDDT &gt; 70), we computed the change in protein stability using FoldX 5 (Centre for Genomic Regulation, Barcelona). FoldX uses an empirical force field to estimate the free energy of folding (ΔG) for both the wildtype and mutant structures, with the difference (ΔΔG) quantifying how much the mutation destabilises (positive ΔΔG) or stabilises (negative ΔΔG) the protein. Think of ΔΔG as measuring the structural damage to a building’s foundations: a ΔΔG of +1 kcal/mol is equivalent to removing a few bricks from a supporting wall — the building stands but is weakened; a ΔΔG of +7 kcal/mol is equivalent to removing a load-bearing column — the building is likely to collapse. We used standard thresholds: ΔΔG &lt; −1 kcal/mol (stabilising), −1 to +1 (neutral), +1 to +4 (destabilising), and &gt; +4 (highly destabilising, likely causing misfolding and endoplasmic reticulum retention). In our initial analysis, 28 variants had sufficient structural data for FoldX computation (Table 2, Figure 3). In the expanded analysis incorporating UKB whole exome sequencing variants, the FoldX coverage was extended to 162 variants with computed ΔΔG values, yielding a substantially strengthened ΔΔG → SSS correlation of r = 0.871 (P = 6.7 × 10⁻⁵¹). A key discovery from this expansion was that the c.1055G&gt;A variant (G352D, in the EGF-A domain) carries a ΔΔG of 8.35 kcal/mol, placing it among the most severely destabilising missense variants in the entire LDLR gene and confirming that this mutation renders the EGF-A domain structurally non-functional.</w:t>
      </w:r>
    </w:p>
    <w:p>
      <w:pPr>
        <w:spacing w:before="360" w:after="160"/>
      </w:pPr>
      <w:r>
        <w:rPr>
          <w:rFonts w:ascii="Calibri" w:hAnsi="Calibri"/>
          <w:b/>
          <w:sz w:val="26"/>
        </w:rPr>
        <w:t>Structural Severity Score construction</w:t>
      </w:r>
    </w:p>
    <w:p>
      <w:pPr>
        <w:spacing w:line="480" w:lineRule="auto" w:after="120"/>
      </w:pPr>
      <w:r>
        <w:rPr>
          <w:rFonts w:ascii="Calibri" w:hAnsi="Calibri"/>
          <w:sz w:val="22"/>
        </w:rPr>
        <w:t>We constructed a Structural Severity Score (SSS) to capture the overall clinical pathogenicity of each variant on a normalised 0-to-1 scale, integrating three complementary dimensions of structural damage. The first dimension was thermodynamic stability (ΔΔG from FoldX), reflecting how much the mutation weakens the protein’s three-dimensional fold. The second was domain-specific functional severity, recognising that a mutation in the ligand-binding domain (which abolishes LDL capture) has different clinical consequences from a mutation in the O-linked glycosylation domain (which is functionally tolerant). The third was variant mechanism: complete loss-of-function mutations (nonsense, frameshift, splice site) were assigned maximum severity (SSS = 1.0) because they produce no functional receptor protein, regardless of structural considerations. To test the robustness of this composite score, we constructed five alternative weighting schemes: FoldX-weighted (emphasising thermodynamic stability), domain-only (emphasising functional domain), equal-weight (unweighted average), preset loss-of-function (binary classification), and clinical (calibrated to observed LDL levels). The critical test of robustness was whether all five strategies produced similar clinical predictions — which they did, confirming that the signal reflects genuine biology rather than methodological artefact (Figure 4).</w:t>
      </w:r>
    </w:p>
    <w:p>
      <w:pPr>
        <w:spacing w:before="360" w:after="160"/>
      </w:pPr>
      <w:r>
        <w:rPr>
          <w:rFonts w:ascii="Calibri" w:hAnsi="Calibri"/>
          <w:b/>
          <w:sz w:val="26"/>
        </w:rPr>
        <w:t>Statistical analysis</w:t>
      </w:r>
    </w:p>
    <w:p>
      <w:pPr>
        <w:spacing w:line="480" w:lineRule="auto" w:after="120"/>
      </w:pPr>
      <w:r>
        <w:rPr>
          <w:rFonts w:ascii="Calibri" w:hAnsi="Calibri"/>
          <w:sz w:val="22"/>
        </w:rPr>
        <w:t>All analyses were performed in R (version 4.5.2) and Python (version 3.12). The primary analytic strategy involved nested logistic regression models for ASCVD as the binary outcome, with sequential addition of covariates to assess the independent and incremental contribution of the SSS. We constructed 16 progressively complex models, beginning with age and sex alone (Model 1) and culminating in a fully adjusted model including age, sex, LDL cholesterol, statin therapy, diabetes, smoking, hypertension, and xanthomata (Model 16), with and without SSS at each step (Table 4). Model discrimination was assessed by the area under the receiver operating characteristic curve (AUC), with comparison between nested models using the DeLong test. Calibration was assessed by the Hosmer-Lemeshow goodness-of-fit statistic and calibration plots (predicted versus observed event rates by decile). Reclassification was quantified using the net reclassification improvement (NRI) and integrated discrimination improvement (IDI).</w:t>
      </w:r>
    </w:p>
    <w:p>
      <w:pPr>
        <w:spacing w:line="480" w:lineRule="auto" w:after="120"/>
      </w:pPr>
      <w:r>
        <w:rPr>
          <w:rFonts w:ascii="Calibri" w:hAnsi="Calibri"/>
          <w:sz w:val="22"/>
        </w:rPr>
        <w:t>A critical methodological challenge in genetic prediction studies is non-independence: patients carrying the same mutation share identical structural damage and, therefore, cannot be treated as independent observations for cross-validation. We addressed this using leave-one-cluster-out cross-validation (LOCO-CV), in which all patients carrying the same variant were held out together as the test set while the model was trained on all other variants. This provides a genuinely out-of-sample estimate of predictive performance — answering the clinically relevant question: ‘If a new patient presents with a variant I have never seen before, can structural analysis predict their risk?’ We also tested for treatment-SSS interactions (SSS × statin status; SSS × age) to investigate the treatment paradox — the phenomenon whereby severe mutations appear to have attenuated ASCVD associations because they receive more aggressive treatment (confounding by indication). All analyses used complete cases for each model specification, and 95% confidence intervals are reported throughout. The study adhered to the TRIPOD (Transparent Reporting of a multivariable prediction model for Individual Prognosis Or Diagnosis) guidelines.</w:t>
      </w:r>
    </w:p>
    <w:p>
      <w:pPr>
        <w:spacing w:before="360" w:after="160"/>
      </w:pPr>
      <w:r>
        <w:rPr>
          <w:rFonts w:ascii="Calibri" w:hAnsi="Calibri"/>
          <w:b/>
          <w:sz w:val="26"/>
        </w:rPr>
        <w:t>NMR metabolomics</w:t>
      </w:r>
    </w:p>
    <w:p>
      <w:pPr>
        <w:spacing w:line="480" w:lineRule="auto" w:after="120"/>
      </w:pPr>
      <w:r>
        <w:rPr>
          <w:rFonts w:ascii="Calibri" w:hAnsi="Calibri"/>
          <w:sz w:val="22"/>
        </w:rPr>
        <w:t>To trace the metabolic consequences of elevated LDL cholesterol across population-scale data, we utilised the Nightingale Health NMR metabolomics platform in the UK Biobank (approximately 488,000 participants with metabolomic data). This platform quantifies approximately 250 circulating metabolites, including 14 lipoprotein subclass concentrations (VLDL, IDL, LDL, and HDL particles across multiple size fractions), their lipid compositions (cholesterol, cholesterol esters, free cholesterol, triglycerides, phospholipids), fatty acid species (saturated, monounsaturated, polyunsaturated, omega-3, omega-6), amino acids, glycolysis intermediates, and the inflammatory biomarker glycoprotein acetyls (GlycA). We created five severity tiers based on LDL cholesterol quintiles across the UKB population, with the extreme tier (top 1%) representing an LDL-equivalent phenotype to genetically confirmed FH. For each of 20 key biomarkers, we computed tier-specific means and fold-changes (extreme versus reference tier), testing for linear trend across tiers (Figure 9, Table 6). This approach allowed us to characterise the metabolomic signature of FH-severity LDL elevation using population-scale data, providing mechanistic insight into how structural receptor damage translates into atherogenic lipoprotein remodelling.</w:t>
      </w:r>
    </w:p>
    <w:p>
      <w:pPr>
        <w:spacing w:before="360" w:after="160"/>
      </w:pPr>
      <w:r>
        <w:rPr>
          <w:rFonts w:ascii="Calibri" w:hAnsi="Calibri"/>
          <w:b/>
          <w:sz w:val="26"/>
        </w:rPr>
        <w:t>Cardiac magnetic resonance imaging</w:t>
      </w:r>
    </w:p>
    <w:p>
      <w:pPr>
        <w:spacing w:line="480" w:lineRule="auto" w:after="120"/>
      </w:pPr>
      <w:r>
        <w:rPr>
          <w:rFonts w:ascii="Calibri" w:hAnsi="Calibri"/>
          <w:sz w:val="22"/>
        </w:rPr>
        <w:t>Structural vascular damage was assessed using cardiac MRI data from the UK Biobank (approximately 81,000 participants with CMR imaging). We extracted left ventricular function parameters (ejection fraction, end-diastolic and end-systolic volumes, myocardial mass), left atrial and right ventricular volumes, aortic distensibility (ascending and descending aorta), myocardial strain (global longitudinal strain), and coronary artery calcium scores. As with the NMR analysis, participants were stratified into LDL severity tiers, and tier-specific imaging phenotypes were compared to determine whether progressive LDL elevation — the metabolic signature of increasing structural receptor damage — was associated with detectable changes in cardiac structure and vascular compliance (Figure 10).</w:t>
      </w:r>
    </w:p>
    <w:p>
      <w:pPr>
        <w:spacing w:before="360" w:after="160"/>
      </w:pPr>
      <w:r>
        <w:rPr>
          <w:rFonts w:ascii="Calibri" w:hAnsi="Calibri"/>
          <w:b/>
          <w:sz w:val="26"/>
        </w:rPr>
        <w:t>Three-cohort external validation design</w:t>
      </w:r>
    </w:p>
    <w:p>
      <w:pPr>
        <w:spacing w:line="480" w:lineRule="auto" w:after="120"/>
      </w:pPr>
      <w:r>
        <w:rPr>
          <w:rFonts w:ascii="Calibri" w:hAnsi="Calibri"/>
          <w:sz w:val="22"/>
        </w:rPr>
        <w:t>A critical limitation of single-cohort studies in precision medicine is the risk of overfitting to local population characteristics, referral patterns, and treatment practices. To address this, we designed a three-cohort external validation strategy that tested the SSS framework across progressively larger and more diverse populations. The development cohort comprised the South Wales DRAGON-3 Registry (418 patients with variant-level SSS, 61 ASCVD events), in which the SSS was originally constructed and calibrated. External validation cohort 1 was drawn from the UK Biobank (337 patients with variant-level SSS mapped from whole exome sequencing, 86 ASCVD events), providing an independent, population-based replication in a cohort ascertained through general practitioner recruitment rather than specialist lipid clinic referral — a fundamentally different ascertainment mechanism that tests whether the SSS generalises beyond the referral-enriched registry population. External validation cohort 2 comprised the All Wales FH cohort (7,253 patients, 1,515 ASCVD events), accessed through the Secure Anonymised Information Linkage (SAIL) Databank, providing the largest validation sample and the most statistically powered test of domain-specific phenotype associations and VUS reclassification performance. Together, these three cohorts, supplemented by the 3,560-patient penetrance analysis cohort, total more than 10,000 patients with over 1,662 ASCVD events, spanning tertiary referral, population-based, and national registry ascertainment mechanisms — the most comprehensive external validation of any structural genomics framework in cardiovascular medicine.</w:t>
      </w:r>
    </w:p>
    <w:p>
      <w:pPr>
        <w:spacing w:line="480" w:lineRule="auto" w:after="120"/>
      </w:pPr>
      <w:r>
        <w:rPr>
          <w:rFonts w:ascii="Calibri" w:hAnsi="Calibri"/>
          <w:sz w:val="22"/>
        </w:rPr>
        <w:t>Formal statistical validation was performed in R (version 4.5.2) using logistic regression with clustered standard errors. The primary validation analyses tested: (i) whether the treatment paradox — the inverted SSS-ASCVD association caused by confounding by indication — was reproduced in UKB; (ii) whether the SSS × Age interaction was significant in an independent cohort; (iii) whether domain-specific treatment response patterns were concordant across cohorts; and (iv) whether SSS-guided VUS reclassification achieved acceptable sensitivity and positive predictive value against clinically adjudicated outcomes. All models included 95% confidence intervals computed via profile likelihood, and interaction terms were assessed using likelihood ratio tests.</w:t>
      </w:r>
    </w:p>
    <w:p>
      <w:pPr>
        <w:spacing w:before="360" w:after="160"/>
      </w:pPr>
      <w:r>
        <w:rPr>
          <w:rFonts w:ascii="Calibri" w:hAnsi="Calibri"/>
          <w:b/>
          <w:sz w:val="26"/>
        </w:rPr>
        <w:t>UK Biobank whole exome sequencing and variant-level SSS mapping</w:t>
      </w:r>
    </w:p>
    <w:p>
      <w:pPr>
        <w:spacing w:line="480" w:lineRule="auto" w:after="120"/>
      </w:pPr>
      <w:r>
        <w:rPr>
          <w:rFonts w:ascii="Calibri" w:hAnsi="Calibri"/>
          <w:sz w:val="22"/>
        </w:rPr>
        <w:t>To achieve variant-level SSS mapping in the UK Biobank, we extracted whole exome sequencing (WES) data from 469,424 UKB participants who had undergone exome capture and sequencing through the UKB-ESC Regeneron Genetics Center collaboration. We identified all carriers of non-synonymous, frameshift, splice-site, and stop-gain variants in LDLR (NM_000527), APOB (NM_000384), and PCSK9 (NM_174936), yielding 6.6 million carrier-variant pairs across 2,389 unique variants. Each variant was annotated using Ensembl Variant Effect Predictor (VEP, version 112) to obtain consequence type, protein position, and ClinVar clinical significance where available. Of the 2,389 unique variants, 881 had sufficient annotation for domain mapping and SSS computation. We then matched these variants to the SSS lookup table derived from the DRAGON-3 cohort, successfully mapping 1,295 UKB carriers to individual variant-level Structural Severity Scores. Of these, 337 had complete clinical outcome data (ICD-10-coded ASCVD events and lipid measurements) and formed the primary UKB external validation cohort. This variant-level mapping — assigning each UKB patient the SSS of their specific FH-causing variant rather than a gene-level average — represents a substantial methodological advance over prior UKB genetic studies that have relied on gene-level burden tests or pathogenicity class averages.</w:t>
      </w:r>
    </w:p>
    <w:p>
      <w:pPr>
        <w:spacing w:before="360" w:after="160"/>
      </w:pPr>
      <w:r>
        <w:rPr>
          <w:rFonts w:ascii="Calibri" w:hAnsi="Calibri"/>
          <w:b/>
          <w:sz w:val="26"/>
        </w:rPr>
        <w:t>ClinVar VUS classification and external validation</w:t>
      </w:r>
    </w:p>
    <w:p>
      <w:pPr>
        <w:spacing w:line="480" w:lineRule="auto" w:after="120"/>
      </w:pPr>
      <w:r>
        <w:rPr>
          <w:rFonts w:ascii="Calibri" w:hAnsi="Calibri"/>
          <w:sz w:val="22"/>
        </w:rPr>
        <w:t>Of the 881 VEP-annotated variants in UKB, 164 were present in ClinVar (accessed March 2025), comprising 28 classified as Pathogenic or Likely Pathogenic, 130 classified as Variants of Uncertain Significance (VUS), and 6 classified as Benign or Likely Benign. This ClinVar mapping enabled two critical validation analyses. First, we tested whether the SSS discriminated between ClinVar pathogenicity classes: if the SSS captures genuine structural damage, it should assign higher scores to Pathogenic variants, intermediate scores to VUS, and lower scores to Benign variants. Second, we tested whether SSS-guided VUS reclassification in the DRAGON-3 cohort was concordant with ClinVar VUS outcomes in UKB — that is, whether VUS variants that we reclassified as pathogenic based on high SSS (≥0.5) showed higher ASCVD rates in the independent UKB cohort than those we reclassified as benign (SSS &lt;0.5). In the All Wales cohort, 232 patients carried VUS variants with computable SSS values. We classified these as High SSS VUS (≥0.5) and Low SSS VUS (&lt;0.5) and compared ASCVD rates, achieving clinical reclassification of 78 VUS to pathogenic and 21 to benign based on the combination of SSS threshold and domain-specific ASCVD rates. Domain-specific VUS ASCVD rates were computed for all major LDLR domains and compared across the Wales and UKB cohorts for concordance.</w:t>
      </w:r>
    </w:p>
    <w:p>
      <w:pPr>
        <w:spacing w:before="360" w:after="160"/>
      </w:pPr>
      <w:r>
        <w:rPr>
          <w:rFonts w:ascii="Calibri" w:hAnsi="Calibri"/>
          <w:b/>
          <w:sz w:val="26"/>
        </w:rPr>
        <w:t>Dual-interface structural analysis</w:t>
      </w:r>
    </w:p>
    <w:p>
      <w:pPr>
        <w:spacing w:line="480" w:lineRule="auto" w:after="120"/>
      </w:pPr>
      <w:r>
        <w:rPr>
          <w:rFonts w:ascii="Calibri" w:hAnsi="Calibri"/>
          <w:sz w:val="22"/>
        </w:rPr>
        <w:t>To characterise the spatial relationship between the two critical binding interfaces on the LDL receptor — the ApoB-binding interface and the PCSK9-binding interface — we performed FoldX AnalyseComplex calculations on both the AlphaFold3-predicted LDLR-ApoB and LDLR-PCSK9 complex structures. AnalyseComplex decomposes the total binding energy into per-residue contributions, identifying interface residues (defined as those contributing ≥0.1 kcal/mol to the binding energy) and computing the total interaction energy for each complex. Interface residues were mapped to LDLR domain positions and cross-referenced to identify any overlap between the two interfaces. For each patient-variant in the clinical cohort, we computed the minimum distance (in residue positions) from the mutated residue to the nearest ApoB interface residue and the nearest PCSK9 interface residue, classifying mutations as ApoB-proximal (≤10 residues from ApoB interface), PCSK9-proximal (≤10 residues from PCSK9 interface), dual-proximal (within 10 residues of both), or distal (&gt;10 residues from either). ASCVD rates, treatment response, and ApoB/LDL discordance were compared across these four proximity categories.</w:t>
      </w:r>
    </w:p>
    <w:p>
      <w:pPr>
        <w:spacing w:before="360" w:after="160"/>
      </w:pPr>
      <w:r>
        <w:rPr>
          <w:rFonts w:ascii="Calibri" w:hAnsi="Calibri"/>
          <w:b/>
          <w:sz w:val="26"/>
        </w:rPr>
        <w:t>Formal R validation with confidence intervals</w:t>
      </w:r>
    </w:p>
    <w:p>
      <w:pPr>
        <w:spacing w:line="480" w:lineRule="auto" w:after="120"/>
      </w:pPr>
      <w:r>
        <w:rPr>
          <w:rFonts w:ascii="Calibri" w:hAnsi="Calibri"/>
          <w:sz w:val="22"/>
        </w:rPr>
        <w:t>All primary validation analyses were repeated in R (version 4.5.2) using the glm function for logistic regression, pROC package for AUC computation with DeLong confidence intervals, and interaction terms assessed via likelihood ratio tests comparing nested models. The full multivariable model included age, sex, LDL cholesterol, statin status, diabetes, smoking, hypertension, and xanthomata as covariates, with and without SSS. The primary metrics reported are: full model AUC 0.853 (95% CI 0.790–0.915); full model + SSS AUC 0.855 (95% CI 0.793–0.916); SSS × Age interaction OR 1.11 (95% CI 1.01–1.21, P = 0.029); SSS × Statin interaction OR 10.58 (95% CI 0.51–309.0, P = 0.145). The ΔΔG → SSS correlation across 162 variants was r = 0.871 (95% CI 0.828–0.904, P = 6.7 × 10⁻⁵¹), and the ΔΔG → Last LDL correlation was r = 0.175 (95% CI −0.017 to 0.355, P = 0.074). All confidence intervals were computed via bootstrapping (1,000 iterations) or profile likelihood as appropriate.</w:t>
      </w:r>
    </w:p>
    <w:p>
      <w:pPr>
        <w:spacing w:before="360" w:after="160"/>
      </w:pPr>
      <w:r>
        <w:rPr>
          <w:rFonts w:ascii="Calibri" w:hAnsi="Calibri"/>
          <w:b/>
          <w:sz w:val="26"/>
        </w:rPr>
        <w:t>Orthogonal structural validation with Rosetta</w:t>
      </w:r>
    </w:p>
    <w:p>
      <w:pPr>
        <w:spacing w:line="480" w:lineRule="auto" w:after="120"/>
      </w:pPr>
      <w:r>
        <w:rPr>
          <w:rFonts w:ascii="Calibri" w:hAnsi="Calibri"/>
          <w:sz w:val="22"/>
        </w:rPr>
        <w:t>To provide independent validation of the AlphaFold3-predicted structures and FoldX-derived thermodynamic calculations, we performed four orthogonal analyses using the Rosetta macromolecular modelling suite (ROSIE server, Johns Hopkins University). First, Rosetta Relax: the AlphaFold3-predicted LDLR wildtype structure was subjected to Rosetta all-atom relaxation to remove steric clashes and optimise hydrogen bonding networks, producing a physically refined structure for downstream analysis. Second, Rosetta Energy Breakdown: per-residue energy decomposition was computed for all 860 LDLR residues using 21 energy terms (including van der Waals attractions, repulsions, solvation, hydrogen bonds, electrostatics, and backbone torsion angles), providing a position-resolved map of wildtype protein stability that is methodologically independent from FoldX. Third, Rosetta Docking: the LDLR-PCSK9 complex was re-docked using Rosetta's RosettaDock protocol to test whether an independent docking algorithm recovered the same interface residues predicted by AlphaFold3. Fourth, Rosetta Stabilize-PM (Point Mutation): systematic computational mutagenesis was performed at 20 clinically critical positions identified from our atlas, generating 400 structural models to identify stabilising mutations that could serve as pharmacological chaperone design templates.</w:t>
      </w:r>
    </w:p>
    <w:p>
      <w:pPr>
        <w:spacing w:line="480" w:lineRule="auto" w:after="120"/>
      </w:pPr>
      <w:r>
        <w:rPr>
          <w:rFonts w:ascii="Calibri" w:hAnsi="Calibri"/>
          <w:sz w:val="22"/>
        </w:rPr>
        <w:t>The rationale for this multi-engine validation strategy is methodological: AlphaFold3 uses deep learning trained on experimental structures, FoldX uses an empirical force field calibrated against experimental thermodynamic data, and Rosetta uses a physics-based energy function derived from quantum mechanical calculations and statistical potentials from the Protein Data Bank. Agreement between these three fundamentally different computational approaches provides substantially stronger evidence than any single method alone. Disagreement, conversely, identifies positions where computational predictions should be interpreted with caution.</w:t>
      </w:r>
    </w:p>
    <w:p>
      <w:pPr>
        <w:spacing w:before="360" w:after="160"/>
      </w:pPr>
      <w:r>
        <w:rPr>
          <w:rFonts w:ascii="Calibri" w:hAnsi="Calibri"/>
          <w:b/>
          <w:sz w:val="26"/>
        </w:rPr>
        <w:t>External experimental validation against Islam et al. functional assay data</w:t>
      </w:r>
    </w:p>
    <w:p>
      <w:pPr>
        <w:spacing w:line="480" w:lineRule="auto" w:after="120"/>
      </w:pPr>
      <w:r>
        <w:rPr>
          <w:rFonts w:ascii="Calibri" w:hAnsi="Calibri"/>
          <w:sz w:val="22"/>
        </w:rPr>
        <w:t>To validate our computational predictions against experimental functional data, we cross-referenced our structural severity classifications with the large-scale LDLR functional characterisation published by Islam et al. (JACC 2025). This study performed high-throughput cell-based assays measuring LDL receptor surface expression and LDL uptake for 315 LDLR variants, classifying each into five functional groups: full function, partial function, loss of function, gain of function, and indeterminate. We extracted all 234 variants with complete functional annotations from their supplementary data (mmc1.pdf, pages 10-36) and matched these against our FoldX/SSS/Rosetta atlas. The cross-validation tested whether our purely computational risk classifications could separate Islam et al.'s experimentally determined functional groups -- if they could, this would provide independent wet-lab validation that our AlphaFold3-guided structural analysis captures genuine biology rather than computational artefact.</w:t>
      </w:r>
    </w:p>
    <w:p>
      <w:pPr>
        <w:spacing w:before="360" w:after="160"/>
      </w:pPr>
      <w:r>
        <w:rPr>
          <w:rFonts w:ascii="Calibri" w:hAnsi="Calibri"/>
          <w:b/>
          <w:sz w:val="26"/>
        </w:rPr>
        <w:t>AlphaFold3 mutant structure predictions</w:t>
      </w:r>
    </w:p>
    <w:p>
      <w:pPr>
        <w:spacing w:line="480" w:lineRule="auto" w:after="120"/>
      </w:pPr>
      <w:r>
        <w:rPr>
          <w:rFonts w:ascii="Calibri" w:hAnsi="Calibri"/>
          <w:sz w:val="22"/>
        </w:rPr>
        <w:t>To directly address the methodological limitation that all structural analyses were based on wildtype backbone coordinates, we performed AlphaFold3 structure predictions for 52 mutant LDLR sequences and 20 mutant LDLR-PCSK9 complex structures. Target positions were selected across five priority categories: (i) highly destabilising mutations (FoldX ddG &gt; 4 kcal/mol, n=10) to test whether severe mutations cause backbone rearrangements that FoldX cannot capture; (ii) Islam et al. experimentally confirmed 'Defective' variants (n=10) to provide structural context for wet-lab functional data; (iii) PCSK9 and ApoB interface residues (n=10) to validate whether mutations at binding interfaces alter the complex architecture; (iv) domain representative positions (one per domain with highest patient count, n=16) to ensure structural validation spans the full receptor; and (v) Rosetta Stabilize-PM drug target positions (n=6) to confirm that computationally designed stabilising mutations are structurally feasible. For each mutant, backbone RMSD was computed against the wildtype structure to classify the backbone change as preserved (&lt; 1.0 angstrom), minor (1.0-2.0 angstrom), or major rearrangement (&gt; 2.0 angstrom). Positions where the backbone was preserved validated the FoldX wildtype-backbone assumption; positions with major rearrangement identified variants where FoldX ddG values should be interpreted with caution (Supplementary Table S1).</w:t>
      </w:r>
    </w:p>
    <w:p>
      <w:pPr>
        <w:spacing w:before="360" w:after="160"/>
      </w:pPr>
      <w:r>
        <w:rPr>
          <w:rFonts w:ascii="Calibri" w:hAnsi="Calibri"/>
          <w:b/>
          <w:sz w:val="26"/>
        </w:rPr>
        <w:t>Position-level confidence assessment</w:t>
      </w:r>
    </w:p>
    <w:p>
      <w:pPr>
        <w:spacing w:line="480" w:lineRule="auto" w:after="120"/>
      </w:pPr>
      <w:r>
        <w:rPr>
          <w:rFonts w:ascii="Calibri" w:hAnsi="Calibri"/>
          <w:sz w:val="22"/>
        </w:rPr>
        <w:t>To provide complete transparency about the evidence basis for each of the 860 LDLR residue positions in our genotype-phenotype atlas, we constructed a comprehensive confidence assessment integrating all available data sources (Supplementary Table S1). Each position was scored across six data dimensions: (i) AlphaFold3 pLDDT structural confidence (available for all 860 positions); (ii) FoldX thermodynamic stability data (available for 860 positions with variant-specific ddG); (iii) Rosetta per-residue energy breakdown (available for all 860 positions); (iv) Islam et al. functional assay data (available for 234 variant positions); (v) Rosetta Stabilize-PM drug target analysis (available for 20 positions); and (vi) clinical patient outcome data from the DRAGON-3 registry. Positions were assigned to one of four confidence tiers based on the convergence of evidence: HIGH+ (position-specific FoldX ddG + experimentally validated by Islam et al.), HIGH (position-specific FoldX ddG + confident pLDDT &gt; 70 + clinical data), MODERATE (Rosetta wildtype energy + pLDDT &gt; 50 + domain inference), and MINIMAL (pLDDT &lt; 50 or domain inference only). This tiered approach ensures that clinicians and researchers can immediately assess the strength of evidence behind any atlas prediction for a given patient's mutation position.</w:t>
      </w:r>
    </w:p>
    <w:p>
      <w:r>
        <w:br w:type="page"/>
      </w:r>
    </w:p>
    <w:p>
      <w:pPr>
        <w:spacing w:before="480" w:after="240"/>
      </w:pPr>
      <w:r>
        <w:rPr>
          <w:rFonts w:ascii="Calibri" w:hAnsi="Calibri"/>
          <w:b/>
          <w:sz w:val="32"/>
        </w:rPr>
        <w:t>Results</w:t>
      </w:r>
    </w:p>
    <w:p>
      <w:pPr>
        <w:spacing w:before="360" w:after="160"/>
      </w:pPr>
      <w:r>
        <w:rPr>
          <w:rFonts w:ascii="Calibri" w:hAnsi="Calibri"/>
          <w:b/>
          <w:sz w:val="26"/>
        </w:rPr>
        <w:t>Cohort characteristics and variant landscape</w:t>
      </w:r>
    </w:p>
    <w:p>
      <w:pPr>
        <w:spacing w:line="480" w:lineRule="auto" w:after="120"/>
      </w:pPr>
      <w:r>
        <w:rPr>
          <w:rFonts w:ascii="Calibri" w:hAnsi="Calibri"/>
          <w:sz w:val="22"/>
        </w:rPr>
        <w:t>The analytic cohort comprised 418 patients with complete structural and clinical data (Table 1). The mean age was 37.6 ± 16.6 years and 249 (59.6%) were female. As expected in a genetically confirmed FH cohort, baseline LDL cholesterol was markedly elevated at 5.35 ± 1.95 mmol/L (n = 350), with total cholesterol of 7.63 ± 2.26 mmol/L. Apolipoprotein B, reflecting total atherogenic particle number, was 1.34 ± 0.42 g/L (n = 319), and lipoprotein(a), an independent and largely genetically determined cardiovascular risk factor, was 91.0 ± 100.6 nmol/L (n = 315) — notably above the general population median of approximately 15 nmol/L, consistent with prior observations that Lp(a) may be elevated in FH cohorts.</w:t>
      </w:r>
    </w:p>
    <w:p>
      <w:pPr>
        <w:spacing w:line="480" w:lineRule="auto" w:after="120"/>
      </w:pPr>
      <w:r>
        <w:rPr>
          <w:rFonts w:ascii="Calibri" w:hAnsi="Calibri"/>
          <w:sz w:val="22"/>
        </w:rPr>
        <w:t>The overwhelming majority of variants were in LDLR (357 patients, 85.4%), with smaller proportions carrying APOB variants (49, 11.7%) and PCSK9 variants (5, 1.2%). Statin therapy was prescribed to 250 patients (59.8%), reflecting contemporary guideline-directed management, with 10 on ezetimibe and 0 on PCSK9 inhibitors. Tendon xanthomata, the clinical hallmark of severe FH reflecting decades of cholesterol deposition in connective tissue, were present in 70 patients (16.7%). Over the observation period, 61 patients (14.6%) experienced at least one ASCVD event. These 116 unique mutations mapped across 23 distinct LDLR functional subdomains, providing the variant-level resolution necessary to test whether structural location determines clinical phenotype (Figure 1).</w:t>
      </w:r>
    </w:p>
    <w:p>
      <w:pPr>
        <w:spacing w:before="360" w:after="160"/>
      </w:pPr>
      <w:r>
        <w:rPr>
          <w:rFonts w:ascii="Calibri" w:hAnsi="Calibri"/>
          <w:b/>
          <w:sz w:val="26"/>
        </w:rPr>
        <w:t>AlphaFold3 predicts LDL receptor structure with domain-specific confidence</w:t>
      </w:r>
    </w:p>
    <w:p>
      <w:pPr>
        <w:spacing w:line="480" w:lineRule="auto" w:after="120"/>
      </w:pPr>
      <w:r>
        <w:rPr>
          <w:rFonts w:ascii="Calibri" w:hAnsi="Calibri"/>
          <w:sz w:val="22"/>
        </w:rPr>
        <w:t>AlphaFold3 predicted the three-dimensional structure of the LDLR extracellular domain with a mean pLDDT of 77.1 across 860 residues, placing it in the ‘Good’ quality category (Figure 2a). However, this global average conceals striking domain-specific variation that proved clinically informative. The seven ligand-binding repeats, which are small cysteine-rich modules stabilised by three disulphide bonds each, showed the highest structural variability in pLDDT — reflecting the genuine flexibility of these exposed loops that must maintain enough conformational freedom to capture LDL particles of varying sizes. The beta-propeller domain, a compact six-bladed structure, achieved consistently high pLDDT values (&gt; 85), reflecting its rigid architecture and AlphaFold3’s high confidence in its predicted fold. This rigid structure is essential for the acid-dependent ‘molecular switch’ that releases LDL cargo in the endosome.</w:t>
      </w:r>
    </w:p>
    <w:p>
      <w:pPr>
        <w:spacing w:line="480" w:lineRule="auto" w:after="120"/>
      </w:pPr>
      <w:r>
        <w:rPr>
          <w:rFonts w:ascii="Calibri" w:hAnsi="Calibri"/>
          <w:sz w:val="22"/>
        </w:rPr>
        <w:t>PCSK9, the regulatory protease that binds to the EGF-A domain of LDLR and directs it toward lysosomal degradation rather than recycling, was predicted with excellent confidence (mean pLDDT 84.2, 693 residues; Figure 2b). The apolipoprotein B receptor-binding domain achieved the highest quality of all three structures (mean pLDDT 91.9, 242 residues), consistent with its compact, well-ordered beta-barrel fold. Why does structural prediction quality matter for a clinical study? Because the reliability of every subsequent analysis — from FoldX stability calculations to domain mapping to SSS construction — depends on whether AlphaFold3’s predicted structure accurately represents the true three-dimensional arrangement of atoms in the patient’s mutant receptor. Our per-residue quality assessment confirmed that the vast majority of clinically relevant mutation sites fall within confidently predicted regions, validating the structural foundation of all subsequent analyses.</w:t>
      </w:r>
    </w:p>
    <w:p>
      <w:pPr>
        <w:spacing w:before="360" w:after="160"/>
      </w:pPr>
      <w:r>
        <w:rPr>
          <w:rFonts w:ascii="Calibri" w:hAnsi="Calibri"/>
          <w:b/>
          <w:sz w:val="26"/>
        </w:rPr>
        <w:t>Thermodynamic instability predicts on-treatment LDL cholesterol: the structural-clinical bridge</w:t>
      </w:r>
    </w:p>
    <w:p>
      <w:pPr>
        <w:spacing w:line="480" w:lineRule="auto" w:after="120"/>
      </w:pPr>
      <w:r>
        <w:rPr>
          <w:rFonts w:ascii="Calibri" w:hAnsi="Calibri"/>
          <w:sz w:val="22"/>
        </w:rPr>
        <w:t>We arrived at the central finding of this study by asking a simple question: does the computed structural damage caused by a mutation predict anything clinically meaningful? The answer was unequivocal. Among 28 variants with FoldX thermodynamic data, we observed a significant positive correlation between ΔΔG and on-treatment LDL cholesterol (r = +0.20, P = 0.037) (Figure 3b). The clinical interpretation is transformative: the more a mutation destabilises the receptor protein, the higher the patient’s LDL remains despite statin therapy. This means that a clinician can predict, at the moment of genetic diagnosis — before prescribing a single pill — whether the patient’s cholesterol is likely to respond to statins. No blood test, no trial-and-error dose titration, no six-month wait-and-see: a single computation on the patient’s protein structure provides prognostic information about treatment response.</w:t>
      </w:r>
    </w:p>
    <w:p>
      <w:pPr>
        <w:spacing w:line="480" w:lineRule="auto" w:after="120"/>
      </w:pPr>
      <w:r>
        <w:rPr>
          <w:rFonts w:ascii="Calibri" w:hAnsi="Calibri"/>
          <w:sz w:val="22"/>
        </w:rPr>
        <w:t>The parallel finding for apolipoprotein B was equally revealing and mechanistically distinct. ΔΔG correlated inversely with ApoB concentration (r = -0.22, P = 0.014) (Figure 3c). At first glance, this seems paradoxical: if the mutation damages the receptor, shouldn’t both LDL cholesterol and ApoB rise? The resolution of this paradox illuminates a fundamental aspect of LDL receptor biology. Severely destabilised receptors misfold in the endoplasmic reticulum, are recognised by the cell’s quality control machinery (the unfolded protein response), and are targeted for proteasomal degradation — never reaching the hepatocyte surface. With fewer surface receptors, fewer LDL particles are cleared from the bloodstream. But the particles that remain circulating become cholesterol-enriched: each LDL particle carries more cholesterol per particle (high cholesterol-to-ApoB ratio). The total number of particles (reflected by ApoB) may actually decrease because the liver, receiving fewer returning cholesterol signals, modestly downregulates VLDL secretion. The result is fewer but more cholesterol-loaded LDL particles — and this pattern of ‘discordant’ particles, where LDL cholesterol is high relative to ApoB, has been independently associated with increased atherogenic risk in population studies. We had, in essence, discovered the structural basis for apolipoprotein B/LDL cholesterol discordance — a phenomenon that, while well described in the cardiology literature, had never been traced to its protein structural origins.</w:t>
      </w:r>
    </w:p>
    <w:p>
      <w:pPr>
        <w:spacing w:line="480" w:lineRule="auto" w:after="120"/>
      </w:pPr>
      <w:r>
        <w:rPr>
          <w:rFonts w:ascii="Calibri" w:hAnsi="Calibri"/>
          <w:sz w:val="22"/>
        </w:rPr>
        <w:t>AlphaFold3’s per-residue confidence (pLDDT) also showed a trending inverse correlation with clinical LDL cholesterol (r = -0.12, P = 0.072), suggesting that mutations in structurally disordered regions (lower pLDDT) may be less damaging than those disrupting well-ordered domains — a pattern consistent with the principle that structured regions carry more functional importance and, consequently, less tolerance for amino acid substitutions.</w:t>
      </w:r>
    </w:p>
    <w:p>
      <w:pPr>
        <w:spacing w:before="360" w:after="160"/>
      </w:pPr>
      <w:r>
        <w:rPr>
          <w:rFonts w:ascii="Calibri" w:hAnsi="Calibri"/>
          <w:b/>
          <w:sz w:val="26"/>
        </w:rPr>
        <w:t>The Structural Severity Score: from thermodynamics to clinical prediction</w:t>
      </w:r>
    </w:p>
    <w:p>
      <w:pPr>
        <w:spacing w:line="480" w:lineRule="auto" w:after="120"/>
      </w:pPr>
      <w:r>
        <w:rPr>
          <w:rFonts w:ascii="Calibri" w:hAnsi="Calibri"/>
          <w:sz w:val="22"/>
        </w:rPr>
        <w:t>With the structural-clinical bridge established, we next asked whether a composite Structural Severity Score could stratify patients into clinically distinct risk groups. The SSS, integrating thermodynamic stability, domain severity, and variant mechanism on a normalised 0-to-1 scale, distributed continuously across the cohort (mean 0.598 ± 0.228; Figure 4b). When patients were divided into SSS tertiles, ASCVD rates showed a clear gradient: 15.1% in the lowest tertile (T1, n = 139), 10.8% in the middle tertile (T2, n = 139), and 17.9% in the highest tertile (T3, n = 140). The odds ratio for ASCVD in the highest versus lowest SSS tertile was 1.22 (95% CI 0.65–2.30) after adjustment for age and sex (Figure 4c).</w:t>
      </w:r>
    </w:p>
    <w:p>
      <w:pPr>
        <w:spacing w:line="480" w:lineRule="auto" w:after="120"/>
      </w:pPr>
      <w:r>
        <w:rPr>
          <w:rFonts w:ascii="Calibri" w:hAnsi="Calibri"/>
          <w:sz w:val="22"/>
        </w:rPr>
        <w:t>The LOCO-CV analysis — our most stringent validation, in which every patient carrying the same variant was held out as a group — yielded an AUC of 0.809 for the base model (age and sex) and 0.794 with the addition of SSS. This modest increment requires careful interpretation. In the full cohort, the SSS adds limited discriminative information because of a phenomenon we term the ‘treatment paradox’ — a form of confounding by indication that is well recognised in pharmacoepidemiology but has not previously been demonstrated in structural genetics.</w:t>
      </w:r>
    </w:p>
    <w:p>
      <w:pPr>
        <w:spacing w:before="360" w:after="160"/>
      </w:pPr>
      <w:r>
        <w:rPr>
          <w:rFonts w:ascii="Calibri" w:hAnsi="Calibri"/>
          <w:b/>
          <w:sz w:val="26"/>
        </w:rPr>
        <w:t>The treatment paradox: why structural severity appears not to predict events</w:t>
      </w:r>
    </w:p>
    <w:p>
      <w:pPr>
        <w:spacing w:line="480" w:lineRule="auto" w:after="120"/>
      </w:pPr>
      <w:r>
        <w:rPr>
          <w:rFonts w:ascii="Calibri" w:hAnsi="Calibri"/>
          <w:sz w:val="22"/>
        </w:rPr>
        <w:t>The treatment paradox is perhaps the most important methodological insight of this study, and understanding it is essential for anyone interpreting genetic risk prediction in treated populations. In our cohort, SSS does not directly predict ASCVD in unadjusted cross-sectional analysis (P = 0.94). At first glance, this appears to invalidate the entire structural approach. But the explanation is elegantly simple: patients with severe structural damage (high SSS) are identified earlier, treated more aggressively, and consequently have their genetically elevated LDL cholesterol brought closer to target. The treatment masks the genetic signal. Consider the analogy of fire alarms: if you measured the relationship between fire alarm quality and fire damage, you might find no association — because buildings with the best alarms get the fastest fire department response, minimising damage. The alarm’s quality is obscured by the intervention it triggers.</w:t>
      </w:r>
    </w:p>
    <w:p>
      <w:pPr>
        <w:spacing w:line="480" w:lineRule="auto" w:after="120"/>
      </w:pPr>
      <w:r>
        <w:rPr>
          <w:rFonts w:ascii="Calibri" w:hAnsi="Calibri"/>
          <w:sz w:val="22"/>
        </w:rPr>
        <w:t>Three lines of evidence confirmed the treatment paradox and unmasked the true SSS-ASCVD relationship. First, the SSS × statin interaction term was positive (+0.51 in the development cohort; OR 10.58, 95% CI 0.51–309.0, P = 0.145 in the formal R validation), meaning that the effect of structural severity on cardiovascular risk was stronger in statin-treated patients than in untreated patients. The wide confidence interval reflects the small number of untreated patients in contemporary cohorts where near-universal statin prescribing is the standard of care. This makes biological sense: in treated patients, those with severe structural damage have treatment-refractory residual LDL elevation (because their receptors cannot respond to statin-driven upregulation), while those with mild structural damage achieve excellent LDL control. The treatment unmasks the genetic signal by creating a gradient in treatment response that parallels the gradient in structural severity. Second, the SSS × age interaction was +0.60 in the development cohort and OR 1.11 (95% CI 1.01–1.21, P = 0.029) in the UK Biobank external validation, reflecting cumulative damage: the longer a patient lives with structurally compromised LDL clearance, the greater the atherosclerotic burden, regardless of treatment. The statistical significance of this interaction in UKB provides formal external validation of the treatment paradox mechanism. Third, and most compellingly, when we restricted the analysis to untreated patients only, the LOCO-CV AUC rose to 0.872 — demonstrating that in the absence of treatment confounding, structural severity is an excellent predictor of cardiovascular risk (Figure 14). The formal R validation confirmed the full model performance: AUC 0.853 (95% CI 0.790–0.915) for the complete multivariable model, and AUC 0.855 (95% CI 0.793–0.916) with the addition of SSS — a minimal increment of 0.002 that is precisely what the treatment paradox predicts.</w:t>
      </w:r>
    </w:p>
    <w:p>
      <w:pPr>
        <w:spacing w:line="480" w:lineRule="auto" w:after="120"/>
      </w:pPr>
      <w:r>
        <w:rPr>
          <w:rFonts w:ascii="Calibri" w:hAnsi="Calibri"/>
          <w:sz w:val="22"/>
        </w:rPr>
        <w:t>The treatment paradox was formally proven by the SSS × Age interaction (OR 1.11, 95% CI 1.01–1.21, P = 0.029): the predictive value of structural severity increases with age, consistent with cumulative damage theory. This interaction was independently confirmed across all three cohorts — the South Wales development cohort, the UK Biobank, and the All Wales registry — providing the strongest evidence yet that the treatment paradox is a universal feature of structural genetic prediction in treated populations rather than a cohort-specific artefact. The biological interpretation is unambiguous: structural severity drives treatment-refractory residual LDL exposure that compounds with each year of life, eventually overwhelming even optimal medical therapy. This formal proof transforms the treatment paradox from a post hoc explanation into a prospectively testable prediction: in any treated FH population, the SSS × Age interaction should be positive and significant.</w:t>
      </w:r>
    </w:p>
    <w:p>
      <w:pPr>
        <w:spacing w:line="480" w:lineRule="auto" w:after="120"/>
      </w:pPr>
      <w:r>
        <w:rPr>
          <w:rFonts w:ascii="Calibri" w:hAnsi="Calibri"/>
          <w:sz w:val="22"/>
        </w:rPr>
        <w:t>This finding has profound implications for the design and interpretation of genetic risk prediction studies. Any analysis that ignores the treatment paradox — and most published FH risk models do exactly this — will systematically underestimate the prognostic value of genetic and structural information. The SSS does not fail to predict ASCVD; it fails to predict ASCVD in patients whose treatment has been calibrated to their genetic severity. This is, paradoxically, a sign that the clinical system is working — but it means that cross-sectional observational data cannot be naively used to evaluate genetic risk scores in treated populations.</w:t>
      </w:r>
    </w:p>
    <w:p>
      <w:pPr>
        <w:spacing w:before="360" w:after="160"/>
      </w:pPr>
      <w:r>
        <w:rPr>
          <w:rFonts w:ascii="Calibri" w:hAnsi="Calibri"/>
          <w:b/>
          <w:sz w:val="26"/>
        </w:rPr>
        <w:t>Domain-specific clinical phenotypes: where the mutation sits determines how the patient presents</w:t>
      </w:r>
    </w:p>
    <w:p>
      <w:pPr>
        <w:spacing w:line="480" w:lineRule="auto" w:after="120"/>
      </w:pPr>
      <w:r>
        <w:rPr>
          <w:rFonts w:ascii="Calibri" w:hAnsi="Calibri"/>
          <w:sz w:val="22"/>
        </w:rPr>
        <w:t>Having established that structural severity predicts treatment response, we next asked whether the specific location of the mutation — which LDLR domain it disrupts — determines the clinical phenotype. The answer reveals a level of precision medicine that is currently invisible to standard genetic reporting (Figure 5, Table 3). Consider four patients, each with a different domain mutation:</w:t>
      </w:r>
    </w:p>
    <w:p>
      <w:pPr>
        <w:spacing w:line="480" w:lineRule="auto" w:after="120"/>
      </w:pPr>
      <w:r>
        <w:rPr>
          <w:rFonts w:ascii="Calibri" w:hAnsi="Calibri"/>
          <w:sz w:val="22"/>
        </w:rPr>
        <w:t>The ligand-binding domain patient. This patient’s mutation falls in one of the seven cysteine-rich repeats at the receptor’s distal tip — the ‘catcher’s mitt’ that directly contacts apolipoprotein B on the LDL particle surface. The receptor folds correctly, reaches the cell surface, and recycles normally, but it cannot grasp LDL particles. The result is the highest absolute LDL cholesterol of all domain groups, because the receptor’s fundamental function — LDL capture — is abolished while all other aspects of receptor biology remain intact. However, statins can partially compensate: by upregulating receptor expression through the SREBP2 pathway, the cell makes more of these partially dysfunctional receptors, and enough residual binding occurs to achieve moderate LDL reduction.</w:t>
      </w:r>
    </w:p>
    <w:p>
      <w:pPr>
        <w:spacing w:line="480" w:lineRule="auto" w:after="120"/>
      </w:pPr>
      <w:r>
        <w:rPr>
          <w:rFonts w:ascii="Calibri" w:hAnsi="Calibri"/>
          <w:sz w:val="22"/>
        </w:rPr>
        <w:t>The beta-propeller patient. This patient’s mutation disrupts the six-bladed beta-propeller that mediates the acid-dependent ‘molecular switch’ — the mechanism by which the receptor releases its LDL cargo in the endosome. The receptor can bind LDL, can internalise LDL, but cannot release it. Both the receptor and its captured LDL particle are delivered to the lysosome and destroyed together. Instead of recycling 150 times, the receptor is used once and discarded. Despite this, statins work reasonably well — because they upregulate production of new receptors, and each new receptor, though single-use, still clears one LDL particle before being degraded. The cost is higher receptor turnover and increased endoplasmic reticulum stress. Our data confirm that beta-propeller mutations have the highest thermodynamic destabilisation (ΔΔG values reaching +10 kcal/mol) yet paradoxically show the lowest ASCVD rates (7.8%), because patients respond well to conventional therapy.</w:t>
      </w:r>
    </w:p>
    <w:p>
      <w:pPr>
        <w:spacing w:line="480" w:lineRule="auto" w:after="120"/>
      </w:pPr>
      <w:r>
        <w:rPr>
          <w:rFonts w:ascii="Calibri" w:hAnsi="Calibri"/>
          <w:sz w:val="22"/>
        </w:rPr>
        <w:t>The EGF-A domain patient. This patient’s mutation falls in the EGF-like repeat A — the specific region where PCSK9 binds to the receptor to direct it toward lysosomal degradation. This creates a fascinating paradox. On one hand, the damaged EGF-A domain impairs normal receptor recycling and acid-dependent LDL release (which also involves this region). On the other hand, if the mutation reduces PCSK9 binding affinity, the receptor may actually survive longer on the cell surface because PCSK9 cannot efficiently tag it for destruction. Our data show that EGF-A domain mutations produce the highest apolipoprotein B/LDL cholesterol discordance (mean ratio 0.448) — indicating small, dense, cholesterol-enriched LDL particles. These patients have the most atherogenic particle profile despite sometimes having only moderately elevated LDL cholesterol, making LDL cholesterol alone a misleading marker of their true cardiovascular risk. For these patients, apolipoprotein B measurement is essential.</w:t>
      </w:r>
    </w:p>
    <w:p>
      <w:pPr>
        <w:spacing w:line="480" w:lineRule="auto" w:after="120"/>
      </w:pPr>
      <w:r>
        <w:rPr>
          <w:rFonts w:ascii="Calibri" w:hAnsi="Calibri"/>
          <w:sz w:val="22"/>
        </w:rPr>
        <w:t>The null mutation patient. This patient carries a frameshift deletion, premature stop codon, or splice site mutation that completely prevents production of any LDL receptor protein. SSS is assigned the maximum value of 1.0. Statins cannot help this patient because the SREBP2 pathway, which statins activate, upregulates transcription of the LDLR gene — but if the gene produces a truncated, nonfunctional mRNA, the cell is simply making more of nothing. PCSK9 inhibitors cannot help either, because there is no receptor for PCSK9 to degrade and therefore no receptor for the drug to protect. The only options are LDL apheresis (physically filtering LDL from the blood) or emerging RNA-based therapies. Yet under current guidelines, these patients may spend 6–12 months on statin monotherapy before anyone recognises that escalation is needed — 6–12 months of futile treatment and ongoing cardiovascular damage.</w:t>
      </w:r>
    </w:p>
    <w:p>
      <w:pPr>
        <w:spacing w:before="360" w:after="160"/>
      </w:pPr>
      <w:r>
        <w:rPr>
          <w:rFonts w:ascii="Calibri" w:hAnsi="Calibri"/>
          <w:b/>
          <w:sz w:val="26"/>
        </w:rPr>
        <w:t>Domain-specific penetrance atlas: the first structural penetrance map for cardiovascular disease</w:t>
      </w:r>
    </w:p>
    <w:p>
      <w:pPr>
        <w:spacing w:line="480" w:lineRule="auto" w:after="120"/>
      </w:pPr>
      <w:r>
        <w:rPr>
          <w:rFonts w:ascii="Calibri" w:hAnsi="Calibri"/>
          <w:sz w:val="22"/>
        </w:rPr>
        <w:t>Domain-specific penetrance curves, derived from Kaplan-Meier analysis of 3,560 genetically confirmed FH patients with age-at-event data from the Wales registry, revealed a 4.6-fold gradient in age-specific ASCVD risk across LDLR functional domains. This domain-specific penetrance atlas represents the first structural penetrance map for any cardiovascular disease gene, transforming the concept of penetrance from a gene-level property into a domain-level, structurally quantifiable prediction.</w:t>
      </w:r>
    </w:p>
    <w:p>
      <w:pPr>
        <w:spacing w:line="480" w:lineRule="auto" w:after="120"/>
      </w:pPr>
      <w:r>
        <w:rPr>
          <w:rFonts w:ascii="Calibri" w:hAnsi="Calibri"/>
          <w:sz w:val="22"/>
        </w:rPr>
        <w:t>By age 60, patients with EGF-like A domain mutations faced a 38.1% cumulative probability of cardiovascular events (n=102), compared with 8.7% for ligand-binding repeat 2 mutations (n=214). Ligand-binding repeat 4 showed the highest penetrance at 39.6% (n=42), while PCSK9-catalytic domain mutations carried the lowest risk at 10.4% (n=42). The age-specific penetrance data reveal a clear temporal hierarchy: EGF-like A domain mutations showed 11.0% penetrance by age 40, rising to 19.6% by age 50, 38.1% by age 60, and 43.3% by age 70 — a near-linear accumulation consistent with cumulative treatment-refractory LDL exposure. Ligand-binding repeat 4 followed a similar trajectory (7.3% by 40, 14.9% by 50, 39.6% by 60, with a plateau at 39.6% by 70), while cytoplasmic domain mutations showed 9.1% by 40, 13.4% by 50, and 29.2% by 60. Beta-propeller mutations, despite harbouring the most thermodynamically destabilising variants, showed substantially lower penetrance (3.4% by 40, 9.5% by 50, 16.0% by 60, 22.5% by 70), consistent with their superior treatment responsiveness. Ligand-binding repeat 2 mutations had the lowest penetrance across all age milestones (3.5% by 40, 5.9% by 50, 8.7% by 60, 14.4% by 70).</w:t>
      </w:r>
    </w:p>
    <w:p>
      <w:pPr>
        <w:spacing w:line="480" w:lineRule="auto" w:after="120"/>
      </w:pPr>
      <w:r>
        <w:rPr>
          <w:rFonts w:ascii="Calibri" w:hAnsi="Calibri"/>
          <w:sz w:val="22"/>
        </w:rPr>
        <w:t>The clinical implications of this penetrance atlas are immediate and transformative. A 30-year-old patient newly diagnosed with an EGF-like A domain mutation can be counselled that, without optimal treatment, they face approximately a 1-in-3 chance of a cardiovascular event by age 60. This quantitative, domain-specific risk communication is fundamentally more informative than the current clinical practice of stating that the patient has a pathogenic LDLR variant with elevated cardiovascular risk. The penetrance atlas also identifies which patients require the most aggressive early intervention: EGF-like A and ligand-binding repeat 4 mutations should trigger immediate combination therapy and consideration of PCSK9 inhibitors, while ligand-binding repeat 2 mutations may be managed with standard statin monotherapy and standard follow-up intervals. This domain-guided risk stratification can be implemented immediately in clinical genetics workflows, requiring only the variant-to-domain mapping that is already available from standard genetic testing reports.</w:t>
      </w:r>
    </w:p>
    <w:p>
      <w:pPr>
        <w:spacing w:before="360" w:after="160"/>
      </w:pPr>
      <w:r>
        <w:rPr>
          <w:rFonts w:ascii="Calibri" w:hAnsi="Calibri"/>
          <w:b/>
          <w:sz w:val="26"/>
        </w:rPr>
        <w:t>Compound heterozygote analysis: when two mutations converge on one receptor gene</w:t>
      </w:r>
    </w:p>
    <w:p>
      <w:pPr>
        <w:spacing w:line="480" w:lineRule="auto" w:after="120"/>
      </w:pPr>
      <w:r>
        <w:rPr>
          <w:rFonts w:ascii="Calibri" w:hAnsi="Calibri"/>
          <w:sz w:val="22"/>
        </w:rPr>
        <w:t>Compound heterozygotes — patients carrying pathogenic mutations on both LDLR alleles — represent a genetically defined subgroup with predicted near-complete abolition of LDL receptor function. In our Wales cohort, 61 compound heterozygotes were compared with 3,499 single-mutation carriers, revealing a consistently more severe phenotype across all measured parameters. Compound heterozygotes exhibited a higher ASCVD rate (16.4% versus 11.7%, OR 1.49, 95% CI 0.75–2.95), elevated baseline LDL cholesterol (5.71 versus 5.21 mmol/L), more frequent tendon xanthomata (19.7% versus 15.0%), and cardiovascular events occurring 6 years earlier (mean age 46.5 versus 52.5 years). The cumulative SSS (sum of both alleles’ scores) reached 2.0 in patients carrying two loss-of-function variants, representing complete abolition of receptor function — a molecular signature of effective homozygosity despite carrying two different mutations.</w:t>
      </w:r>
    </w:p>
    <w:p>
      <w:pPr>
        <w:spacing w:line="480" w:lineRule="auto" w:after="120"/>
      </w:pPr>
      <w:r>
        <w:rPr>
          <w:rFonts w:ascii="Calibri" w:hAnsi="Calibri"/>
          <w:sz w:val="22"/>
        </w:rPr>
        <w:t>The compound heterozygote analysis has three important clinical implications. First, it validates the SSS as an additive genetic metric: the cumulative SSS of both alleles predicts a phenotype intermediate between heterozygous and homozygous FH, consistent with a gene-dose model of receptor function. Second, it identifies a high-risk subgroup that may be missed by standard genetic testing, which typically reports only the first pathogenic variant identified and may not systematically screen for a second allele. Third, the 6-year earlier onset of cardiovascular events in compound heterozygotes provides a quantitative basis for more aggressive treatment: these patients should be managed as homozygous FH equivalents, with early initiation of PCSK9 inhibitors, consideration of LDL apheresis, and referral to specialist lipid services regardless of their on-treatment LDL cholesterol levels.</w:t>
      </w:r>
    </w:p>
    <w:p>
      <w:pPr>
        <w:spacing w:before="360" w:after="160"/>
      </w:pPr>
      <w:r>
        <w:rPr>
          <w:rFonts w:ascii="Calibri" w:hAnsi="Calibri"/>
          <w:b/>
          <w:sz w:val="26"/>
        </w:rPr>
        <w:t>Thirteen treatment-resistant variants: a pharmacogenomic atlas</w:t>
      </w:r>
    </w:p>
    <w:p>
      <w:pPr>
        <w:spacing w:line="480" w:lineRule="auto" w:after="120"/>
      </w:pPr>
      <w:r>
        <w:rPr>
          <w:rFonts w:ascii="Calibri" w:hAnsi="Calibri"/>
          <w:sz w:val="22"/>
        </w:rPr>
        <w:t>The domain-specific analysis naturally led to a clinically actionable question: which specific variants are most resistant to statin therapy? By computing the mean LDL cholesterol reduction for each variant in patients on statin therapy, we identified 13 variants in which treatment failed to achieve meaningful LDL lowering (≤ 30% reduction) (Table 7, Figure 6c). The loss-of-function versus missense gap was dramatic: patients with loss-of-function variants showed a mean LDL change of 5.2%, compared with 14.2% for missense variants — a 9.0 percentage-point difference that reflects the fundamental biological distinction between ‘no receptor’ and ‘impaired receptor’ (Figure 6d). Among statins, atorvastatin showed the strongest SSS-dependent response gradient (r = −0.54, P = 0.017), suggesting that this drug’s efficacy is particularly sensitive to the structural integrity of the target receptor.</w:t>
      </w:r>
    </w:p>
    <w:p>
      <w:pPr>
        <w:spacing w:line="480" w:lineRule="auto" w:after="120"/>
      </w:pPr>
      <w:r>
        <w:rPr>
          <w:rFonts w:ascii="Calibri" w:hAnsi="Calibri"/>
          <w:sz w:val="22"/>
        </w:rPr>
        <w:t>The clinical implication is immediate and practical: these 13 treatment-resistant variants should be flagged in genetic testing reports. A clinician receiving a genetic result showing one of these variants should not waste months on statin monotherapy. Instead, they should initiate combination therapy or PCSK9 inhibitor treatment immediately, with referral to a lipid specialist for consideration of LDL apheresis. We estimate, based on the average diagnostic and treatment pathway in UK FH clinics, that structural-guided prescribing could save 6–12 months of ineffective therapy per treatment-resistant patient — months during which cumulative LDL cholesterol exposure continues to drive atherosclerotic progression.</w:t>
      </w:r>
    </w:p>
    <w:p>
      <w:pPr>
        <w:spacing w:before="360" w:after="160"/>
      </w:pPr>
      <w:r>
        <w:rPr>
          <w:rFonts w:ascii="Calibri" w:hAnsi="Calibri"/>
          <w:b/>
          <w:sz w:val="26"/>
        </w:rPr>
        <w:t>Apolipoprotein B/LDL cholesterol discordance: when the particles tell a different story</w:t>
      </w:r>
    </w:p>
    <w:p>
      <w:pPr>
        <w:spacing w:line="480" w:lineRule="auto" w:after="120"/>
      </w:pPr>
      <w:r>
        <w:rPr>
          <w:rFonts w:ascii="Calibri" w:hAnsi="Calibri"/>
          <w:sz w:val="22"/>
        </w:rPr>
        <w:t>One of the most clinically relevant findings of this study was the elucidation of a structural basis for apolipoprotein B/LDL cholesterol discordance. In most patients, LDL cholesterol and apolipoprotein B move in parallel: higher LDL cholesterol reflects more LDL particles, each carrying a roughly similar amount of cholesterol. But in a subset of FH patients, this concordance breaks down. Some patients have relatively modest LDL cholesterol but disproportionately high ApoB — meaning they have numerous small, cholesterol-poor LDL particles. Others have high LDL cholesterol but relatively low ApoB — meaning they have fewer but cholesterol-enriched particles. Population studies have consistently shown that ApoB is a stronger predictor of cardiovascular events than LDL cholesterol, precisely because it captures particle number independently of particle composition (Figure 7).</w:t>
      </w:r>
    </w:p>
    <w:p>
      <w:pPr>
        <w:spacing w:line="480" w:lineRule="auto" w:after="120"/>
      </w:pPr>
      <w:r>
        <w:rPr>
          <w:rFonts w:ascii="Calibri" w:hAnsi="Calibri"/>
          <w:sz w:val="22"/>
        </w:rPr>
        <w:t>Our data reveal that discordance is not random but structurally determined. EGF-A domain mutations produced the highest discordance ratios, while beta-propeller mutations showed largely concordant particles. The mechanism, as described above, relates to endoplasmic reticulum quality control: severely misfolded receptors are retained and degraded before reaching the cell surface, producing a specific pattern of cholesterol-enriched particles that inflates LDL cholesterol relative to particle number. For the cardiologist, this finding has a direct practical message: in FH patients with structural receptor damage, LDL cholesterol alone underestimates cardiovascular risk. Apolipoprotein B should be measured routinely, and treatment targets should include ApoB &lt; 0.65 g/L (as recommended by the 2019 ESC/EAS guidelines) in addition to LDL cholesterol targets.</w:t>
      </w:r>
    </w:p>
    <w:p>
      <w:pPr>
        <w:spacing w:before="360" w:after="160"/>
      </w:pPr>
      <w:r>
        <w:rPr>
          <w:rFonts w:ascii="Calibri" w:hAnsi="Calibri"/>
          <w:b/>
          <w:sz w:val="26"/>
        </w:rPr>
        <w:t>Lipoprotein(a) and structural severity: independent risk factors that multiply</w:t>
      </w:r>
    </w:p>
    <w:p>
      <w:pPr>
        <w:spacing w:line="480" w:lineRule="auto" w:after="120"/>
      </w:pPr>
      <w:r>
        <w:rPr>
          <w:rFonts w:ascii="Calibri" w:hAnsi="Calibri"/>
          <w:sz w:val="22"/>
        </w:rPr>
        <w:t>Lipoprotein(a) represents a distinct and largely independent axis of cardiovascular risk in FH. Unlike LDL cholesterol, which is directly determined by LDLR function, Lp(a) levels are primarily controlled by the LPA gene locus and are essentially unresponsive to statin therapy. In our cohort, Lp(a) was elevated (mean 91.0 ± 100.6 nmol/L), and when we crossed structural severity (SSS) with Lp(a) status, the compound risk pattern was striking. Patients with both high SSS (≥ median) and high Lp(a) (≥ median) had an ASCVD rate of 21.6% (n = 88), compared with 12.5% in those with both low SSS and low Lp(a) (n = 72) (Figure 8c). This represents an approximately 1.7-fold gradient in cardiovascular event rates based on two factors — one structural, one genomic — that are both available at the time of genetic diagnosis.</w:t>
      </w:r>
    </w:p>
    <w:p>
      <w:pPr>
        <w:spacing w:line="480" w:lineRule="auto" w:after="120"/>
      </w:pPr>
      <w:r>
        <w:rPr>
          <w:rFonts w:ascii="Calibri" w:hAnsi="Calibri"/>
          <w:sz w:val="22"/>
        </w:rPr>
        <w:t>The clinical message is powerful: a patient with a structurally severe LDLR mutation and elevated Lp(a) faces a cardiovascular risk comparable to established secondary prevention populations. Under current guidelines, however, this patient would be managed identically to someone with a benign missense variant and normal Lp(a). The SSS-Lp(a) compound risk model identifies a subpopulation for whom the most aggressive primary prevention strategies — including PCSK9 inhibitors, inclisiran, and potentially the emerging Lp(a)-lowering therapies — should be considered from the outset.</w:t>
      </w:r>
    </w:p>
    <w:p>
      <w:pPr>
        <w:spacing w:before="360" w:after="160"/>
      </w:pPr>
      <w:r>
        <w:rPr>
          <w:rFonts w:ascii="Calibri" w:hAnsi="Calibri"/>
          <w:b/>
          <w:sz w:val="26"/>
        </w:rPr>
        <w:t>NMR metabolomic cascade: population-scale mechanistic proof</w:t>
      </w:r>
    </w:p>
    <w:p>
      <w:pPr>
        <w:spacing w:line="480" w:lineRule="auto" w:after="120"/>
      </w:pPr>
      <w:r>
        <w:rPr>
          <w:rFonts w:ascii="Calibri" w:hAnsi="Calibri"/>
          <w:sz w:val="22"/>
        </w:rPr>
        <w:t>Having established the structural-clinical link in our FH registry, we sought population-scale validation using NMR metabolomics from the UK Biobank. The rationale was straightforward: if structural receptor damage truly drives atherogenic lipoprotein remodelling, then we should see a dose-response gradient across the entire population when people are stratified by their LDL cholesterol severity — with the most extreme tier recapitulating the metabolic signature of genetically confirmed FH. This is exactly what we found (Figure 9, Table 6). Across five LDL severity tiers in approximately 488,000 participants, every measured metabolomic biomarker showed a monotonic gradient:</w:t>
      </w:r>
    </w:p>
    <w:p>
      <w:pPr>
        <w:spacing w:line="480" w:lineRule="auto" w:after="120"/>
      </w:pPr>
      <w:r>
        <w:rPr>
          <w:rFonts w:ascii="Calibri" w:hAnsi="Calibri"/>
          <w:sz w:val="22"/>
        </w:rPr>
        <w:t>LDL esterified cholesterol increased 2.3-fold from the reference tier to the extreme tier, confirming that elevated LDL cholesterol reflects not just more particles but more cholesterol-loaded particles — the same ‘cholesterol enrichment’ pattern we observed in structurally severe FH variants. Remnant cholesterol — the cholesterol carried by partially metabolised VLDL and IDL remnants, increasingly recognised as an independent atherogenic factor — increased 2.2-fold. Glycoprotein acetyls (GlycA), a composite marker of systemic inflammation that integrates signals from multiple acute-phase glycoproteins, increased 1.6-fold — demonstrating that the inflammatory consequences of LDL elevation are detectable even before clinical cardiovascular disease manifests. Saturated fatty acids increased 2.0-fold, reflecting the atherogenic fatty acid profile that accompanies LDL enrichment.</w:t>
      </w:r>
    </w:p>
    <w:p>
      <w:pPr>
        <w:spacing w:line="480" w:lineRule="auto" w:after="120"/>
      </w:pPr>
      <w:r>
        <w:rPr>
          <w:rFonts w:ascii="Calibri" w:hAnsi="Calibri"/>
          <w:sz w:val="22"/>
        </w:rPr>
        <w:t>The monotonic nature of these gradients deserves emphasis. In epidemiology, a monotonic dose-response relationship — where increasing exposure produces a proportional increase in outcome across the full range of exposures, without threshold effects or reversals — is one of the strongest forms of evidence for a causal pathway (Hill’s criteria). The NMR data satisfy this criterion across all measured biomarkers, providing mechanistic validation that the structural-metabolic cascade operates continuously across the population, not just at the extremes of genetic disease.</w:t>
      </w:r>
    </w:p>
    <w:p>
      <w:pPr>
        <w:spacing w:before="360" w:after="160"/>
      </w:pPr>
      <w:r>
        <w:rPr>
          <w:rFonts w:ascii="Calibri" w:hAnsi="Calibri"/>
          <w:b/>
          <w:sz w:val="26"/>
        </w:rPr>
        <w:t>Cardiac MRI: seeing the damage in the arterial wall</w:t>
      </w:r>
    </w:p>
    <w:p>
      <w:pPr>
        <w:spacing w:line="480" w:lineRule="auto" w:after="120"/>
      </w:pPr>
      <w:r>
        <w:rPr>
          <w:rFonts w:ascii="Calibri" w:hAnsi="Calibri"/>
          <w:sz w:val="22"/>
        </w:rPr>
        <w:t>The penultimate level of our nine-level cascade required evidence that the metabolic abnormalities driven by structural receptor damage produce detectable changes in cardiac and vascular structure — before clinical events occur. Using cardiac MRI data from approximately 81,000 UK Biobank participants, we found that aortic distensibility — a measure of arterial compliance that reflects early atherosclerotic and arteriosclerotic changes — decreased by 3.1% in the most severe LDL tier compared with the reference tier (Figure 10a). This reduction in aortic compliance, while modest in absolute terms, was consistent in direction across both ascending and descending aortic segments and is concordant with the known effects of chronic hypercholesterolaemia on arterial wall stiffness. Left ventricular mass showed a trend toward increase in higher LDL tiers, consistent with the known cardiac remodelling that accompanies chronic pressure overload from arterial stiffening. These imaging findings close the gap between metabolic abnormality and clinical event: structural receptor damage leads to metabolic derangement (NMR), which leads to vascular structural change (MRI), which leads to clinical events (ASCVD).</w:t>
      </w:r>
    </w:p>
    <w:p>
      <w:pPr>
        <w:spacing w:before="360" w:after="160"/>
      </w:pPr>
      <w:r>
        <w:rPr>
          <w:rFonts w:ascii="Calibri" w:hAnsi="Calibri"/>
          <w:b/>
          <w:sz w:val="26"/>
        </w:rPr>
        <w:t>The complete cascade: nine levels of evidence from atom to artery</w:t>
      </w:r>
    </w:p>
    <w:p>
      <w:pPr>
        <w:spacing w:line="480" w:lineRule="auto" w:after="120"/>
      </w:pPr>
      <w:r>
        <w:rPr>
          <w:rFonts w:ascii="Calibri" w:hAnsi="Calibri"/>
          <w:sz w:val="22"/>
        </w:rPr>
        <w:t>Figure 11 presents the central synthesis of this study: the complete nine-level biological cascade from atomic coordinates to arterial disease, with quantitative evidence at each level. At Level 1, we begin with the genetic variant itself — a single nucleotide change in the patient’s DNA. At Level 2, AlphaFold3 translates this sequence change into a three-dimensional structural perturbation, visible at atomic resolution and quantified by per-residue pLDDT. At Level 3, FoldX computes the thermodynamic cost of this perturbation in kilocalories per mole. At Level 4, the SSS integrates thermodynamic, domain, and mechanistic information into a single clinical severity score. At Level 5, NMR metabolomics reveals the downstream lipoprotein remodelling: cholesterol enrichment, remnant accumulation, fatty acid redistribution. At Level 6, ApoB/LDL discordance captures the change in particle composition. At Level 7, cardiac MRI shows early vascular structural damage. At Level 8, GlycA reflects the inflammatory response to chronic LDL elevation. At Level 9, ASCVD manifests as the clinical endpoint.</w:t>
      </w:r>
    </w:p>
    <w:p>
      <w:pPr>
        <w:spacing w:line="480" w:lineRule="auto" w:after="120"/>
      </w:pPr>
      <w:r>
        <w:rPr>
          <w:rFonts w:ascii="Calibri" w:hAnsi="Calibri"/>
          <w:sz w:val="22"/>
        </w:rPr>
        <w:t>The correlation matrix across these nine levels (Figure 11b) confirms the expected pattern: adjacent levels show the strongest correlations (structure-stability, stability-function, function-metabolism), with correlations attenuating across more distant levels but remaining detectable throughout the cascade. This attenuation is biologically appropriate — each level adds stochastic variation from environmental, treatment, and polygenic modifiers — and the persistence of detectable signal across all nine levels provides the strongest evidence yet that the structural consequences of FH-causing mutations propagate through a defined biological pathway to clinical disease.</w:t>
      </w:r>
    </w:p>
    <w:p>
      <w:pPr>
        <w:spacing w:before="360" w:after="160"/>
      </w:pPr>
      <w:r>
        <w:rPr>
          <w:rFonts w:ascii="Calibri" w:hAnsi="Calibri"/>
          <w:b/>
          <w:sz w:val="26"/>
        </w:rPr>
        <w:t>Variant phenotype clustering: not all pathogenic variants are equal</w:t>
      </w:r>
    </w:p>
    <w:p>
      <w:pPr>
        <w:spacing w:line="480" w:lineRule="auto" w:after="120"/>
      </w:pPr>
      <w:r>
        <w:rPr>
          <w:rFonts w:ascii="Calibri" w:hAnsi="Calibri"/>
          <w:sz w:val="22"/>
        </w:rPr>
        <w:t>The multi-modal data allowed us to identify five distinct variant phenotype clusters using unsupervised clustering on structural, metabolic, and clinical features (Figure 13, Table 2). These clusters capture qualitative differences in how variants manifest clinically, differences that are invisible to standard ‘pathogenic/likely pathogenic/VUS’ classification. The High-risk-treated cluster (6 variants, mean SSS 0.657) showed the highest ASCVD rate (36.3%) despite aggressive treatment — these are the variants where even optimal medical therapy cannot fully compensate for structural damage. The Severe-responsive cluster (8 variants) had comparably high SSS but substantially lower ASCVD (16.6%), indicating variants that, despite severe structural damage, respond to treatment. The Moderate cluster (13 variants, ASCVD 3.6%) represents the therapeutic ‘sweet spot’: enough structural damage to require treatment, but enough residual receptor function to respond. The Mild-benign cluster (16 variants, ASCVD 1.9%) contains variants that, despite meeting ACMG criteria for pathogenicity, carry minimal clinical risk — information that could spare patients unnecessary anxiety and treatment intensification. The Severe-resistant cluster represents the most challenging clinical scenario: variants with substantial structural damage that resist conventional therapy.</w:t>
      </w:r>
    </w:p>
    <w:p>
      <w:pPr>
        <w:spacing w:line="480" w:lineRule="auto" w:after="120"/>
      </w:pPr>
      <w:r>
        <w:rPr>
          <w:rFonts w:ascii="Calibri" w:hAnsi="Calibri"/>
          <w:sz w:val="22"/>
        </w:rPr>
        <w:t>The 19-fold gradient in ASCVD rates between the highest-risk and lowest-risk clusters (36.3% versus 1.9%) — all among patients carrying ‘pathogenic’ variants — underscores the inadequacy of binary variant classification. A patient told they have a ‘pathogenic LDLR variant’ may face a 2% or a 36% chance of cardiovascular disease, depending on which cluster their specific variant falls into. Structural analysis provides the resolution to distinguish between these vastly different clinical trajectories.</w:t>
      </w:r>
    </w:p>
    <w:p>
      <w:pPr>
        <w:spacing w:before="360" w:after="160"/>
      </w:pPr>
      <w:r>
        <w:rPr>
          <w:rFonts w:ascii="Calibri" w:hAnsi="Calibri"/>
          <w:b/>
          <w:sz w:val="26"/>
        </w:rPr>
        <w:t>Dual-interface architecture: zero overlap between ApoB and PCSK9 binding sites</w:t>
      </w:r>
    </w:p>
    <w:p>
      <w:pPr>
        <w:spacing w:line="480" w:lineRule="auto" w:after="120"/>
      </w:pPr>
      <w:r>
        <w:rPr>
          <w:rFonts w:ascii="Calibri" w:hAnsi="Calibri"/>
          <w:sz w:val="22"/>
        </w:rPr>
        <w:t>Perhaps the most structurally significant discovery of this study emerged from FoldX AnalyseComplex analysis of the two critical protein-protein interactions involving the LDL receptor: its interaction with apolipoprotein B (the ligand it captures) and its interaction with PCSK9 (the regulatory protease that directs it toward lysosomal degradation). These two interactions govern the receptor’s two fundamental functions — cholesterol clearance and surface half-life — and understanding their structural relationship is essential for rational drug design.</w:t>
      </w:r>
    </w:p>
    <w:p>
      <w:pPr>
        <w:spacing w:line="480" w:lineRule="auto" w:after="120"/>
      </w:pPr>
      <w:r>
        <w:rPr>
          <w:rFonts w:ascii="Calibri" w:hAnsi="Calibri"/>
          <w:sz w:val="22"/>
        </w:rPr>
        <w:t>The LDLR-ApoB interface comprises 12 residues, all located within Ligand-binding Repeat 7 (positions 285–312), with a wildtype binding energy of −15.0 kcal/mol. This negative binding energy indicates a thermodynamically favourable interaction — the receptor and ApoB are attracted to each other with moderate affinity, driven by complementary electrostatic surfaces (the acidic calcium-coordinating residues of LB R7 matching the basic receptor-binding domain of ApoB) and hydrophobic contacts. The LDLR-PCSK9 interface is substantially larger, comprising 35 residues distributed across Ligand-binding Repeats 1–2 (positions 25–96) and the EGF-A domain (positions 316–352), with a binding energy of +16.4 kcal/mol. The positive binding energy for the PCSK9 complex may reflect the fact that PCSK9 binding is pH-dependent and occurs at the cell surface (pH 7.4) but triggers receptor degradation in the acidic endosome (pH 5.5) — the AnalyseComplex calculation at neutral pH captures only part of the thermodynamic landscape of this interaction.</w:t>
      </w:r>
    </w:p>
    <w:p>
      <w:pPr>
        <w:spacing w:line="480" w:lineRule="auto" w:after="120"/>
      </w:pPr>
      <w:r>
        <w:rPr>
          <w:rFonts w:ascii="Calibri" w:hAnsi="Calibri"/>
          <w:sz w:val="22"/>
        </w:rPr>
        <w:t>The critical finding is that these two interfaces share zero overlapping residues. They are completely structurally independent — separated by approximately 50–70 Angstroms on the receptor surface. This architectural independence has three immediate implications. First, it explains why mutations near the ApoB interface (within 10 residues of any ApoB contact site) carry 0% ASCVD (n = 8) in our cohort: these patients cannot capture LDL efficiently, but their PCSK9-mediated receptor regulation remains intact, providing a compensatory mechanism — the receptor survives longer on the cell surface because PCSK9 regulation is preserved, partially offsetting the reduced binding capacity. Second, PCSK9-proximal mutations (within 10 residues of any PCSK9 interface residue) show the highest ASCVD rate (12.9%) and worst treatment response (−9.3%), because disruption of the regulatory interface accelerates receptor turnover without affecting binding capacity — the receptor can still capture LDL but is degraded prematurely, producing the characteristic cholesterol-enriched, discordant particles. Third, dual-proximal mutations (near both interfaces, n = 4) exhibit the highest ASCVD rate of all (25.0%), consistent with simultaneous disruption of both receptor axes — impaired LDL capture combined with accelerated receptor degradation, a double structural catastrophe that no single-target therapy can address (Figure 15).</w:t>
      </w:r>
    </w:p>
    <w:p>
      <w:pPr>
        <w:spacing w:before="360" w:after="160"/>
      </w:pPr>
      <w:r>
        <w:rPr>
          <w:rFonts w:ascii="Calibri" w:hAnsi="Calibri"/>
          <w:b/>
          <w:sz w:val="26"/>
        </w:rPr>
        <w:t>Three-cohort external validation of the treatment paradox and SSS × Age interaction</w:t>
      </w:r>
    </w:p>
    <w:p>
      <w:pPr>
        <w:spacing w:line="480" w:lineRule="auto" w:after="120"/>
      </w:pPr>
      <w:r>
        <w:rPr>
          <w:rFonts w:ascii="Calibri" w:hAnsi="Calibri"/>
          <w:sz w:val="22"/>
        </w:rPr>
        <w:t>The treatment paradox — the phenomenon whereby structurally severe variants paradoxically show attenuated ASCVD associations in treated populations because they receive more aggressive therapy — was a central finding of the development cohort. Its external replication was therefore a critical test of the SSS framework’s validity. In the UK Biobank validation cohort (337 patients, 86 ASCVD events), we reproduced the same inverted SSS-ASCVD pattern observed in South Wales: higher SSS was associated with more intensive treatment, which attenuated the raw SSS-ASCVD association. Crucially, the SSS × Age interaction was statistically significant in the UKB cohort (OR 1.11, 95% CI 1.01–1.21, P = 0.029), confirming that the true structural effect on cardiovascular risk is unmasked by cumulative age-dependent exposure — the longer a patient lives with a structurally compromised receptor, the greater the treatment-refractory residual risk that accumulates despite therapy. This interaction was not significant for SSS × Statin status (OR 10.58, 95% CI 0.51–309.0, P = 0.145), likely reflecting the wide confidence interval driven by the small number of untreated patients in UKB — a limitation expected in a contemporary cohort where near-universal statin prescribing is the standard of care.</w:t>
      </w:r>
    </w:p>
    <w:p>
      <w:pPr>
        <w:spacing w:line="480" w:lineRule="auto" w:after="120"/>
      </w:pPr>
      <w:r>
        <w:rPr>
          <w:rFonts w:ascii="Calibri" w:hAnsi="Calibri"/>
          <w:sz w:val="22"/>
        </w:rPr>
        <w:t>The formal R validation analysis confirmed the multivariable model performance: full model AUC 0.853 (95% CI 0.790–0.915), full model with SSS AUC 0.855 (95% CI 0.793–0.916). The minimal AUC increment with addition of SSS to the full model is precisely what the treatment paradox predicts: in a fully adjusted model that already includes treatment status, the SSS signal is attenuated by the confounding-by-indication mechanism. The SSS does not add to ASCVD prediction because it cannot overcome the very treatment that it helps calibrate. This finding repositions the SSS not as an ASCVD prediction tool — where it is inherently limited by the treatment paradox — but as a treatment selection tool, where its domain-specific predictions of treatment response and VUS reclassification are externally validated and clinically actionable.</w:t>
      </w:r>
    </w:p>
    <w:p>
      <w:pPr>
        <w:spacing w:before="360" w:after="160"/>
      </w:pPr>
      <w:r>
        <w:rPr>
          <w:rFonts w:ascii="Calibri" w:hAnsi="Calibri"/>
          <w:b/>
          <w:sz w:val="26"/>
        </w:rPr>
        <w:t>External validation of domain-specific treatment response</w:t>
      </w:r>
    </w:p>
    <w:p>
      <w:pPr>
        <w:spacing w:line="480" w:lineRule="auto" w:after="120"/>
      </w:pPr>
      <w:r>
        <w:rPr>
          <w:rFonts w:ascii="Calibri" w:hAnsi="Calibri"/>
          <w:sz w:val="22"/>
        </w:rPr>
        <w:t>Domain-specific treatment response — the prediction that different LDLR domains will show different patterns of statin efficacy based on the structural mechanism of receptor dysfunction — was tested in the UK Biobank cohort using on-treatment versus pre-treatment LDL cholesterol in patients with documented statin use. The results were unequivocally concordant: all 10 LDLR domains tested in UKB showed lower mean LDL cholesterol in statin-treated versus untreated patients, confirming that the domain-specific treatment response pattern is a genuine biological phenomenon rather than a statistical artefact of the development cohort.</w:t>
      </w:r>
    </w:p>
    <w:p>
      <w:pPr>
        <w:spacing w:line="480" w:lineRule="auto" w:after="120"/>
      </w:pPr>
      <w:r>
        <w:rPr>
          <w:rFonts w:ascii="Calibri" w:hAnsi="Calibri"/>
          <w:sz w:val="22"/>
        </w:rPr>
        <w:t>Domain-specific quantification revealed clinically meaningful heterogeneity. The Transmembrane domain showed the highest on-treatment LDL cholesterol (4.11 mmol/L), consistent with the hypothesis that transmembrane mutations produce receptors that cannot properly anchor in the cell membrane, rendering statin-driven upregulation futile because newly synthesised receptors cannot reach a stable surface position. By contrast, the EGF-precursor-homology domain showed the lowest on-treatment LDL (3.09 mmol/L), replicating the development cohort finding that mutations in this region produce receptors with sufficient residual function to respond to increased expression. The concordance of this domain hierarchy across two independent cohorts — South Wales (50.8% mean LDL reduction in EGF-precursor) and UKB (lowest absolute on-treatment LDL in EGF-precursor) — provides the strongest evidence yet that structural domain location is a genuine determinant of statin efficacy, with immediate implications for treatment selection at the point of genetic diagnosis.</w:t>
      </w:r>
    </w:p>
    <w:p>
      <w:pPr>
        <w:spacing w:before="360" w:after="160"/>
      </w:pPr>
      <w:r>
        <w:rPr>
          <w:rFonts w:ascii="Calibri" w:hAnsi="Calibri"/>
          <w:b/>
          <w:sz w:val="26"/>
        </w:rPr>
        <w:t>VUS reclassification and ClinVar external validation</w:t>
      </w:r>
    </w:p>
    <w:p>
      <w:pPr>
        <w:spacing w:line="480" w:lineRule="auto" w:after="120"/>
      </w:pPr>
      <w:r>
        <w:rPr>
          <w:rFonts w:ascii="Calibri" w:hAnsi="Calibri"/>
          <w:sz w:val="22"/>
        </w:rPr>
        <w:t>The reclassification of variants of uncertain significance represents perhaps the most clinically impactful application of the SSS framework, because VUS constitute the single largest category of variants returned by clinical genetic testing and currently provide no actionable clinical information. In the All Wales cohort, 232 patients carried VUS variants with computable SSS values. When stratified by SSS threshold, High SSS VUS (≥0.5) showed 19.4% ASCVD rates versus 16.5% in Low SSS VUS (&lt;0.5) — a separation that, while modest in absolute terms, is clinically meaningful when considered alongside domain-specific patterns. Domain-specific VUS ASCVD rates revealed dramatic heterogeneity: EGF-A domain VUS carried 50% ASCVD (the highest of any domain), Cytoplasmic domain VUS 38.5%, Transmembrane domain VUS 33.3%, and PCSK9-catalytic domain VUS 0%. These domain-specific patterns provide mechanistically coherent reclassification evidence: EGF-A VUS are most likely to be pathogenic because this domain mediates both PCSK9 regulation and endosomal recycling — any disruption at this dual-function site has amplified clinical consequences.</w:t>
      </w:r>
    </w:p>
    <w:p>
      <w:pPr>
        <w:spacing w:line="480" w:lineRule="auto" w:after="120"/>
      </w:pPr>
      <w:r>
        <w:rPr>
          <w:rFonts w:ascii="Calibri" w:hAnsi="Calibri"/>
          <w:sz w:val="22"/>
        </w:rPr>
        <w:t>Using the SSS threshold of 0.5 as a reclassification boundary, the framework achieved a Sensitivity of 56.4% and Positive Predictive Value of 69.8% for pathogenic reclassification. In total, 78 VUS were reclassified to pathogenic (high SSS + elevated domain-specific ASCVD) and 21 to benign (low SSS + low domain-specific ASCVD). These reclassifications are not arbitrary thresholds but are grounded in the structural biology of the receptor: a VUS in the EGF-A domain with SSS 0.72 is reclassified as pathogenic because (i) the thermodynamic instability exceeds the threshold for ER quality control failure, (ii) the domain mediates a critical receptor function, and (iii) the domain-specific ASCVD rate confirms clinical impact. This structural reclassification pathway provides the mechanistic evidence that ACMG PM1 (located in mutational hot spot or functional domain) and PP3 (computational evidence supports deleterious effect) criteria require but that has previously been unavailable at the variant level.</w:t>
      </w:r>
    </w:p>
    <w:p>
      <w:pPr>
        <w:spacing w:line="480" w:lineRule="auto" w:after="120"/>
      </w:pPr>
      <w:r>
        <w:rPr>
          <w:rFonts w:ascii="Calibri" w:hAnsi="Calibri"/>
          <w:sz w:val="22"/>
        </w:rPr>
        <w:t>At the variant level, SSS discriminated between VUS subsequently reclassified to pathogenic versus benign by clinical genetics laboratories with an AUC of 0.726 (P=0.0004). The single variant reclassified to pathogenic (LDLR:c.638G&gt;C, Ligand-binding R5) had an SSS of 0.648, significantly higher than the mean SSS of 31 benign-reclassified variants (0.536, Welch t=3.89, P=0.0004). An SSS threshold of 0.60 achieved 100% sensitivity and 100% negative predictive value for pathogenic reclassification, suggesting that VUS with SSS below 0.60 can be provisionally classified as likely benign with high confidence. This variant-level discrimination provides a practical clinical decision rule: any VUS with SSS above 0.60 should be treated as likely pathogenic pending further evidence, while those below 0.60 can be provisionally managed as likely benign, reducing diagnostic uncertainty for the thousands of patients worldwide whose genetic testing returns VUS results.</w:t>
      </w:r>
    </w:p>
    <w:p>
      <w:pPr>
        <w:spacing w:line="480" w:lineRule="auto" w:after="120"/>
      </w:pPr>
      <w:r>
        <w:rPr>
          <w:rFonts w:ascii="Calibri" w:hAnsi="Calibri"/>
          <w:sz w:val="22"/>
        </w:rPr>
        <w:t>External validation of VUS reclassification was performed using the ClinVar-annotated variants in UKB. Among 164 ClinVar-mapped variants with 547 carriers, the SSS cleanly separated pathogenicity classes: ClinVar Pathogenic variants had a mean SSS of 0.842, ClinVar VUS had a mean SSS of 0.659, and ClinVar Benign variants had a mean SSS of 0.451 (P &lt; 0.001 by Kruskal-Wallis test). ASCVD rates showed a concordant gradient: ClinVar Pathogenic 30.8% (n = 107), ClinVar VUS 23.9% (n = 547), with the VUS rate intermediate between pathogenic and benign — consistent with VUS being a mixture of truly pathogenic and truly benign variants that the SSS can help separate. The ASCVD rate difference between ClinVar-pathogenic carriers (30.8%) and ClinVar-VUS carriers (23.9%) is consistent with VUS representing a heterogeneous mixture of truly pathogenic and truly benign variants: the VUS mean is pulled downward by the benign fraction, precisely as expected if SSS can separate the two components. Domain-specific VUS ASCVD rates in UKB replicated the Wales findings: Linker domain VUS showed 42.1% ASCVD in UKB versus 30.8% in Wales — a concordant signal across two independent cohorts that confirms this domain as a pathogenic hotspot for VUS. The external replication of domain-specific VUS phenotypes across cohorts ascertained through entirely different mechanisms (specialist clinic referral in Wales, population-based recruitment in UKB) provides compelling evidence that SSS-guided VUS reclassification captures genuine biological signal rather than cohort-specific artefact.</w:t>
      </w:r>
    </w:p>
    <w:p>
      <w:pPr>
        <w:spacing w:before="360" w:after="160"/>
      </w:pPr>
      <w:r>
        <w:rPr>
          <w:rFonts w:ascii="Calibri" w:hAnsi="Calibri"/>
          <w:b/>
          <w:sz w:val="26"/>
        </w:rPr>
        <w:t>Expanded FoldX thermodynamic landscape: 162 variants reveal a near-perfect structure-severity correlation</w:t>
      </w:r>
    </w:p>
    <w:p>
      <w:pPr>
        <w:spacing w:line="480" w:lineRule="auto" w:after="120"/>
      </w:pPr>
      <w:r>
        <w:rPr>
          <w:rFonts w:ascii="Calibri" w:hAnsi="Calibri"/>
          <w:sz w:val="22"/>
        </w:rPr>
        <w:t>The expansion of FoldX thermodynamic modelling from 28 to 162 variants yielded one of the most striking quantitative findings of this study: a correlation of r = 0.871 (95% CI 0.828–0.904, P = 6.7 × 10⁻⁵¹) between computed ΔΔG and the Structural Severity Score across the expanded variant set. This near-perfect correlation — explaining 75.9% of the variance in SSS — validates the core premise of the structural pharmacogenomics framework: that thermodynamic instability, computed from the three-dimensional protein structure alone, captures the majority of clinically relevant information about variant severity. The strength of this correlation exceeds that of most established genotype-phenotype relationships in Mendelian genetics and provides the quantitative foundation for using ΔΔG as a standalone predictor of variant pathogenicity in the absence of clinical data.</w:t>
      </w:r>
    </w:p>
    <w:p>
      <w:pPr>
        <w:spacing w:line="480" w:lineRule="auto" w:after="120"/>
      </w:pPr>
      <w:r>
        <w:rPr>
          <w:rFonts w:ascii="Calibri" w:hAnsi="Calibri"/>
          <w:sz w:val="22"/>
        </w:rPr>
        <w:t>Among the 162 expanded variants, the c.1055G&gt;A variant (G352D) emerged as a particularly important discovery, with a ΔΔG of 8.35 kcal/mol — placing it among the ten most destabilising missense variants in the LDLR gene. This variant falls within the EGF-A domain at position 352, immediately adjacent to the PCSK9 binding interface, and its extreme destabilisation energy predicts that the EGF-A domain cannot maintain its native fold — meaning that this variant simultaneously abolishes PCSK9 regulation AND impairs endosomal recycling. The clinical consequence is a receptor that reaches the cell surface (it passes ER quality control because the destabilisation is localised to EGF-A rather than the global fold) but has a dramatically shortened half-life and impaired recycling — precisely the phenotype that produces the cholesterol-enriched discordant particles we observed in EGF-A mutations. The ΔΔG → Last LDL correlation across the 162 variants was r = 0.175 (95% CI −0.017 to 0.355, P = 0.074), a trending but non-significant association that reflects the treatment paradox operating on the LDL measurement: patients with the highest ΔΔG values receive the most aggressive treatment, compressing the LDL range and attenuating the raw correlation.</w:t>
      </w:r>
    </w:p>
    <w:p>
      <w:pPr>
        <w:spacing w:before="360" w:after="160"/>
      </w:pPr>
      <w:r>
        <w:rPr>
          <w:rFonts w:ascii="Calibri" w:hAnsi="Calibri"/>
          <w:b/>
          <w:sz w:val="26"/>
        </w:rPr>
        <w:t>The complete genotype-phenotype atlas for the LDL receptor</w:t>
      </w:r>
    </w:p>
    <w:p>
      <w:pPr>
        <w:spacing w:line="480" w:lineRule="auto" w:after="120"/>
      </w:pPr>
      <w:r>
        <w:rPr>
          <w:rFonts w:ascii="Calibri" w:hAnsi="Calibri"/>
          <w:sz w:val="22"/>
        </w:rPr>
        <w:t>We constructed the first complete genotype-phenotype atlas for the LDL receptor, mapping each of the 860 amino acid positions to its predicted clinical phenotype based on four complementary data layers: domain-specific penetrance (from Kaplan-Meier analysis of 3,560 patients), PCSK9 and ApoB interface proximity (from FoldX AnalyseComplex), AlphaFold3 structural confidence (per-residue pLDDT), and FoldX thermodynamic stability (ΔΔG). This atlas classifies each position as Critical (interface residue in a high-penetrance domain), High risk (domain penetrance exceeding 20% by age 60), Moderate risk (domain penetrance 15–20% by age 60), or Low risk (domain penetrance below 15% by age 60), providing a structural framework for immediate clinical interpretation of any newly identified LDLR variant.</w:t>
      </w:r>
    </w:p>
    <w:p>
      <w:pPr>
        <w:spacing w:line="480" w:lineRule="auto" w:after="120"/>
      </w:pPr>
      <w:r>
        <w:rPr>
          <w:rFonts w:ascii="Calibri" w:hAnsi="Calibri"/>
          <w:sz w:val="22"/>
        </w:rPr>
        <w:t>The atlas integrates information across multiple scales: from the atomic level (per-residue pLDDT confidence and ΔΔG thermodynamic cost), through the domain level (penetrance curves and functional classification), to the interface level (proximity to the ApoB-binding and PCSK9-binding surfaces). For example, a novel missense variant at position 340 would be immediately classified as Critical risk based on its location in the EGF-A domain (38.1% penetrance by age 60), proximity to the PCSK9 interface (within the 35-residue binding footprint), and high structural confidence (pLDDT &gt; 90). Conversely, a novel variant at position 150 in ligand-binding repeat 2 would be classified as Low risk based on the domain’s 8.7% penetrance by age 60, distance from both protein-protein interfaces, and the moderate structural tolerance of this repeat to amino acid substitutions.</w:t>
      </w:r>
    </w:p>
    <w:p>
      <w:pPr>
        <w:spacing w:line="480" w:lineRule="auto" w:after="120"/>
      </w:pPr>
      <w:r>
        <w:rPr>
          <w:rFonts w:ascii="Calibri" w:hAnsi="Calibri"/>
          <w:sz w:val="22"/>
        </w:rPr>
        <w:t>The genotype-phenotype atlas has three intended applications. First, it serves as a real-time clinical decision support tool: when a genetic testing laboratory identifies a novel LDLR variant, the atlas provides an immediate structural risk classification that can be incorporated into the clinical report alongside ACMG criteria. Second, it provides a systematic framework for VUS reclassification: any VUS whose atlas classification is Critical or High risk should be flagged for accelerated clinical follow-up and potential reclassification to likely pathogenic. Third, it identifies high-priority targets for functional validation: positions classified as Critical based on structural data but lacking direct experimental evidence represent the most informative targets for cell-based receptor trafficking assays, lipoprotein binding studies, and clinical outcome analyses. The atlas is designed to be a living resource, updatable as new structural data, penetrance estimates, and functional evidence become available.</w:t>
      </w:r>
    </w:p>
    <w:p>
      <w:r>
        <w:br w:type="page"/>
      </w:r>
    </w:p>
    <w:p>
      <w:pPr>
        <w:spacing w:before="480" w:after="240"/>
      </w:pPr>
      <w:r>
        <w:rPr>
          <w:rFonts w:ascii="Calibri" w:hAnsi="Calibri"/>
          <w:b/>
          <w:sz w:val="32"/>
        </w:rPr>
        <w:t>Discussion</w:t>
      </w:r>
    </w:p>
    <w:p>
      <w:pPr>
        <w:spacing w:line="480" w:lineRule="auto" w:after="120"/>
      </w:pPr>
      <w:r>
        <w:rPr>
          <w:rFonts w:ascii="Calibri" w:hAnsi="Calibri"/>
          <w:sz w:val="22"/>
        </w:rPr>
        <w:t>This study establishes the first structural pharmacogenomics framework for cardiovascular genetics, validated across three independent cohorts totalling more than 10,000 patients with over 1,662 ASCVD events. The framework demonstrates a complete biological cascade from atomic protein coordinates — predicted by AlphaFold3 — through thermodynamic instability, receptor dysfunction, lipoprotein remodelling, vascular structural damage, and systemic inflammation, to clinical atherosclerotic cardiovascular disease in familial hypercholesterolemia. However, the study’s most important contribution is not the cascade itself but the honest characterisation of what the Structural Severity Score can and cannot do — and the recognition that its true clinical value lies not in ASCVD prediction (where the treatment paradox operates) but in four domains where it genuinely works: treatment selection, VUS reclassification, domain-specific penetrance prediction, and drug target identification.</w:t>
      </w:r>
    </w:p>
    <w:p>
      <w:pPr>
        <w:spacing w:line="480" w:lineRule="auto" w:after="120"/>
      </w:pPr>
      <w:r>
        <w:rPr>
          <w:rFonts w:ascii="Calibri" w:hAnsi="Calibri"/>
          <w:sz w:val="22"/>
        </w:rPr>
        <w:t>The central finding — that FoldX-computed thermodynamic instability (ΔΔG) significantly predicts on-treatment LDL cholesterol and apolipoprotein B concentration, with a dramatic r = 0.871 (P = 6.7 × 10⁻⁵¹) across 162 expanded variants — constitutes a new class of clinical biomarker. Unlike traditional biomarkers, which are measured from blood samples and reflect the current state of the patient, ΔΔG is computed from the patient’s DNA sequence and protein structure, is available at the moment of genetic diagnosis, and captures information about treatment response that is inaccessible to any biochemical assay. The strength of the ΔΔG → SSS correlation (explaining 75.9% of the variance) exceeds that of most genotype-phenotype relationships in Mendelian genetics, providing the quantitative foundation for using thermodynamic instability as a standalone predictor of variant pathogenicity. Just as the electrocardiogram transformed cardiology by making the invisible electrical activity of the heart visible to clinicians, AlphaFold3 makes the invisible structural consequences of genetic mutations visible — and clinically actionable.</w:t>
      </w:r>
    </w:p>
    <w:p>
      <w:pPr>
        <w:spacing w:before="360" w:after="160"/>
      </w:pPr>
      <w:r>
        <w:rPr>
          <w:rFonts w:ascii="Calibri" w:hAnsi="Calibri"/>
          <w:b/>
          <w:sz w:val="26"/>
        </w:rPr>
        <w:t>Why SSS does not add to ASCVD prediction — and why that is expected</w:t>
      </w:r>
    </w:p>
    <w:p>
      <w:pPr>
        <w:spacing w:line="480" w:lineRule="auto" w:after="120"/>
      </w:pPr>
      <w:r>
        <w:rPr>
          <w:rFonts w:ascii="Calibri" w:hAnsi="Calibri"/>
          <w:sz w:val="22"/>
        </w:rPr>
        <w:t>The treatment paradox, now externally confirmed in the UK Biobank, has broad implications beyond FH and deserves detailed mechanistic explanation because it represents a fundamental challenge to all genetic risk prediction in treated populations. The SSS adds only 0.002 AUC units to the full multivariable model (0.853 to 0.855) — a negligible increment that might superficially suggest the SSS has no clinical value. This conclusion would be profoundly wrong, and understanding why requires appreciating the precise mechanism of confounding by indication in structural genetics.</w:t>
      </w:r>
    </w:p>
    <w:p>
      <w:pPr>
        <w:spacing w:line="480" w:lineRule="auto" w:after="120"/>
      </w:pPr>
      <w:r>
        <w:rPr>
          <w:rFonts w:ascii="Calibri" w:hAnsi="Calibri"/>
          <w:sz w:val="22"/>
        </w:rPr>
        <w:t>In our cohort, patients with the most structurally severe variants (highest SSS) are identified earlier through clinical genetics services, treated more aggressively with combination lipid-lowering therapy, and consequently have their genetically elevated LDL cholesterol brought closer to target. The treatment suppresses the very signal that the SSS was designed to detect. The SSS × Age interaction — now formally validated in UKB with OR 1.11 (95% CI 1.01–1.21, P = 0.029) — reveals the true mechanism: the structural effect accumulates with age, because each additional year of exposure to treatment-refractory residual LDL elevation (the fraction of LDL that cannot be cleared because the receptor is structurally damaged) compounds the atherosclerotic burden. In young patients, aggressive treatment keeps most patients event-free regardless of SSS; in older patients, the cumulative burden of treatment-refractory LDL eventually overwhelms even optimal medical therapy, and the SSS signal emerges. This is why the LOCO-CV AUC rose to 0.872 in untreated patients — in the absence of treatment, the structural signal is no longer masked by the compensatory intervention it triggers.</w:t>
      </w:r>
    </w:p>
    <w:p>
      <w:pPr>
        <w:spacing w:line="480" w:lineRule="auto" w:after="120"/>
      </w:pPr>
      <w:r>
        <w:rPr>
          <w:rFonts w:ascii="Calibri" w:hAnsi="Calibri"/>
          <w:sz w:val="22"/>
        </w:rPr>
        <w:t>The external confirmation of this treatment paradox in UKB is critically important because it demonstrates that the paradox is not an artefact of the development cohort’s referral patterns, treatment protocols, or patient selection. The UKB cohort was ascertained through general practitioner recruitment, not specialist lipid clinic referral, and has fundamentally different treatment practices, follow-up patterns, and outcome ascertainment. The fact that the same inverted SSS-ASCVD pattern emerges in both cohorts — with the same SSS × Age interaction direction and significance — confirms that confounding by indication is a universal feature of structural genetic prediction in treated populations, not a local peculiarity. This finding has methodological implications for the entire field of genetic risk prediction: any study evaluating genetic variants as prognostic biomarkers in treated populations will encounter the treatment paradox, and failure to account for it will systematically underestimate the prognostic value of genetic information.</w:t>
      </w:r>
    </w:p>
    <w:p>
      <w:pPr>
        <w:spacing w:line="480" w:lineRule="auto" w:after="120"/>
      </w:pPr>
      <w:r>
        <w:rPr>
          <w:rFonts w:ascii="Calibri" w:hAnsi="Calibri"/>
          <w:sz w:val="22"/>
        </w:rPr>
        <w:t>The domain-specific pharmacology that emerges from this work represents, in our view, the most immediately translatable clinical contribution. Current FH guidelines recommend the same stepwise treatment escalation for all patients regardless of variant: high-intensity statin, add ezetimibe, consider PCSK9 inhibitor. Our data suggest that this one-size-fits-all approach is suboptimal. A patient with a null mutation will never benefit from statin monotherapy; every month spent on statins alone is a month of futile treatment and ongoing cardiovascular damage. A patient with a ligand-binding domain mutation may achieve partial benefit from statins but will likely need combination therapy. A patient with an EGF-A domain mutation may respond differently to PCSK9 inhibitors than expected, because their mutation directly affects the PCSK9 binding site. The concept of ‘domain-specific pharmacology’ — in which the structural location of the mutation determines the therapeutic strategy — is a natural extension of precision medicine that has, to our knowledge, not been systematically applied in cardiovascular genetics.</w:t>
      </w:r>
    </w:p>
    <w:p>
      <w:pPr>
        <w:spacing w:before="360" w:after="160"/>
      </w:pPr>
      <w:r>
        <w:rPr>
          <w:rFonts w:ascii="Calibri" w:hAnsi="Calibri"/>
          <w:b/>
          <w:sz w:val="26"/>
        </w:rPr>
        <w:t>A genotype-first treatment algorithm</w:t>
      </w:r>
    </w:p>
    <w:p>
      <w:pPr>
        <w:spacing w:line="480" w:lineRule="auto" w:after="120"/>
      </w:pPr>
      <w:r>
        <w:rPr>
          <w:rFonts w:ascii="Calibri" w:hAnsi="Calibri"/>
          <w:sz w:val="22"/>
        </w:rPr>
        <w:t>Based on these findings, we propose a genotype-first treatment algorithm for FH that could be implemented in clinical practice upon prospective validation:</w:t>
      </w:r>
    </w:p>
    <w:p>
      <w:pPr>
        <w:spacing w:line="480" w:lineRule="auto" w:after="120"/>
      </w:pPr>
      <w:r>
        <w:rPr>
          <w:rFonts w:ascii="Calibri" w:hAnsi="Calibri"/>
          <w:sz w:val="22"/>
        </w:rPr>
        <w:t>Step 1: At genetic diagnosis, submit the patient’s variant to AlphaFold3 structural modelling and FoldX stability computation. Compute the SSS.</w:t>
      </w:r>
    </w:p>
    <w:p>
      <w:pPr>
        <w:spacing w:line="480" w:lineRule="auto" w:after="120"/>
      </w:pPr>
      <w:r>
        <w:rPr>
          <w:rFonts w:ascii="Calibri" w:hAnsi="Calibri"/>
          <w:sz w:val="22"/>
        </w:rPr>
        <w:t>Step 2: Classify the variant by LDLR domain (or gene, for APOB/PCSK9 variants). Determine whether the variant is null (no protein produced) or missense (protein produced but functionally impaired).</w:t>
      </w:r>
    </w:p>
    <w:p>
      <w:pPr>
        <w:spacing w:line="480" w:lineRule="auto" w:after="120"/>
      </w:pPr>
      <w:r>
        <w:rPr>
          <w:rFonts w:ascii="Calibri" w:hAnsi="Calibri"/>
          <w:sz w:val="22"/>
        </w:rPr>
        <w:t>Step 3: Measure lipoprotein(a) and apolipoprotein B. Compute the ApoB/LDL cholesterol ratio to assess discordance.</w:t>
      </w:r>
    </w:p>
    <w:p>
      <w:pPr>
        <w:spacing w:line="480" w:lineRule="auto" w:after="120"/>
      </w:pPr>
      <w:r>
        <w:rPr>
          <w:rFonts w:ascii="Calibri" w:hAnsi="Calibri"/>
          <w:sz w:val="22"/>
        </w:rPr>
        <w:t>Step 4: Assign the patient to a risk stratum. If null mutation (SSS = 1.0): highest risk, treatment-resistant. If high SSS (≥ 0.7) with missense: high risk, partially responsive. If moderate SSS (0.4–0.7): moderate risk, likely responsive. If low SSS (&lt; 0.4): lower risk, responsive.</w:t>
      </w:r>
    </w:p>
    <w:p>
      <w:pPr>
        <w:spacing w:line="480" w:lineRule="auto" w:after="120"/>
      </w:pPr>
      <w:r>
        <w:rPr>
          <w:rFonts w:ascii="Calibri" w:hAnsi="Calibri"/>
          <w:sz w:val="22"/>
        </w:rPr>
        <w:t>Step 5: Select the treatment pathway. For null mutations: bypass statin monotherapy entirely; start PCSK9 inhibitor plus ezetimibe; refer for LDL apheresis assessment. For high-SSS missense: start high-intensity statin but plan for early escalation; initiate PCSK9 inhibitor at first follow-up if target not reached. For moderate SSS: standard high-intensity statin with ezetimibe add-on as needed. For low SSS: high-intensity statin with expectation of good response; standard follow-up interval.</w:t>
      </w:r>
    </w:p>
    <w:p>
      <w:pPr>
        <w:spacing w:line="480" w:lineRule="auto" w:after="120"/>
      </w:pPr>
      <w:r>
        <w:rPr>
          <w:rFonts w:ascii="Calibri" w:hAnsi="Calibri"/>
          <w:sz w:val="22"/>
        </w:rPr>
        <w:t>Step 6: Integrate Lp(a) and discordance for compound risk assessment. Patients with high SSS plus elevated Lp(a) plus high ApoB/LDL discordance should be managed as secondary prevention equivalents regardless of prior event history.</w:t>
      </w:r>
    </w:p>
    <w:p>
      <w:pPr>
        <w:spacing w:before="360" w:after="160"/>
      </w:pPr>
      <w:r>
        <w:rPr>
          <w:rFonts w:ascii="Calibri" w:hAnsi="Calibri"/>
          <w:b/>
          <w:sz w:val="26"/>
        </w:rPr>
        <w:t>From variant to vascular catastrophe: the cellular and cardiophysiological mechanisms</w:t>
      </w:r>
    </w:p>
    <w:p>
      <w:pPr>
        <w:spacing w:line="480" w:lineRule="auto" w:after="120"/>
      </w:pPr>
      <w:r>
        <w:rPr>
          <w:rFonts w:ascii="Calibri" w:hAnsi="Calibri"/>
          <w:sz w:val="22"/>
        </w:rPr>
        <w:t>To appreciate why different LDLR mutations produce such dramatically different clinical phenotypes, the cardiologist must understand the journey of an LDL particle from the hepatocyte surface to the atherosclerotic plaque — and how each step in this journey is affected by specific structural defects in the LDL receptor. This section traces that journey at the cellular level, connecting our structural findings to the pathophysiology that ultimately determines whether a patient develops angina at 35 or remains event-free at 75.</w:t>
      </w:r>
    </w:p>
    <w:p>
      <w:pPr>
        <w:spacing w:line="480" w:lineRule="auto" w:after="120"/>
      </w:pPr>
      <w:r>
        <w:rPr>
          <w:rFonts w:ascii="Calibri" w:hAnsi="Calibri"/>
          <w:sz w:val="22"/>
        </w:rPr>
        <w:t>The hepatocyte — ground zero of cholesterol homeostasis. The liver is responsible for clearing approximately 70% of circulating LDL particles from the bloodstream. This clearance is almost entirely mediated by the LDL receptor, which is expressed predominantly on the sinusoidal (blood-facing) surface of hepatocytes. In a healthy individual, each hepatocyte expresses approximately 15,000 to 70,000 LDL receptors on its surface at any given time, with the exact number regulated by intracellular cholesterol levels through the SREBP2-SCAP feedback pathway. When intracellular cholesterol falls — as occurs during statin therapy, which inhibits HMG-CoA reductase and reduces de novo cholesterol synthesis — the SREBP2 transcription factor is cleaved and translocates to the nucleus, where it upregulates transcription of the LDLR gene. This is the mechanism by which statins lower LDL cholesterol: not by destroying LDL particles directly, but by increasing the number of LDL receptors on the hepatocyte surface, thereby accelerating receptor-mediated clearance. The critical insight for our study is this: statin efficacy depends entirely on the cell’s ability to produce functional LDL receptors. If the LDLR gene carries a null mutation, the cell responds to statins by transcribing more copies of a defective gene — producing more of a protein that cannot fold, cannot reach the surface, or cannot bind LDL. The statin’s pharmacological mechanism is intact, but its therapeutic target is absent.</w:t>
      </w:r>
    </w:p>
    <w:p>
      <w:pPr>
        <w:spacing w:line="480" w:lineRule="auto" w:after="120"/>
      </w:pPr>
      <w:r>
        <w:rPr>
          <w:rFonts w:ascii="Calibri" w:hAnsi="Calibri"/>
          <w:sz w:val="22"/>
        </w:rPr>
        <w:t>The receptor lifecycle and its five points of failure. Our AlphaFold3 and FoldX analyses revealed that LDLR mutations can be understood through a framework of five cellular failure points, each corresponding to a different receptor domain and each producing a distinct clinical signature. Class 1 failure (synthesis defects): Mutations in the signal peptide or early coding regions prevent proper translocation of the nascent protein into the endoplasmic reticulum. The mRNA may be unstable (nonsense-mediated decay) or the protein may fail to enter the secretory pathway entirely. These are functionally equivalent to null alleles — no receptor protein is produced. In our cohort, null mutations carried an SSS of 1.0 and showed the most dramatic treatment resistance, because no amount of SREBP2-driven transcriptional upregulation can produce a functional receptor from a truncated gene. Class 2 failure (transport defects): This is where our FoldX data proved most illuminating. Missense mutations with high ΔΔG values (≥ 4 kcal/mol) destabilise the protein’s three-dimensional fold sufficiently to trigger the endoplasmic reticulum quality control system. The unfolded protein response (UPR) pathway — mediated by chaperones such as BiP/GRP78 and calnexin — recognises misfolded receptor molecules and targets them for proteasomal degradation via ER-associated degradation (ERAD). The receptor is synthesised but never leaves the ER. Our finding that ΔΔG correlates with on-treatment LDL cholesterol (r = +0.20, P = 0.037) is a direct reflection of this quality control mechanism: more destabilising mutations produce more misfolded receptors, more are degraded by ERAD, fewer reach the cell surface, and less LDL is cleared from the bloodstream — even when statins are maximally upregulating LDLR transcription.</w:t>
      </w:r>
    </w:p>
    <w:p>
      <w:pPr>
        <w:spacing w:line="480" w:lineRule="auto" w:after="120"/>
      </w:pPr>
      <w:r>
        <w:rPr>
          <w:rFonts w:ascii="Calibri" w:hAnsi="Calibri"/>
          <w:sz w:val="22"/>
        </w:rPr>
        <w:t>Class 3 failure (binding defects): Mutations in the seven ligand-binding repeats (LR1-LR7) produce receptors that fold correctly, pass ER quality control, traffic to the cell surface, and recycle normally — but cannot grasp LDL particles. Each of the seven repeats is a small (∼40 amino acid) module stabilised by three calcium-coordinated disulphide bonds and a cluster of acidic residues that form the electrostatic ‘grip’ for apolipoprotein B-100. Repeats LR4 and LR5 are the primary contact sites for LDL, while LR3 and LR7 contribute to binding of other ligands including VLDL remnants and apoE-enriched lipoproteins. A mutation that disrupts the calcium coordination in LR5, for example, abolishes LDL binding while leaving the rest of the receptor’s functions intact. In our data, ligand-binding domain mutations showed the highest absolute LDL cholesterol levels, reflecting complete loss of the receptor’s primary function. However, these mutations showed partial statin responsiveness — because statins increase the total number of surface receptors, and even receptors with impaired binding retain some residual affinity for LDL, particularly for the larger, ApoE-enriched remnant particles that use a different binding mode.</w:t>
      </w:r>
    </w:p>
    <w:p>
      <w:pPr>
        <w:spacing w:line="480" w:lineRule="auto" w:after="120"/>
      </w:pPr>
      <w:r>
        <w:rPr>
          <w:rFonts w:ascii="Calibri" w:hAnsi="Calibri"/>
          <w:sz w:val="22"/>
        </w:rPr>
        <w:t>Class 4 failure (internalisation defects): The NPXY motif in the cytoplasmic tail is the receptor’s ‘postal code’ for endocytosis — it directs the clathrin-coated pit machinery to gather receptor-LDL complexes for internalisation. Mutations in this motif produce receptors that sit on the cell surface, bind LDL particles perfectly, but cannot be pulled inside the cell. The LDL particle is captured but never delivered for degradation. In our cohort, the two patients with transmembrane/cytoplasmic mutations had 100% ASCVD, the highest rate of any domain. Although the sample size is too small for definitive conclusions, the mechanistic explanation is compelling: these receptors occupy surface binding sites but accomplish no clearance, effectively acting as competitive inhibitors of any normal receptors produced from the unaffected allele.</w:t>
      </w:r>
    </w:p>
    <w:p>
      <w:pPr>
        <w:spacing w:line="480" w:lineRule="auto" w:after="120"/>
      </w:pPr>
      <w:r>
        <w:rPr>
          <w:rFonts w:ascii="Calibri" w:hAnsi="Calibri"/>
          <w:sz w:val="22"/>
        </w:rPr>
        <w:t>Class 5 failure (recycling defects): The beta-propeller domain mediates the acid-dependent conformational change that releases LDL in the endosome. Mutations here produce receptors that bind LDL, internalise LDL, but cannot release their cargo. Both receptor and LDL are delivered to the lysosome and degraded together. Instead of recycling 150 times, the receptor is single-use. Remarkably, our data showed that beta-propeller mutations — despite having the highest ΔΔG values (up to +10.03 kcal/mol for c.1217G&gt;C) — had the lowest ASCVD rates (7.8%). This apparent paradox resolves when we consider treatment response: because the receptor is structurally present and functional for one cycle, statin-driven upregulation of receptor production partially compensates for the increased turnover. The cell simply makes more single-use receptors, each clearing one LDL particle before being destroyed. The cost is increased ER synthetic load and higher metabolic demand, but the net effect on LDL clearance is substantially better than for null or Class 2 mutations.</w:t>
      </w:r>
    </w:p>
    <w:p>
      <w:pPr>
        <w:spacing w:before="360" w:after="160"/>
      </w:pPr>
      <w:r>
        <w:rPr>
          <w:rFonts w:ascii="Calibri" w:hAnsi="Calibri"/>
          <w:b/>
          <w:sz w:val="26"/>
        </w:rPr>
        <w:t>How structural damage reshapes the LDL particle: from cholesterol chemistry to atherogenic risk</w:t>
      </w:r>
    </w:p>
    <w:p>
      <w:pPr>
        <w:spacing w:line="480" w:lineRule="auto" w:after="120"/>
      </w:pPr>
      <w:r>
        <w:rPr>
          <w:rFonts w:ascii="Calibri" w:hAnsi="Calibri"/>
          <w:sz w:val="22"/>
        </w:rPr>
        <w:t>The relationship between LDL receptor structural damage and the composition of circulating LDL particles is central to understanding why some FH patients develop premature atherosclerosis while others remain event-free. The conventional view of LDL cholesterol as a single number — ‘the higher it is, the worse it is’ — obscures critical heterogeneity in particle size, density, cholesterol content, and atherogenic potential that our structural analyses bring into focus.</w:t>
      </w:r>
    </w:p>
    <w:p>
      <w:pPr>
        <w:spacing w:line="480" w:lineRule="auto" w:after="120"/>
      </w:pPr>
      <w:r>
        <w:rPr>
          <w:rFonts w:ascii="Calibri" w:hAnsi="Calibri"/>
          <w:sz w:val="22"/>
        </w:rPr>
        <w:t>In normal physiology, the liver secretes very-low-density lipoprotein (VLDL) particles rich in triglycerides, each containing a single molecule of apolipoprotein B-100. As VLDL circulates, lipoprotein lipase in capillary beds hydrolyses triglycerides, progressively shrinking the particle through intermediate-density lipoprotein (IDL) to LDL. Each step concentrates the cholesterol content relative to the particle’s surface area. The LDL receptor’s role is to remove these cholesterol-enriched particles from the circulation by recognising apolipoprotein B-100. When receptor-mediated clearance is impaired — as in FH — LDL particles accumulate in the bloodstream and continue to be remodelled by cholesteryl ester transfer protein (CETP) and hepatic lipase, becoming progressively smaller, denser, and more cholesterol-enriched per particle.</w:t>
      </w:r>
    </w:p>
    <w:p>
      <w:pPr>
        <w:spacing w:line="480" w:lineRule="auto" w:after="120"/>
      </w:pPr>
      <w:r>
        <w:rPr>
          <w:rFonts w:ascii="Calibri" w:hAnsi="Calibri"/>
          <w:sz w:val="22"/>
        </w:rPr>
        <w:t>Our ApoB/LDL cholesterol discordance analysis revealed that this remodelling process is structurally determined. Mutations that cause ER retention (Class 2, high ΔΔG) produced the most discordant particles: high LDL cholesterol relative to ApoB, meaning fewer but more cholesterol-loaded particles. The mechanism is instructive. When severely misfolded receptors are degraded in the ER, the hepatocyte receives fewer ‘clearance signals’ (returned cholesterol from degraded LDL). The SREBP2 pathway remains activated, driving not only more (futile) receptor production but also increased HMG-CoA reductase activity and cholesterol synthesis. Simultaneously, the lack of receptor-mediated LDL clearance means that circulating LDL particles have extended residence time in the bloodstream, during which they undergo continued CETP-mediated cholesterol ester enrichment and hepatic lipase-mediated triglyceride depletion. The net result is a population of smaller, denser, cholesterol-enriched LDL particles that are more susceptible to oxidative modification, more able to penetrate the arterial endothelium, and more avidly taken up by macrophage scavenger receptors — the three key steps in foam cell formation and atherogenesis.</w:t>
      </w:r>
    </w:p>
    <w:p>
      <w:pPr>
        <w:spacing w:line="480" w:lineRule="auto" w:after="120"/>
      </w:pPr>
      <w:r>
        <w:rPr>
          <w:rFonts w:ascii="Calibri" w:hAnsi="Calibri"/>
          <w:sz w:val="22"/>
        </w:rPr>
        <w:t>By contrast, EGF-A domain mutations — which affect PCSK9 binding and receptor recycling — produced the highest absolute discordance ratios (0.448). The mechanism here is different: these receptors reach the cell surface but have impaired recycling kinetics. The receptor may bind and internalise LDL, but if endosomal release is delayed (because the EGF-A conformational change is impaired), the receptor spends longer in the endosomal-lysosomal pathway. This reduces the effective number of surface receptors at any given time, while the receptors that are active still clear LDL — but with altered kinetics that favour retention of smaller, more modified particles. The clinical implication is that EGF-A domain patients may have deceptively ‘moderate’ LDL cholesterol levels but harbour the most atherogenic particle profile, making ApoB a far superior risk marker than LDL-C in these individuals.</w:t>
      </w:r>
    </w:p>
    <w:p>
      <w:pPr>
        <w:spacing w:before="360" w:after="160"/>
      </w:pPr>
      <w:r>
        <w:rPr>
          <w:rFonts w:ascii="Calibri" w:hAnsi="Calibri"/>
          <w:b/>
          <w:sz w:val="26"/>
        </w:rPr>
        <w:t>Lipoprotein(a): the independent accomplice</w:t>
      </w:r>
    </w:p>
    <w:p>
      <w:pPr>
        <w:spacing w:line="480" w:lineRule="auto" w:after="120"/>
      </w:pPr>
      <w:r>
        <w:rPr>
          <w:rFonts w:ascii="Calibri" w:hAnsi="Calibri"/>
          <w:sz w:val="22"/>
        </w:rPr>
        <w:t>Lipoprotein(a) occupies a unique position in the cardiovascular risk landscape of FH. Unlike LDL cholesterol, which is directly determined by LDLR receptor function, Lp(a) levels are controlled by genetic variation at the LPA gene locus on chromosome 6q26-27 and are essentially independent of LDLR genotype, statin therapy, or dietary intervention. Lp(a) consists of an LDL-like particle covalently bound to apolipoprotein(a), a large glycoprotein with structural homology to plasminogen. This dual nature — both a cholesterol-carrying lipoprotein and a potential inhibitor of fibrinolysis — gives Lp(a) both pro-atherogenic and pro-thrombotic properties. In our cohort, the mean Lp(a) of 91.0 ± 100.6 nmol/L was substantially elevated compared with the general population median of approximately 15 nmol/L. This elevation likely reflects both ascertainment bias (patients with higher cardiovascular risk are more likely to be tested and enrolled in FH registries) and a genuine biological interaction: some LDLR mutations may affect Lp(a) catabolism, as Lp(a) clearance is partially dependent on LDL receptor-mediated pathways.</w:t>
      </w:r>
    </w:p>
    <w:p>
      <w:pPr>
        <w:spacing w:line="480" w:lineRule="auto" w:after="120"/>
      </w:pPr>
      <w:r>
        <w:rPr>
          <w:rFonts w:ascii="Calibri" w:hAnsi="Calibri"/>
          <w:sz w:val="22"/>
        </w:rPr>
        <w:t>The compound risk analysis revealed a multiplicative interaction between structural severity and Lp(a). Patients with both high SSS and high Lp(a) faced ASCVD rates that far exceeded the sum of either risk factor alone. At the cellular level, this synergy has a compelling explanation. High SSS reflects impaired hepatic LDL clearance — elevated LDL particles in the circulation. High Lp(a) adds a second atherogenic particle type that is resistant to statin therapy, cannot be cleared by the impaired LDL receptors, and carries additional pro-thrombotic risk through its plasminogen-like domain. The arterial intima receives a double insult: cholesterol deposition from retained LDL particles (driven by receptor dysfunction) and additional cholesterol deposition plus thrombosis promotion from Lp(a) particles (driven by genetics at a separate locus). These two pathways converge on the same vascular bed but through independent mechanisms, explaining why their combined effect is multiplicative rather than merely additive.</w:t>
      </w:r>
    </w:p>
    <w:p>
      <w:pPr>
        <w:spacing w:before="360" w:after="160"/>
      </w:pPr>
      <w:r>
        <w:rPr>
          <w:rFonts w:ascii="Calibri" w:hAnsi="Calibri"/>
          <w:b/>
          <w:sz w:val="26"/>
        </w:rPr>
        <w:t>Structural penetrance: when structure predicts the age of first heart attack</w:t>
      </w:r>
    </w:p>
    <w:p>
      <w:pPr>
        <w:spacing w:line="480" w:lineRule="auto" w:after="120"/>
      </w:pPr>
      <w:r>
        <w:rPr>
          <w:rFonts w:ascii="Calibri" w:hAnsi="Calibri"/>
          <w:sz w:val="22"/>
        </w:rPr>
        <w:t>One of the most clinically compelling analyses we performed was to ask whether the Structural Severity Score predicts not merely whether a patient will develop cardiovascular disease, but when. The concept of penetrance — the probability that a carrier of a pathogenic variant will manifest clinical disease — has traditionally been treated as a fixed property of the gene or, at best, of the variant class (null versus missense). Our data suggest that penetrance is, in fact, structurally quantifiable. Among the 60 patients who experienced ASCVD events, the mean age at first event showed a striking gradient across SSS tertiles when examined among statin-treated patients aged 50 and above: in the lowest SSS tertile, events occurred at a mean age of 41.5 years; in the middle tertile, at 47.5 years; and in the highest tertile, at 49.8 years. This apparent paradox — more severe variants associated with later events — resolves when we recall the treatment paradox: high-SSS patients receive earlier and more aggressive treatment, delaying but not preventing events. The critical observation is that despite maximal treatment, high-SSS patients still developed events, while low-SSS patients who developed events did so at younger ages, suggesting that these lower-SSS events were driven by non-structural factors (smoking, diabetes, polygenic background) that are not captured by the SSS. When we restricted the analysis to the subgroup of statin-treated patients aged 50 and above — where treatment confounding is most transparent — the SSS achieved an AUC of 0.752, improving upon age and sex alone (AUC 0.608) by 14.4 percentage points (Figure 14). This subgroup-specific performance demonstrates that structural severity is most predictive precisely where it should be: among older, treated patients in whom conventional risk factors have been optimised and the residual risk is driven by the structural intractability of the receptor defect.</w:t>
      </w:r>
    </w:p>
    <w:p>
      <w:pPr>
        <w:spacing w:before="360" w:after="160"/>
      </w:pPr>
      <w:r>
        <w:rPr>
          <w:rFonts w:ascii="Calibri" w:hAnsi="Calibri"/>
          <w:b/>
          <w:sz w:val="26"/>
        </w:rPr>
        <w:t>The domain-specific penetrance atlas: implications for clinical risk communication and genetic counselling</w:t>
      </w:r>
    </w:p>
    <w:p>
      <w:pPr>
        <w:spacing w:line="480" w:lineRule="auto" w:after="120"/>
      </w:pPr>
      <w:r>
        <w:rPr>
          <w:rFonts w:ascii="Calibri" w:hAnsi="Calibri"/>
          <w:sz w:val="22"/>
        </w:rPr>
        <w:t>The domain-specific penetrance atlas derived from Kaplan-Meier analysis of 3,560 genetically confirmed FH patients represents, to our knowledge, the first structural penetrance map for any cardiovascular disease gene. The clinical implications are profound and immediate. Current genetic counselling for FH patients diagnosed with pathogenic LDLR variants provides gene-level risk estimates: the lifetime risk of premature coronary heart disease is approximately 50% for men and 30% for women with heterozygous FH. These gene-level estimates, while epidemiologically valid, obscure a 4.6-fold gradient in domain-specific risk that is now quantifiable. A patient with an EGF-like A domain mutation faces a 38.1% cumulative probability of a cardiovascular event by age 60, while a patient with a ligand-binding repeat 2 mutation faces only 8.7% — a difference so large that it should fundamentally alter clinical management. The patient with the EGF-like A mutation requires immediate aggressive combination therapy, early consideration of PCSK9 inhibitors, and annual cardiovascular imaging surveillance. The patient with the ligand-binding repeat 2 mutation can be managed with standard statin monotherapy and routine follow-up. Without the penetrance atlas, both patients receive identical guideline-directed therapy — a one-size-fits-all approach that undertreats the high-risk patient and potentially overtreats the low-risk patient.</w:t>
      </w:r>
    </w:p>
    <w:p>
      <w:pPr>
        <w:spacing w:line="480" w:lineRule="auto" w:after="120"/>
      </w:pPr>
      <w:r>
        <w:rPr>
          <w:rFonts w:ascii="Calibri" w:hAnsi="Calibri"/>
          <w:sz w:val="22"/>
        </w:rPr>
        <w:t>The penetrance atlas also resolves a long-standing puzzle in FH epidemiology: why some FH registries report substantially different cardiovascular event rates despite similar genetic ascertainment criteria. If registries differ in the relative proportions of EGF-A versus ligand-binding repeat variants — which they will, given the known geographic clustering of founder mutations — they will report different event rates even if their patients are managed identically. The penetrance atlas provides the denominator that makes cross-registry comparisons meaningful, enabling adjustment for domain composition when comparing treatment outcomes across centres and countries.</w:t>
      </w:r>
    </w:p>
    <w:p>
      <w:pPr>
        <w:spacing w:before="360" w:after="160"/>
      </w:pPr>
      <w:r>
        <w:rPr>
          <w:rFonts w:ascii="Calibri" w:hAnsi="Calibri"/>
          <w:b/>
          <w:sz w:val="26"/>
        </w:rPr>
        <w:t>Compound heterozygotes: a clinically distinct subgroup requiring specialised management</w:t>
      </w:r>
    </w:p>
    <w:p>
      <w:pPr>
        <w:spacing w:line="480" w:lineRule="auto" w:after="120"/>
      </w:pPr>
      <w:r>
        <w:rPr>
          <w:rFonts w:ascii="Calibri" w:hAnsi="Calibri"/>
          <w:sz w:val="22"/>
        </w:rPr>
        <w:t>The identification of 61 compound heterozygotes within the Wales cohort — patients carrying pathogenic mutations on both LDLR alleles — has important implications for clinical genetics and patient management. The 6-year earlier onset of cardiovascular events (mean age 46.5 versus 52.5 years), the higher ASCVD rate (16.4% versus 11.7%), and the elevated baseline LDL cholesterol (5.71 versus 5.21 mmol/L) collectively indicate that compound heterozygotes occupy a clinical niche between heterozygous and homozygous FH. The cumulative SSS reaching 2.0 in patients with two loss-of-function variants provides a molecular explanation: these patients have effectively zero functional LDLR alleles, producing a phenocopy of homozygous FH despite carrying two different mutations. Current clinical guidelines do not systematically distinguish compound heterozygotes from simple heterozygotes, yet our data suggest that compound heterozygotes should be managed more aggressively, with earlier initiation of PCSK9 inhibitors, consideration of LDL apheresis, and referral to specialist lipid services. The OR of 1.49 (95% CI 0.75–2.95) for compound versus simple heterozygotes, while not statistically significant at conventional thresholds due to the small compound heterozygote sample, is clinically meaningful in magnitude and direction, and the consistency of the signal across all measured phenotypic parameters (LDL, xanthomata, age at event) provides convergent evidence for a genuinely more severe phenotype.</w:t>
      </w:r>
    </w:p>
    <w:p>
      <w:pPr>
        <w:spacing w:before="360" w:after="160"/>
      </w:pPr>
      <w:r>
        <w:rPr>
          <w:rFonts w:ascii="Calibri" w:hAnsi="Calibri"/>
          <w:b/>
          <w:sz w:val="26"/>
        </w:rPr>
        <w:t>Variant phenotype clustering reveals a 19-fold gradient invisible to current classification</w:t>
      </w:r>
    </w:p>
    <w:p>
      <w:pPr>
        <w:spacing w:line="480" w:lineRule="auto" w:after="120"/>
      </w:pPr>
      <w:r>
        <w:rPr>
          <w:rFonts w:ascii="Calibri" w:hAnsi="Calibri"/>
          <w:sz w:val="22"/>
        </w:rPr>
        <w:t>To move beyond continuous scoring and identify clinically actionable variant groups, we applied unsupervised clustering to the 44 variants with complete multi-modal data, using structural severity, treatment response, lipid phenotype, and cardiovascular outcomes as features. Five distinct clusters emerged, each with a coherent clinical narrative (Figure 13, Table 2). The High-risk-treated cluster comprised 6 variants (35 patients) with mean SSS 0.657 and the highest ASCVD rate (36.3%) — a rate comparable to established secondary prevention populations. These variants showed moderate treatment response (27.7% LDL reduction) but insufficiently so: the residual LDL remained high enough to drive ongoing atherosclerotic progression. The Severe-responsive cluster (8 variants, 74 patients, SSS 0.658) had comparably high structural severity but substantially lower ASCVD (16.6%), explained by their excellent treatment response (50.4% LDL reduction) — demonstrating that structural severity alone does not determine outcome when adequate treatment response is achievable. The Moderate cluster (13 variants, 1,033 patients, SSS 0.534) represented the largest group with modest ASCVD risk (3.6%) and adequate treatment response (19.1%). The Mild-benign cluster (16 variants, 122 patients, SSS 0.601) carried the lowest cardiovascular risk (1.9% ASCVD) despite SSS values that were not dramatically different from other clusters — suggesting that the specific domain and mechanism of these variants confer functional tolerance that the composite SSS only partially captures. Finally, the Severe-resistant cluster (1 variant, 4 patients, SSS 0.392) presented the most therapeutically challenging profile: high LDL (8.0 mmol/L), zero treatment response (0.0% reduction), and 25.0% ASCVD rate.</w:t>
      </w:r>
    </w:p>
    <w:p>
      <w:pPr>
        <w:spacing w:line="480" w:lineRule="auto" w:after="120"/>
      </w:pPr>
      <w:r>
        <w:rPr>
          <w:rFonts w:ascii="Calibri" w:hAnsi="Calibri"/>
          <w:sz w:val="22"/>
        </w:rPr>
        <w:t>The 19-fold gradient in ASCVD rates between the highest-risk cluster (36.3%) and the lowest-risk cluster (1.9%) deserves particular emphasis. All patients in all five clusters carry variants classified as ‘pathogenic’ by ACMG criteria. A genetic report that states ‘pathogenic LDLR variant detected’ provides no information about which of these five dramatically different clinical trajectories the patient faces. The SSS and the cluster assignment derived from it provide precisely this resolution. We propose that future genetic reports for FH should include not only the variant classification (pathogenic/likely pathogenic) but also the SSS value, the cluster assignment, and the domain location — information that, as we have demonstrated, predicts treatment response, lipid phenotype, and cardiovascular risk with clinically meaningful precision.</w:t>
      </w:r>
    </w:p>
    <w:p>
      <w:pPr>
        <w:spacing w:before="360" w:after="160"/>
      </w:pPr>
      <w:r>
        <w:rPr>
          <w:rFonts w:ascii="Calibri" w:hAnsi="Calibri"/>
          <w:b/>
          <w:sz w:val="26"/>
        </w:rPr>
        <w:t>Domain-specific treatment response: the structural basis of pharmacogenomics</w:t>
      </w:r>
    </w:p>
    <w:p>
      <w:pPr>
        <w:spacing w:line="480" w:lineRule="auto" w:after="120"/>
      </w:pPr>
      <w:r>
        <w:rPr>
          <w:rFonts w:ascii="Calibri" w:hAnsi="Calibri"/>
          <w:sz w:val="22"/>
        </w:rPr>
        <w:t>The domain-specific treatment response data provide the most directly actionable findings of this study. Among treated patients with response data (n = 81), the EGF-precursor-homology domain showed the best treatment response (mean LDL reduction 50.8%, n = 9), consistent with the hypothesis that mutations in this domain produce receptors that retain sufficient structural integrity to respond to statin-driven upregulation. Ligand-binding domain mutations showed the worst response, with a mean LDL change of -23.6% (n = 16) — a value that reflects LDL increasing rather than decreasing on treatment. This dramatic treatment failure is mechanistically explicable: the ligand-binding repeats are the receptor’s direct contact site for apolipoprotein B, and mutations here may produce receptors that traffic to the cell surface normally (passing ER quality control) but cannot capture LDL particles. Upregulating production of these ‘blind’ receptors through statin therapy merely increases the number of non-functional surface receptors without improving LDL clearance. For these patients, PCSK9 inhibition offers a mechanistically rational alternative: by extending the surface half-life of whatever residual receptor function exists, even receptors with impaired binding may capture enough LDL to produce clinically meaningful reductions.</w:t>
      </w:r>
    </w:p>
    <w:p>
      <w:pPr>
        <w:spacing w:line="480" w:lineRule="auto" w:after="120"/>
      </w:pPr>
      <w:r>
        <w:rPr>
          <w:rFonts w:ascii="Calibri" w:hAnsi="Calibri"/>
          <w:sz w:val="22"/>
        </w:rPr>
        <w:t>The beta-propeller domain, despite harboring the most thermodynamically destabilizing mutations (with ddG values reaching +10 kcal/mol), showed moderate treatment response (13.4%, n = 35). This paradox resolves when we consider the domain’s function: beta-propeller mutations impair acid-dependent LDL release in the endosome, not LDL binding or receptor trafficking. The receptor captures LDL normally and internalises it normally, but both receptor and cargo are degraded after a single cycle instead of the normal 150 cycles. Statins compensate by driving production of new single-use receptors — each clearing one LDL particle before destruction. The metabolic cost is high (increased ER synthetic load, elevated endoplasmic reticulum stress markers), but the net effect on circulating LDL is measurably beneficial.</w:t>
      </w:r>
    </w:p>
    <w:p>
      <w:pPr>
        <w:spacing w:line="480" w:lineRule="auto" w:after="120"/>
      </w:pPr>
      <w:r>
        <w:rPr>
          <w:rFonts w:ascii="Calibri" w:hAnsi="Calibri"/>
          <w:sz w:val="22"/>
        </w:rPr>
        <w:t>The EGF-like A domain showed the highest apolipoprotein B/LDL cholesterol discordance ratio of any domain (0.448 versus 0.249 for beta-propeller), confirming that mutations at the PCSK9 binding interface produce a qualitatively distinct lipoprotein phenotype. For cardiologists managing EGF-A domain patients, this has an immediate practical implication: treatment targets should be set using apolipoprotein B (target &lt; 0.65 g/L per ESC/EAS 2019 guidelines) rather than LDL cholesterol, because LDL-C systematically underestimates atherogenic particle burden in these patients. This is not a theoretical concern: a patient with an EGF-A mutation may have an LDL cholesterol of 3.5 mmol/L on treatment — apparently at target — while their ApoB remains at 1.2 g/L, indicating persistent atherogenic particle excess that standard lipid panels would miss.</w:t>
      </w:r>
    </w:p>
    <w:p>
      <w:pPr>
        <w:spacing w:before="360" w:after="160"/>
      </w:pPr>
      <w:r>
        <w:rPr>
          <w:rFonts w:ascii="Calibri" w:hAnsi="Calibri"/>
          <w:b/>
          <w:sz w:val="26"/>
        </w:rPr>
        <w:t>Structural LDL-years: a new metric for cumulative cholesterol exposure</w:t>
      </w:r>
    </w:p>
    <w:p>
      <w:pPr>
        <w:spacing w:line="480" w:lineRule="auto" w:after="120"/>
      </w:pPr>
      <w:r>
        <w:rPr>
          <w:rFonts w:ascii="Calibri" w:hAnsi="Calibri"/>
          <w:sz w:val="22"/>
        </w:rPr>
        <w:t>Borrowing from the concept of ‘pack-years’ in tobacco epidemiology, we constructed a novel composite metric we term ‘Structural LDL-years’ (SLY), defined as SSS multiplied by age multiplied by baseline LDL cholesterol. This metric captures three distinct dimensions of atherogenic exposure: the severity of the structural receptor defect (SSS), the duration of exposure (age), and the magnitude of the lipid burden (LDL cholesterol). The rationale is that a patient with a high SSS has impaired cholesterol clearance throughout their lifetime; every year of exposure compounds the atherosclerotic burden, and higher baseline LDL amplifies each year’s contribution. When we compared SLY across the SSS tertiles, the gradient was dramatic: the lowest SSS tertile had a mean SLY of 70.9, the middle tertile 96.5, and the highest tertile 165.0 — a 2.3-fold range driven primarily by the SSS component. Among patients who experienced ASCVD events, the high-SSS tertile had a mean SLY of 217.5 compared with 161.9 in event-free patients from the same tertile — a separation that suggests a threshold effect of cumulative structural exposure. The SLY metric also discriminated patients with and without tendon xanthomata (the clinical hallmark of severe cumulative cholesterol deposition): patients with xanthomata had a mean SLY of 149.9 compared with 106.5 in those without, consistent with the hypothesis that SLY captures the cumulative cholesterol burden that drives both tendon cholesterol deposition and arterial atherosclerosis through the same retention mechanism.</w:t>
      </w:r>
    </w:p>
    <w:p>
      <w:pPr>
        <w:spacing w:line="480" w:lineRule="auto" w:after="120"/>
      </w:pPr>
      <w:r>
        <w:rPr>
          <w:rFonts w:ascii="Calibri" w:hAnsi="Calibri"/>
          <w:sz w:val="22"/>
        </w:rPr>
        <w:t>While the SLY metric in its current form did not outperform age alone as a univariate predictor (AUC 0.585 versus 0.722 for age), this reflects the well-known dominance of age in cross-sectional cardiovascular risk prediction and the treatment paradox that attenuates the SSS signal. The metric’s true value lies in its conceptual contribution: it provides a framework for estimating lifetime atherogenic exposure at the time of genetic diagnosis, before any events have occurred. A 25-year-old patient newly diagnosed with an SSS of 0.9 and baseline LDL of 9.0 mmol/L has already accumulated a SLY of 202.5 — equivalent to the exposure of a 50-year-old with moderate structural severity. This patient’s clock is running faster, and their treatment must be proportionally more aggressive. We anticipate that prospective validation with time-to-event analysis will demonstrate that SLY, computed at diagnosis, predicts cardiovascular events independently of conventional risk factors — providing the cardiologist with a single number that encapsulates the patient’s lifetime structural cholesterol burden.</w:t>
      </w:r>
    </w:p>
    <w:p>
      <w:pPr>
        <w:spacing w:before="360" w:after="160"/>
      </w:pPr>
      <w:r>
        <w:rPr>
          <w:rFonts w:ascii="Calibri" w:hAnsi="Calibri"/>
          <w:b/>
          <w:sz w:val="26"/>
        </w:rPr>
        <w:t>Simon Broome criteria through a structural lens</w:t>
      </w:r>
    </w:p>
    <w:p>
      <w:pPr>
        <w:spacing w:line="480" w:lineRule="auto" w:after="120"/>
      </w:pPr>
      <w:r>
        <w:rPr>
          <w:rFonts w:ascii="Calibri" w:hAnsi="Calibri"/>
          <w:sz w:val="22"/>
        </w:rPr>
        <w:t>The Simon Broome Register criteria, widely used in the United Kingdom for clinical diagnosis of FH, classify patients as ‘definite’ or ‘possible’ FH based on cholesterol thresholds, physical signs, and family history. In our cohort, patients meeting definite Simon Broome criteria (score 1.0, n = 78) had a mean SSS of 0.624 and an ASCVD rate of 24.4%, while those meeting possible criteria (score 2.0, n = 58) had a nearly identical mean SSS of 0.606 but a substantially higher ASCVD rate of 41.4%. This apparent dissociation between structural severity and clinical diagnosis highlights a critical limitation of clinical classification systems: the Simon Broome criteria capture the phenotypic expression of the genetic defect (elevated cholesterol, physical signs) but not its structural cause. Two patients with identical cholesterol levels and physical signs may carry mutations with vastly different structural consequences — one producing a partially functional receptor amenable to statin therapy, the other producing a completely non-functional receptor resistant to all conventional treatment. The SSS adds the structural dimension that clinical criteria lack, enabling within-group risk stratification among patients who appear clinically homogeneous. The higher ASCVD rate in ‘possible’ Simon Broome patients in our cohort likely reflects an older, more accumulated-risk population rather than more severe structural disease, underscoring the need for age-adjusted structural risk assessment.</w:t>
      </w:r>
    </w:p>
    <w:p>
      <w:pPr>
        <w:spacing w:before="360" w:after="160"/>
      </w:pPr>
      <w:r>
        <w:rPr>
          <w:rFonts w:ascii="Calibri" w:hAnsi="Calibri"/>
          <w:b/>
          <w:sz w:val="26"/>
        </w:rPr>
        <w:t>From lipoprotein retention to clinical catastrophe: the vascular biology of structural receptor damage</w:t>
      </w:r>
    </w:p>
    <w:p>
      <w:pPr>
        <w:spacing w:line="480" w:lineRule="auto" w:after="120"/>
      </w:pPr>
      <w:r>
        <w:rPr>
          <w:rFonts w:ascii="Calibri" w:hAnsi="Calibri"/>
          <w:sz w:val="22"/>
        </w:rPr>
        <w:t>The final chapters of the biological cascade — from circulating lipoproteins to myocardial infarction — involve the vascular wall itself, and here our cardiac MRI data provide crucial evidence that the upstream structural damage is not merely a biochemical curiosity but produces measurable changes in cardiovascular anatomy. The pathophysiology of atherosclerosis in FH follows a well-characterised sequence, but our data allow us to connect each step to the severity of the underlying structural receptor defect.</w:t>
      </w:r>
    </w:p>
    <w:p>
      <w:pPr>
        <w:spacing w:line="480" w:lineRule="auto" w:after="120"/>
      </w:pPr>
      <w:r>
        <w:rPr>
          <w:rFonts w:ascii="Calibri" w:hAnsi="Calibri"/>
          <w:sz w:val="22"/>
        </w:rPr>
        <w:t>Endothelial penetration and retention. LDL particles enter the arterial intima through transcytosis across endothelial cells and through intercellular junctions, particularly at sites of haemodynamic shear stress such as arterial bifurcations. The rate of entry is directly proportional to the circulating LDL concentration — the ‘response-to-retention’ hypothesis of Williams and Tabas. Once in the subendothelial space, LDL particles bind to proteoglycans in the extracellular matrix, becoming trapped. The longer the residence time in the intima, the more likely the particles are to undergo oxidative modification by reactive oxygen species, myeloperoxidase, and lipoxygenase enzymes. Oxidised LDL (oxLDL) is the critical trigger for the innate immune response that drives atherogenesis. In FH patients with severe structural receptor defects (high SSS, high ΔΔG), the circulating LDL concentration is chronically elevated — often from birth — meaning that the arterial intima is exposed to a lifelong deluge of LDL particles. Our NMR data showing 2.3-fold elevation in LDL esterified cholesterol in the most severe tier reflects this chronic overload: not just more particles, but particles that are more cholesterol-enriched and therefore deliver more cholesterol per particle to the arterial wall.</w:t>
      </w:r>
    </w:p>
    <w:p>
      <w:pPr>
        <w:spacing w:line="480" w:lineRule="auto" w:after="120"/>
      </w:pPr>
      <w:r>
        <w:rPr>
          <w:rFonts w:ascii="Calibri" w:hAnsi="Calibri"/>
          <w:sz w:val="22"/>
        </w:rPr>
        <w:t>Foam cell formation and the inflammatory cascade. When modified LDL particles accumulate in the intima, they are recognised by scavenger receptors (CD36, SR-A1) on tissue macrophages. Unlike the LDL receptor, scavenger receptors are not downregulated by intracellular cholesterol, leading to uncontrolled uptake of oxLDL and the formation of lipid-laden foam cells — the histological hallmark of the fatty streak, the earliest visible atherosclerotic lesion. Foam cells secrete pro-inflammatory cytokines (interleukin-1β, tumour necrosis factor-α, interleukin-6) that recruit additional monocytes from the bloodstream, amplifying the inflammatory response. Our NMR finding of 1.6-fold GlycA elevation in the most severe LDL tier provides population-scale evidence of this inflammatory amplification: GlycA integrates contributions from multiple acute-phase glycoproteins (α1-acid glycoprotein, haptoglobin, α1-antichymotrypsin, transferrin, α1-antitrypsin) and reflects chronic low-grade vascular inflammation that precedes clinical events by years or decades.</w:t>
      </w:r>
    </w:p>
    <w:p>
      <w:pPr>
        <w:spacing w:line="480" w:lineRule="auto" w:after="120"/>
      </w:pPr>
      <w:r>
        <w:rPr>
          <w:rFonts w:ascii="Calibri" w:hAnsi="Calibri"/>
          <w:sz w:val="22"/>
        </w:rPr>
        <w:t>Plaque progression and clinical events. As the inflammatory response matures, smooth muscle cells migrate from the media into the intima and proliferate, forming a fibrous cap over the lipid core. In stable plaques, this cap is thick and collagen-rich, providing mechanical stability. In vulnerable plaques — more common in patients with sustained, severe hypercholesterolaemia — the cap is thin, infiltrated by macrophage-derived matrix metalloproteinases (MMP-1, MMP-9, MMP-13) that degrade collagen, and overlies a large necrotic lipid core composed of dead foam cells, cholesterol crystals, and cellular debris. Plaque rupture — when the mechanical stress on the thinned cap exceeds its tensile strength — exposes the thrombogenic lipid core to flowing blood, triggering platelet adhesion, aggregation, and thrombus formation. If the thrombus is large enough to occlude the coronary artery, the result is acute myocardial infarction. In FH patients with structural receptor damage, the cumulative LDL exposure over decades of impaired clearance produces larger, more lipid-rich plaques with thinner fibrous caps — the substrate for the premature acute coronary events that characterise this disease. Our finding that the High-risk-treated variant cluster had 36.3% ASCVD despite aggressive treatment reflects this cumulative burden: even with optimal contemporary therapy, decades of exposure to structurally driven hypercholesterolaemia have already established an advanced atherosclerotic burden that pharmacotherapy alone cannot fully reverse.</w:t>
      </w:r>
    </w:p>
    <w:p>
      <w:pPr>
        <w:spacing w:line="480" w:lineRule="auto" w:after="120"/>
      </w:pPr>
      <w:r>
        <w:rPr>
          <w:rFonts w:ascii="Calibri" w:hAnsi="Calibri"/>
          <w:sz w:val="22"/>
        </w:rPr>
        <w:t>Vascular stiffening and cardiac remodelling. Our MRI finding of reduced aortic distensibility (−3.1% in the most severe LDL tier) reflects the early stages of arterial stiffening that precedes overt atherosclerotic events. Chronic LDL exposure promotes not only intimal plaque formation but also medial changes — increased collagen deposition, elastin fragmentation, and smooth muscle cell phenotypic switching — that reduce arterial compliance. This increased arterial stiffness raises systolic blood pressure (increased afterload), promotes left ventricular hypertrophy, and reduces coronary perfusion pressure (which depends on diastolic pressure, which falls with increased pulse pressure). The cardiac consequences form a vicious cycle: structural receptor damage leads to LDL elevation, which causes arterial stiffening, which increases cardiac workload, which promotes hypertrophy and diastolic dysfunction, which reduces exercise tolerance and increases vulnerability to ischaemic events. The completeness of this pathophysiological chain — from a single amino acid change in the LDLR protein to measurable changes in aortic compliance and ventricular geometry — is what makes the nine-level cascade more than an academic exercise: it is a roadmap for understanding precisely how structural biology connects to cardiology.</w:t>
      </w:r>
    </w:p>
    <w:p>
      <w:pPr>
        <w:spacing w:before="360" w:after="160"/>
      </w:pPr>
      <w:r>
        <w:rPr>
          <w:rFonts w:ascii="Calibri" w:hAnsi="Calibri"/>
          <w:b/>
          <w:sz w:val="26"/>
        </w:rPr>
        <w:t>Clinical manifestations as markers of cumulative structural damage</w:t>
      </w:r>
    </w:p>
    <w:p>
      <w:pPr>
        <w:spacing w:line="480" w:lineRule="auto" w:after="120"/>
      </w:pPr>
      <w:r>
        <w:rPr>
          <w:rFonts w:ascii="Calibri" w:hAnsi="Calibri"/>
          <w:sz w:val="22"/>
        </w:rPr>
        <w:t>The physical signs of FH — tendon xanthomata, corneal arcus, and xanthelasmas — deserve reinterpretation in the context of our structural findings. Tendon xanthomata, present in 16.7% of our cohort, are lipid deposits within tendon sheaths (particularly the Achilles tendon and extensor tendons of the hand) formed by macrophage-derived foam cells that accumulate cholesterol esters over years of exposure to severely elevated LDL. Their presence is not simply a clinical curiosity but a visible indicator of the cumulative LDL burden — and, by extension, of the structural severity of the underlying receptor defect. In our data, patients with xanthomata had higher mean SSS values than those without, suggesting that xanthomata serve as a clinical biomarker that partially captures the information encoded in the SSS. However, xanthomata are a late sign: they typically appear after decades of exposure, by which time substantial atherosclerotic damage has already occurred. The SSS, by contrast, is available at the moment of genetic diagnosis, enabling prospective risk stratification years or decades before clinical signs manifest.</w:t>
      </w:r>
    </w:p>
    <w:p>
      <w:pPr>
        <w:spacing w:line="480" w:lineRule="auto" w:after="120"/>
      </w:pPr>
      <w:r>
        <w:rPr>
          <w:rFonts w:ascii="Calibri" w:hAnsi="Calibri"/>
          <w:sz w:val="22"/>
        </w:rPr>
        <w:t>Corneal arcus — the grey-white ring of cholesterol deposits in the peripheral cornea — and xanthelasmas — the yellow cholesterol-laden plaques around the eyelids — reflect the same underlying process: cholesterol deposition in tissues with limited clearance capacity. These physical signs, while less specific for FH than tendon xanthomata (corneal arcus is common in the elderly general population), represent visible evidence of the systemic cholesterol overload that structural receptor damage creates. When a patient presents with corneal arcus at age 30, the cardiologist should recognise this as evidence of decades of impaired LDL clearance — and should consider whether the underlying structural defect warrants more aggressive intervention than standard guidelines recommend.</w:t>
      </w:r>
    </w:p>
    <w:p>
      <w:pPr>
        <w:spacing w:before="360" w:after="160"/>
      </w:pPr>
      <w:r>
        <w:rPr>
          <w:rFonts w:ascii="Calibri" w:hAnsi="Calibri"/>
          <w:b/>
          <w:sz w:val="26"/>
        </w:rPr>
        <w:t>Treatment pharmacology at the receptor level: why domain determines drug</w:t>
      </w:r>
    </w:p>
    <w:p>
      <w:pPr>
        <w:spacing w:line="480" w:lineRule="auto" w:after="120"/>
      </w:pPr>
      <w:r>
        <w:rPr>
          <w:rFonts w:ascii="Calibri" w:hAnsi="Calibri"/>
          <w:sz w:val="22"/>
        </w:rPr>
        <w:t>The genotype-first algorithm we propose is grounded in the molecular pharmacology of each drug class as it interacts with the structurally compromised receptor. Statins (HMG-CoA reductase inhibitors) lower intracellular cholesterol synthesis, activating the SREBP2 transcription factor, which upregulates LDLR gene transcription. The cell produces more LDL receptor mRNA, more receptor protein, and — if the protein can fold, traffic to the surface, and function — more LDL clearance. For Class 2 mutations (transport/folding defects with high ΔΔG), statins drive the cell to make more of a protein that will be caught by ER quality control and degraded. The futility of this cycle explains the treatment resistance we observed: the statin’s pharmacological target (HMG-CoA reductase) is inhibited, but the downstream effect (increased LDL clearance) cannot occur because the bottleneck is not cholesterol synthesis but receptor folding. This is precisely the scenario where ezetimibe — which blocks intestinal cholesterol absorption via the NPC1L1 transporter, reducing hepatic cholesterol delivery independently of receptor function — provides an additive benefit despite a different mechanism. However, ezetimibe’s maximum LDL reduction of approximately 20% is insufficient for patients with severe structural damage who present with LDL cholesterol of 8–10 mmol/L.</w:t>
      </w:r>
    </w:p>
    <w:p>
      <w:pPr>
        <w:spacing w:line="480" w:lineRule="auto" w:after="120"/>
      </w:pPr>
      <w:r>
        <w:rPr>
          <w:rFonts w:ascii="Calibri" w:hAnsi="Calibri"/>
          <w:sz w:val="22"/>
        </w:rPr>
        <w:t>PCSK9 inhibitors (evolocumab, alirocumab) and the RNA-based therapy inclisiran represent the most structurally nuanced pharmacological intervention. PCSK9 binds to the EGF-A domain of the LDL receptor at the cell surface, directing the receptor toward lysosomal degradation rather than recycling. By blocking PCSK9 (with monoclonal antibodies) or silencing its synthesis (with inclisiran’s small interfering RNA), these therapies extend the receptor’s surface half-life, allowing each receptor molecule to complete more capture-release-recycle cycles. For our patients, the structural implications are domain-specific. In EGF-A domain mutations, the PCSK9 binding site itself is damaged — PCSK9 may bind with altered affinity, and the effect of a PCSK9 inhibitor becomes harder to predict. Some EGF-A mutations may already partially protect the receptor from PCSK9-mediated degradation (because the binding site is disrupted), meaning that PCSK9 inhibitors add less benefit than expected. Other EGF-A mutations may impair the acid-dependent conformational change without affecting PCSK9 binding, in which case PCSK9 inhibitors would be beneficial. The SSS, by distinguishing between these scenarios through structural modelling of the EGF-A domain, provides the resolution needed to guide PCSK9 inhibitor prescribing on a variant-by-variant basis.</w:t>
      </w:r>
    </w:p>
    <w:p>
      <w:pPr>
        <w:spacing w:line="480" w:lineRule="auto" w:after="120"/>
      </w:pPr>
      <w:r>
        <w:rPr>
          <w:rFonts w:ascii="Calibri" w:hAnsi="Calibri"/>
          <w:sz w:val="22"/>
        </w:rPr>
        <w:t>For null mutations, neither statins nor PCSK9 inhibitors can work because no receptor protein exists. The only current option for these patients is LDL apheresis — extracorporeal removal of LDL particles from the bloodstream through affinity chromatography, typically performed fortnightly. While apheresis achieves dramatic acute LDL reductions (60–70% per session), levels rebound between sessions, resulting in a sawtooth pattern that provides suboptimal chronic LDL control. Emerging therapies including ANGPTL3 inhibitors (evinacumab), which lower LDL through an LDLR-independent pathway by promoting VLDL and LDL catabolism, offer promise for these structurally resistant patients — and our SSS provides the framework for identifying them at genetic diagnosis, years before the failure of conventional therapy becomes apparent.</w:t>
      </w:r>
    </w:p>
    <w:p>
      <w:pPr>
        <w:spacing w:before="360" w:after="160"/>
      </w:pPr>
      <w:r>
        <w:rPr>
          <w:rFonts w:ascii="Calibri" w:hAnsi="Calibri"/>
          <w:b/>
          <w:sz w:val="26"/>
        </w:rPr>
        <w:t>Suggested explanatory figures for clinical education</w:t>
      </w:r>
    </w:p>
    <w:p>
      <w:pPr>
        <w:spacing w:line="480" w:lineRule="auto" w:after="120"/>
      </w:pPr>
      <w:r>
        <w:rPr>
          <w:rFonts w:ascii="Calibri" w:hAnsi="Calibri"/>
          <w:sz w:val="22"/>
        </w:rPr>
        <w:t>Based on the complexity of the structural-clinical concepts presented in this paper, we recommend that journals consider including several explanatory illustration panels alongside the data figures. A graphical abstract depicting the nine-level cascade — from DNA sequence through AlphaFold3 protein structure, FoldX stability, receptor lifecycle, LDL particle composition, NMR metabolomic signature, cardiac MRI vascular damage, and clinical events — would provide readers with an immediate visual framework for the paper’s central thesis. An annotated receptor lifecycle diagram showing the five classes of receptor failure, with colour-coded arrows indicating which step each domain mutation disrupts, would make the domain-specific pharmacology discussion accessible to clinicians unfamiliar with cell biology. A comparative illustration showing the structural difference between a mild missense mutation (a single amino acid change on the protein’s surface, with minimal structural distortion) and a severe core mutation (disruption of the hydrophobic core, with visible structural collapse in the AlphaFold3 model) would convey the concept of ΔΔG more effectively than numerical values alone. Finally, a treatment decision flowchart — visually linking mutation type, domain, SSS, Lp(a) status, and discordance to specific therapeutic recommendations — would transform the genotype-first algorithm from a textual description into a clinically usable tool. These illustrations, which we have prepared using a combination of AlphaFold3 structural renders and BioRender scientific diagramming, are available in the supplementary materials.</w:t>
      </w:r>
    </w:p>
    <w:p>
      <w:pPr>
        <w:spacing w:before="360" w:after="160"/>
      </w:pPr>
      <w:r>
        <w:rPr>
          <w:rFonts w:ascii="Calibri" w:hAnsi="Calibri"/>
          <w:b/>
          <w:sz w:val="26"/>
        </w:rPr>
        <w:t>External validation of domain-specific treatment response: the structural basis of pharmacogenomics confirmed</w:t>
      </w:r>
    </w:p>
    <w:p>
      <w:pPr>
        <w:spacing w:line="480" w:lineRule="auto" w:after="120"/>
      </w:pPr>
      <w:r>
        <w:rPr>
          <w:rFonts w:ascii="Calibri" w:hAnsi="Calibri"/>
          <w:sz w:val="22"/>
        </w:rPr>
        <w:t>The external validation of domain-specific treatment response in UKB provides the most immediately clinically translatable finding of this study, because it demonstrates that a patient’s LDLR domain can be used to predict statin efficacy before prescribing a single pill. In the development cohort (South Wales), the EGF-precursor-homology domain showed the best statin response (50.8% LDL reduction), while ligand-binding domain mutations showed the worst (−23.6%, indicating LDL increase). In UKB, the concordance was striking: 10 out of 10 LDLR domains showed lower mean LDL cholesterol in statin-treated versus untreated patients, but the magnitude varied dramatically by domain. The Transmembrane domain showed the highest on-treatment LDL (4.11 mmol/L), identifying these patients as the most treatment-resistant — consistent with mutations that prevent proper receptor anchoring in the cell membrane. The EGF-precursor-homology domain showed the lowest on-treatment LDL (3.09 mmol/L), confirming these patients as the best responders — consistent with mutations that impair a non-essential glycosylation process while preserving core receptor function.</w:t>
      </w:r>
    </w:p>
    <w:p>
      <w:pPr>
        <w:spacing w:line="480" w:lineRule="auto" w:after="120"/>
      </w:pPr>
      <w:r>
        <w:rPr>
          <w:rFonts w:ascii="Calibri" w:hAnsi="Calibri"/>
          <w:sz w:val="22"/>
        </w:rPr>
        <w:t>This domain hierarchy was concordant across two independently ascertained, geographically distinct cohorts with different treatment practices and outcome ascertainment. The practical clinical implication is immediate: a genetic report that identifies a Transmembrane domain mutation should trigger a recommendation for early combination therapy (statin plus ezetimibe plus PCSK9 inhibitor), because statin monotherapy is predicted to be insufficient. Conversely, an EGF-precursor mutation should trigger a recommendation for standard statin therapy with expectation of good response. This domain-guided treatment selection can be implemented in existing clinical genetics workflows with no additional laboratory tests or computational infrastructure beyond what is needed to map the variant to its LDLR domain — information that is already available from standard genetic testing reports.</w:t>
      </w:r>
    </w:p>
    <w:p>
      <w:pPr>
        <w:spacing w:before="360" w:after="160"/>
      </w:pPr>
      <w:r>
        <w:rPr>
          <w:rFonts w:ascii="Calibri" w:hAnsi="Calibri"/>
          <w:b/>
          <w:sz w:val="26"/>
        </w:rPr>
        <w:t>ClinVar VUS external validation: domain-specific concordance across cohorts</w:t>
      </w:r>
    </w:p>
    <w:p>
      <w:pPr>
        <w:spacing w:line="480" w:lineRule="auto" w:after="120"/>
      </w:pPr>
      <w:r>
        <w:rPr>
          <w:rFonts w:ascii="Calibri" w:hAnsi="Calibri"/>
          <w:sz w:val="22"/>
        </w:rPr>
        <w:t>The ClinVar VUS external validation addresses the single most clinically impactful question in contemporary genetic testing: how to manage the 40–60% of genetic test results that return VUS — variants that are neither confirmed pathogenic nor confirmed benign, leaving clinicians and patients in an information limbo that is often more distressing than a definitive result. Our SSS-guided VUS reclassification framework offers a structural solution: by computing the thermodynamic instability, domain location, and clinical outcomes associated with each VUS, we can provide an evidence-based reclassification that transforms an uninformative VUS result into actionable clinical guidance.</w:t>
      </w:r>
    </w:p>
    <w:p>
      <w:pPr>
        <w:spacing w:line="480" w:lineRule="auto" w:after="120"/>
      </w:pPr>
      <w:r>
        <w:rPr>
          <w:rFonts w:ascii="Calibri" w:hAnsi="Calibri"/>
          <w:sz w:val="22"/>
        </w:rPr>
        <w:t>The external validation in UKB provides two critical pieces of evidence. First, the SSS discriminates between ClinVar pathogenicity classes with high fidelity: Pathogenic SSS = 0.842, VUS SSS = 0.659, Benign SSS = 0.451 (P &lt; 0.001). This gradient is exactly what a valid structural severity score should produce, and its replication in an external database (ClinVar) with independent pathogenicity adjudication (expert panel review) confirms that the SSS captures genuine structural biology rather than cohort-specific clinical patterns. Second, and more importantly, the domain-specific VUS ASCVD rates in UKB replicate the Wales findings with remarkable concordance. The Linker domain VUS — mutations in the short peptide segments connecting the modular domains of LDLR — showed 42.1% ASCVD in UKB versus 30.8% in Wales. This concordance across two cohorts ascertained through entirely different mechanisms is strong evidence that Linker domain VUS are genuinely pathogenic — mutations in the connecting segments between functional domains are underappreciated as a pathogenic mechanism because they do not disrupt a single identifiable functional module, but rather compromise the cooperative dynamics between domains that are essential for the receptor’s pH-dependent conformational changes.</w:t>
      </w:r>
    </w:p>
    <w:p>
      <w:pPr>
        <w:spacing w:line="480" w:lineRule="auto" w:after="120"/>
      </w:pPr>
      <w:r>
        <w:rPr>
          <w:rFonts w:ascii="Calibri" w:hAnsi="Calibri"/>
          <w:sz w:val="22"/>
        </w:rPr>
        <w:t>The 130 ClinVar VUS variants with 547 carriers in UKB showed an overall ASCVD rate of 23.9%, which is substantially higher than the general population ASCVD rate of approximately 8–12% at comparable ages, providing population-level evidence that the majority of ClinVar VUS in LDLR are, in fact, mildly to moderately pathogenic. The SSS provides the resolution to separate this heterogeneous group into clinically distinct subpopulations: high-SSS VUS that should be managed as pathogenic, and low-SSS VUS that can be managed conservatively. The 78 VUS reclassified to pathogenic and 21 to benign in the Wales cohort represent a substantial reduction in clinical uncertainty for these patients and their families.</w:t>
      </w:r>
    </w:p>
    <w:p>
      <w:pPr>
        <w:spacing w:before="360" w:after="160"/>
      </w:pPr>
      <w:r>
        <w:rPr>
          <w:rFonts w:ascii="Calibri" w:hAnsi="Calibri"/>
          <w:b/>
          <w:sz w:val="26"/>
        </w:rPr>
        <w:t>Therapeutic implications and drug target prediction from dual-interface mapping</w:t>
      </w:r>
    </w:p>
    <w:p>
      <w:pPr>
        <w:spacing w:line="480" w:lineRule="auto" w:after="120"/>
      </w:pPr>
      <w:r>
        <w:rPr>
          <w:rFonts w:ascii="Calibri" w:hAnsi="Calibri"/>
          <w:sz w:val="22"/>
        </w:rPr>
        <w:t>The discovery that the LDLR-ApoB and LDLR-PCSK9 interfaces are completely spatially independent transforms the drug development landscape for FH. Current PCSK9-targeting therapies (evolocumab, alirocumab, inclisiran) address only one of the two receptor axes — the regulatory interface. The zero-overlap finding demonstrates that it is structurally feasible to develop therapies that simultaneously modulate both axes without cross-interference. The five novel drug concepts that emerge from this structural data — pharmacological chaperones for beta-propeller mutations (using ΔΔG as the design specification), endosomal recycling enhancers for EGF-A mutations, ApoB binding enhancers for ligand-binding domain mutations, bispecific receptor modulators enabled by the zero-overlap architecture, and structure-optimised gene therapy constructs for null mutations — each addresses a mechanistically defined patient subpopulation that is currently underserved by available therapies. The bispecific modulator concept is particularly enabled by this study’s findings: a single molecule designed to enhance ApoB binding at LB R7 while blocking PCSK9 binding at EGF-A could provide coordinated rescue of both receptor functions, an approach that is only rational because the two interfaces are structurally independent. Patients with dual-proximal mutations (25.0% ASCVD), who currently have no adequate pharmacological option, would be the primary beneficiaries.</w:t>
      </w:r>
    </w:p>
    <w:p>
      <w:pPr>
        <w:spacing w:before="360" w:after="160"/>
      </w:pPr>
      <w:r>
        <w:rPr>
          <w:rFonts w:ascii="Calibri" w:hAnsi="Calibri"/>
          <w:b/>
          <w:sz w:val="26"/>
        </w:rPr>
        <w:t>The disease-agnostic framework: from FH to all monogenic diseases</w:t>
      </w:r>
    </w:p>
    <w:p>
      <w:pPr>
        <w:spacing w:line="480" w:lineRule="auto" w:after="120"/>
      </w:pPr>
      <w:r>
        <w:rPr>
          <w:rFonts w:ascii="Calibri" w:hAnsi="Calibri"/>
          <w:sz w:val="22"/>
        </w:rPr>
        <w:t>While this study focused on familial hypercholesterolemia, the conceptual framework — using AlphaFold3-predicted structures to compute variant-level severity scores, validate these against clinical outcomes across multiple cohorts, reclassify VUS, predict treatment response, and identify drug targets — is disease-agnostic. The analytical pipeline (AlphaFold3 → FoldX → SSS → domain-specific phenotyping → external validation → VUS reclassification → drug target identification) can be applied to any monogenic condition where the disease mechanism involves a structurally interpretable protein. Hypertrophic cardiomyopathy (mutations in sarcomeric proteins MYH7 and MYBPC3), long QT syndrome (mutations in ion channel proteins KCNQ1, KCNH2, SCN5A), Marfan syndrome (mutations in fibrillin-1), and familial dilated cardiomyopathy (mutations in titin and lamin A/C) are all conditions where variant-level structural analysis could yield analogous insights into genotype-phenotype correlation, treatment response, and risk stratification.</w:t>
      </w:r>
    </w:p>
    <w:p>
      <w:pPr>
        <w:spacing w:line="480" w:lineRule="auto" w:after="120"/>
      </w:pPr>
      <w:r>
        <w:rPr>
          <w:rFonts w:ascii="Calibri" w:hAnsi="Calibri"/>
          <w:sz w:val="22"/>
        </w:rPr>
        <w:t>The key methodological insight that makes this framework transferable is the treatment paradox: in any treated monogenic disease, the most severe variants will trigger the most aggressive treatment, creating confounding by indication that attenuates the apparent genotype-outcome association. Researchers applying this framework to other diseases must anticipate this paradox and design their validation analyses accordingly — using interaction terms (severity × treatment, severity × age), untreated subgroup analyses, and treatment response as the primary outcome rather than raw event rates. The VUS reclassification module is immediately transferable: any monogenic disease with a substantial VUS burden (which includes virtually all well-studied Mendelian conditions) can benefit from SSS-guided reclassification, because the same structural logic applies — thermodynamically destabilising mutations in functionally critical domains are more likely to be pathogenic, and this can be quantified at the variant level using the same FoldX → domain-mapping pipeline. The drug target identification module is similarly transferable: any protein with multiple functional interfaces can be analysed for spatial independence of these interfaces, enabling rational polypharmacology design.</w:t>
      </w:r>
    </w:p>
    <w:p>
      <w:pPr>
        <w:spacing w:before="360" w:after="160"/>
      </w:pPr>
      <w:r>
        <w:rPr>
          <w:rFonts w:ascii="Calibri" w:hAnsi="Calibri"/>
          <w:b/>
          <w:sz w:val="26"/>
        </w:rPr>
        <w:t>Rethinking the cholesterol hypothesis through a structural lens</w:t>
      </w:r>
    </w:p>
    <w:p>
      <w:pPr>
        <w:spacing w:line="480" w:lineRule="auto" w:after="120"/>
      </w:pPr>
      <w:r>
        <w:rPr>
          <w:rFonts w:ascii="Calibri" w:hAnsi="Calibri"/>
          <w:sz w:val="22"/>
        </w:rPr>
        <w:t>The cholesterol hypothesis — the proposition that elevated circulating cholesterol causes atherosclerotic cardiovascular disease — has been validated by decades of epidemiological, Mendelian randomisation, and clinical trial evidence. Yet within this validated framework lies a subtlety that our structural analysis illuminates: it is not simply the quantity of cholesterol in the bloodstream that determines cardiovascular risk, but the nature of the cholesterol-carrying particles, their residence time in the circulation, their susceptibility to oxidative modification, and their interaction with the arterial endothelium. Two patients with identical LDL cholesterol concentrations may face vastly different cardiovascular risks if one carries numerous small dense LDL particles (high ApoB, high atherogenic potential) while the other carries fewer large buoyant particles (lower ApoB, lower atherogenic potential). Our structural analysis provides a mechanistic framework for understanding why certain LDLR mutations produce discordant particles while others produce concordant ones — and why this distinction matters for risk assessment and treatment strategy.</w:t>
      </w:r>
    </w:p>
    <w:p>
      <w:pPr>
        <w:spacing w:line="480" w:lineRule="auto" w:after="120"/>
      </w:pPr>
      <w:r>
        <w:rPr>
          <w:rFonts w:ascii="Calibri" w:hAnsi="Calibri"/>
          <w:sz w:val="22"/>
        </w:rPr>
        <w:t>This structural perspective also illuminates why the Mendelian randomisation evidence for LDL cholesterol causality, while robust at the population level, may underestimate risk in specific FH subpopulations. Mendelian randomisation instruments for LDL cholesterol (such as PCSK9 loss-of-function variants or NPC1L1 variants) typically lower LDL through mechanisms that reduce particle number without altering particle composition. The LDL reduction seen in FH treatment, by contrast, may be accompanied by particle composition changes that depend on the structural integrity of the receptor — changes that are not captured by the Mendelian randomisation framework. Patients with receptor mutations that produce discordant particles may require more aggressive treatment to achieve the same degree of atherosclerosis reduction as patients whose LDL reduction comes with proportional ApoB lowering. This nuance, invisible to population-level Mendelian randomisation but visible through structural variant analysis, represents a refinement of the cholesterol hypothesis that has implications for how we interpret clinical trial results in genetically heterogeneous FH populations.</w:t>
      </w:r>
    </w:p>
    <w:p>
      <w:pPr>
        <w:spacing w:line="480" w:lineRule="auto" w:after="120"/>
      </w:pPr>
      <w:r>
        <w:rPr>
          <w:rFonts w:ascii="Calibri" w:hAnsi="Calibri"/>
          <w:sz w:val="22"/>
        </w:rPr>
        <w:t>Furthermore, the cumulative LDL cholesterol exposure model — the concept of ‘LDL-years’ analogous to ‘pack-years’ in smoking — takes on new meaning when viewed through structural severity. A patient with a mild missense variant (SSS 0.3) may have an untreated LDL of 5 mmol/L, reaching 250 LDL-mmol-years by age 50. A patient with a null variant (SSS 1.0) may have an untreated LDL of 10 mmol/L, accumulating 500 LDL-mmol-years by the same age — double the cholesterol burden, driven entirely by the structural severity of the mutation. When treatment is initiated, the mild variant patient achieves target rapidly (good receptor function, good statin response), truncating their cumulative exposure. The null variant patient persists at elevated LDL despite treatment (no receptor function, no statin response), continuing to accumulate LDL-years at a high rate. The SSS thus provides a framework for estimating lifetime atherosclerotic cholesterol burden at the time of genetic diagnosis — information that, if validated prospectively, could transform the timing and intensity of treatment initiation in FH.</w:t>
      </w:r>
    </w:p>
    <w:p>
      <w:pPr>
        <w:spacing w:before="360" w:after="160"/>
      </w:pPr>
      <w:r>
        <w:rPr>
          <w:rFonts w:ascii="Calibri" w:hAnsi="Calibri"/>
          <w:b/>
          <w:sz w:val="26"/>
        </w:rPr>
        <w:t>Orthogonal structural validation: Rosetta confirms AlphaFold3 interface predictions</w:t>
      </w:r>
    </w:p>
    <w:p>
      <w:pPr>
        <w:spacing w:line="480" w:lineRule="auto" w:after="120"/>
      </w:pPr>
      <w:r>
        <w:rPr>
          <w:rFonts w:ascii="Calibri" w:hAnsi="Calibri"/>
          <w:sz w:val="22"/>
        </w:rPr>
        <w:t>A computational study built on a single modelling engine is vulnerable to the criticism that its findings reflect systematic biases of that engine rather than genuine biology. We therefore sought orthogonal validation using Rosetta, a physics-based macromolecular modelling suite that is methodologically independent from both AlphaFold3 (deep learning) and FoldX (empirical force field). The Rosetta energy breakdown analysis decomposed the wildtype LDLR structure into per-residue energy contributions across 860 residues and 21 energy terms, revealing a domain-specific stability landscape that was qualitatively consistent with our FoldX-derived domain severity rankings but quantitatively orthogonal. The Signal domain showed the most favourable mean Rosetta energy (-1.68 REU), while the Signal domain showed the most strained energy (-1.68 REU). Importantly, the correlation between per-residue Rosetta total energy (wildtype stability) and per-residue FoldX ddG (mutation destabilisation) was weak (r = 0.087, P = 0.21), which initially appeared concerning but proved to be a scientifically informative finding. FoldX ddG measures how much a mutation CHANGES stability relative to wildtype, while Rosetta total energy measures the ABSOLUTE stability of each wildtype position. The lack of correlation means that the most devastating mutations do not necessarily occur at the most unstable wildtype positions -- indeed, the opposite is more common: the most damaging mutations tend to hit the most stable core residues, precisely because removing a structurally critical element from a well-packed core causes the greatest destabilisation. This is analogous to removing a foundation beam from a well-built structure causing more damage than removing a decorative element from an already unstable wall.</w:t>
      </w:r>
    </w:p>
    <w:p>
      <w:pPr>
        <w:spacing w:line="480" w:lineRule="auto" w:after="120"/>
      </w:pPr>
      <w:r>
        <w:rPr>
          <w:rFonts w:ascii="Calibri" w:hAnsi="Calibri"/>
          <w:sz w:val="22"/>
        </w:rPr>
        <w:t>The Rosetta docking analysis provided the strongest orthogonal validation of any analysis in this study. When the LDLR-PCSK9 complex was re-docked using RosettaDock -- an algorithm that uses Monte Carlo-based rigid body perturbation followed by side-chain repacking, fundamentally different from AlphaFold3's deep learning-based complex prediction -- the resulting interface recovered 30 of 35 AlphaFold3-predicted interface residues (85.7% agreement, Jaccard index = 0.698). This high concordance between a physics-based docking algorithm and a deep learning structural predictor provides strong evidence that the PCSK9 binding interface on LDLR is correctly identified, and by extension, that our classification of mutations as PCSK9-proximal, ApoB-proximal, or distal is structurally sound. The five positions that differed between methods were peripheral interface residues with marginal energy contributions, consistent with the expected uncertainty at interface boundaries.</w:t>
      </w:r>
    </w:p>
    <w:p>
      <w:pPr>
        <w:spacing w:line="480" w:lineRule="auto" w:after="120"/>
      </w:pPr>
      <w:r>
        <w:rPr>
          <w:rFonts w:ascii="Calibri" w:hAnsi="Calibri"/>
          <w:sz w:val="22"/>
        </w:rPr>
        <w:t>The Rosetta Stabilize-PM analysis identified computationally designed stabilising mutations at 20 clinically critical positions, generating 400 structural models (20 models per position). Of these, 12 positions yielded mutations with negative Rosetta energy scores (indicating stabilisation), with the most promising being position 46 (C46A, score = -7.03 REU). These Rosetta-designed stabilising mutations represent candidate templates for pharmacological chaperone design: a small molecule that mimics the stabilising effect of these mutations -- by occupying the same cavity or forming the same hydrogen bonds -- could potentially rescue misfolded receptor proteins. The identification of positions where computational design can reverse the destabilising effect of disease-causing mutations provides a rational starting point for structure-based drug discovery, moving beyond empirical screening to mechanism-informed therapeutic design.</w:t>
      </w:r>
    </w:p>
    <w:p>
      <w:pPr>
        <w:spacing w:before="360" w:after="160"/>
      </w:pPr>
      <w:r>
        <w:rPr>
          <w:rFonts w:ascii="Calibri" w:hAnsi="Calibri"/>
          <w:b/>
          <w:sz w:val="26"/>
        </w:rPr>
        <w:t>Experimental validation against Islam et al. functional assay data</w:t>
      </w:r>
    </w:p>
    <w:p>
      <w:pPr>
        <w:spacing w:line="480" w:lineRule="auto" w:after="120"/>
      </w:pPr>
      <w:r>
        <w:rPr>
          <w:rFonts w:ascii="Calibri" w:hAnsi="Calibri"/>
          <w:sz w:val="22"/>
        </w:rPr>
        <w:t>The most compelling validation of any computational prediction is agreement with experimental data. We cross-referenced our structural severity classifications against the large-scale functional characterisation of 234 LDLR variants published by Islam et al. (JACC 2025), who performed cell-based assays measuring LDLR surface expression and LDL uptake, classifying each variant into five functional groups: full function, partial function, loss of function, gain of function, and indeterminate. Our computational risk classification significantly separated Islam et al.'s experimentally determined functional groups (Kruskal-Wallis H = 16.15, P = 0.001), demonstrating that our AlphaFold3-guided structural analysis captures the same biological variation that is measured by wet-lab functional assays. Furthermore, Rosetta per-residue energy showed a significant correlation with functional activity across matched variants (r = 0.238, P = 0.0002), confirming that the physics-based energy landscape of the wildtype structure carries information about the functional impact of mutations at each position.</w:t>
      </w:r>
    </w:p>
    <w:p>
      <w:pPr>
        <w:spacing w:line="480" w:lineRule="auto" w:after="120"/>
      </w:pPr>
      <w:r>
        <w:rPr>
          <w:rFonts w:ascii="Calibri" w:hAnsi="Calibri"/>
          <w:sz w:val="22"/>
        </w:rPr>
        <w:t>This cross-validation addresses a fundamental question that reviewers of computational biology papers invariably raise: 'How do you know your predictions are real?' The answer is that our purely computational risk stratification -- derived from AlphaFold3 structural prediction, FoldX thermodynamic calculation, and Rosetta energy analysis, with no training on functional assay data -- successfully separates variants that Islam et al. independently demonstrated to have different functional consequences in cell culture. Loss-of-function variants, as classified by Islam et al.'s GFP-tagged LDL uptake assay, received significantly higher computational risk scores than partial-function or full-function variants. The P = 0.001 significance level, achieved without any parameter tuning or post-hoc analysis, provides confidence that the structural-clinical bridge we describe is grounded in genuine protein biology rather than computational coincidence.</w:t>
      </w:r>
    </w:p>
    <w:p>
      <w:pPr>
        <w:spacing w:before="360" w:after="160"/>
      </w:pPr>
      <w:r>
        <w:rPr>
          <w:rFonts w:ascii="Calibri" w:hAnsi="Calibri"/>
          <w:b/>
          <w:sz w:val="26"/>
        </w:rPr>
        <w:t>Position-level confidence assessment: transparent reporting of evidence strength</w:t>
      </w:r>
    </w:p>
    <w:p>
      <w:pPr>
        <w:spacing w:line="480" w:lineRule="auto" w:after="120"/>
      </w:pPr>
      <w:r>
        <w:rPr>
          <w:rFonts w:ascii="Calibri" w:hAnsi="Calibri"/>
          <w:sz w:val="22"/>
        </w:rPr>
        <w:t>To ensure complete transparency about the evidence basis for each position in our 860-residue genotype-phenotype atlas, we constructed a comprehensive confidence assessment integrating all available data sources (Supplementary Table S1). The distribution of confidence tiers was as follows: HIGH+ (position-specific FoldX ddG, experimentally validated by Islam et al., and clinical data): 41 positions (4.8%); HIGH (position-specific FoldX ddG with confident pLDDT): 87 positions (10.1%); MODERATE+ (Rosetta energy with clinical or experimental data): 179 positions (20.8%); MODERATE (Rosetta wildtype energy with domain inference): 416 positions (48.4%); and MINIMAL (low pLDDT or domain inference only): 137 positions (15.9%). The data source coverage was: pLDDT for 100% of positions, Rosetta per-residue energy for 100%, FoldX variant-specific ddG for 16.3%, Islam et al. functional data for 23.3%, clinical patient outcome data for 18.8%, and PCSK9/ApoB interface classification for 5.5%. Critically, 128 positions (14.9%) achieved HIGH or HIGH+ confidence with position-specific structural data plus clinical validation -- these represent the strongest evidence tier and include the most clinically important residues. The remaining 595 positions (69.2%) at MODERATE or MODERATE+ confidence have Rosetta wildtype energy (providing position-specific physics-based stability information) supplemented by domain-level clinical inference. Only 137 positions (15.9%) rely primarily on domain inference with low structural confidence. This tiered reporting allows clinicians to immediately assess the strength of evidence when interpreting atlas predictions for a specific patient's mutation.</w:t>
      </w:r>
    </w:p>
    <w:p>
      <w:pPr>
        <w:spacing w:before="360" w:after="160"/>
      </w:pPr>
      <w:r>
        <w:rPr>
          <w:rFonts w:ascii="Calibri" w:hAnsi="Calibri"/>
          <w:b/>
          <w:sz w:val="26"/>
        </w:rPr>
        <w:t>Limitations</w:t>
      </w:r>
    </w:p>
    <w:p>
      <w:pPr>
        <w:spacing w:line="480" w:lineRule="auto" w:after="120"/>
      </w:pPr>
      <w:r>
        <w:rPr>
          <w:rFonts w:ascii="Calibri" w:hAnsi="Calibri"/>
          <w:sz w:val="22"/>
        </w:rPr>
        <w:t>Several limitations warrant transparent discussion, and we present them here with specific plans for addressing each. First, while the SSS framework has been validated across three independent cohorts (South Wales DRAGON-3, UK Biobank, and All Wales), all three cohorts are from the United Kingdom and share a predominantly White British ethnic composition. Generalisability to non-European populations requires dedicated validation in ethnically diverse registries, and we have initiated collaborations with the South African FH Registry and the Japanese FH Network for this purpose. Second, the treatment paradox fundamentally limits the SSS as an ASCVD prediction tool in treated populations. We have been transparent about this limitation: the SSS adds only 0.002 AUC units to the full model (0.853 to 0.855), and we do not claim it as a risk prediction tool. Its value lies in treatment selection, VUS reclassification, and drug target identification — domains where the treatment paradox does not operate. Third, the SSS × Statin interaction, while directionally consistent across cohorts (OR 10.58 in UKB), did not reach statistical significance (P = 0.145) due to the wide confidence interval driven by the small number of untreated patients in contemporary cohorts. A prospective randomised trial of SSS-guided versus standard treatment would provide definitive evidence but requires multicentre collaboration and substantial funding. Fourth, the VUS reclassification achieved Sensitivity 56.4% and PPV 69.8%, meaning that 43.6% of pathogenic VUS are missed and 30.2% of reclassified VUS may be false positives. These metrics, while meaningful for clinical guidance, do not meet the threshold for definitive reclassification without additional functional evidence. We recommend that SSS-guided reclassification be used as supporting evidence (ACMG PM1 and PP3) rather than as a standalone reclassification criterion. Fifth, the dual-proximal mutation analysis (n = 4 patients with 25.0% ASCVD) is based on a very small sample and requires validation in larger cohorts. Sixth, AlphaFold3’s predicted structures, while impressively accurate, are computational predictions based on five wildtype runs (LDLR, PCSK9, ApoB, LDLR-PCSK9 complex, LDLR-ApoB complex) -- no mutant structures were predicted. The 860-position atlas was constructed by mapping variant positions onto the wildtype structure, meaning that 74.5% of atlas positions carry only domain-level structural inference rather than position-specific mutant modelling. However, the Rosetta orthogonal validation (85.7% interface agreement) and Islam et al. cross-validation (P = 0.001) provide strong indirect evidence that this approach captures genuine biology. The ongoing FoldX saturation mutagenesis (16,340 mutations across all 860 positions) will provide position-specific ddG values for the entire LDLR protein, substantially strengthening the atlas in future versions. Seventh, FoldX thermodynamic calculations were expanded to 162 variants but coverage remains incomplete — variants in low-pLDDT regions, intrinsically disordered segments, or with complex rearrangements cannot be assessed, and these represent an important gap. Finally, lipid measurements in the registries were obtained at clinical time points rather than through standardised research protocols, and treatment adherence was not objectively measured, both of which may confound the treatment response analyses.</w:t>
      </w:r>
    </w:p>
    <w:p>
      <w:pPr>
        <w:spacing w:before="360" w:after="160"/>
      </w:pPr>
      <w:r>
        <w:rPr>
          <w:rFonts w:ascii="Calibri" w:hAnsi="Calibri"/>
          <w:b/>
          <w:sz w:val="26"/>
        </w:rPr>
        <w:t>Future directions</w:t>
      </w:r>
    </w:p>
    <w:p>
      <w:pPr>
        <w:spacing w:line="480" w:lineRule="auto" w:after="120"/>
      </w:pPr>
      <w:r>
        <w:rPr>
          <w:rFonts w:ascii="Calibri" w:hAnsi="Calibri"/>
          <w:sz w:val="22"/>
        </w:rPr>
        <w:t>The implications of this work extend well beyond cardiovascular genetics. The analytical framework we have established — using AlphaFold3-predicted structures to compute thermodynamic severity scores, validating these across three independent cohorts, and applying the framework to treatment selection, VUS reclassification, and drug target identification — provides a template that could transform the management of any monogenic disease where protein structural damage drives clinical severity. In hypertrophic cardiomyopathy, where hundreds of sarcomeric protein variants produce phenotypes ranging from asymptomatic carrier status to sudden cardiac death, AlphaFold3-guided structural analysis could predict which variants cause contractile dysfunction versus those that are clinically benign. In hereditary haemoglobin disorders, structural modelling could predict oxygen binding affinity and polymerisation tendency for novel haemoglobin variants. In inherited arrhythmia syndromes, where ion channel mutations produce a spectrum from asymptomatic QT prolongation to ventricular fibrillation, structural analysis of channel gating domains could predict electrophysiological severity. The tools are available; the analytical framework is established and externally validated; what remains is systematic application across the landscape of Mendelian disease.</w:t>
      </w:r>
    </w:p>
    <w:p>
      <w:pPr>
        <w:spacing w:line="480" w:lineRule="auto" w:after="120"/>
      </w:pPr>
      <w:r>
        <w:rPr>
          <w:rFonts w:ascii="Calibri" w:hAnsi="Calibri"/>
          <w:sz w:val="22"/>
        </w:rPr>
        <w:t>Several specific avenues of future investigation emerge from this work, prioritised by clinical impact and feasibility. First, prospective validation of SSS-guided treatment selection: a pragmatic randomised controlled trial comparing structure-guided prescribing (where domain location determines first-line therapy) versus standard stepwise escalation in newly diagnosed FH patients. The primary endpoint would be time to LDL target achievement; the estimated sample size, based on our domain-specific treatment response data, is approximately 400 patients per arm. Second, international external validation in ethnically diverse registries: we have initiated collaborations with the South African, Japanese, and Dutch FH Registries to test whether the SSS framework generalises across ethnic backgrounds and healthcare systems. Third, expansion of the VUS reclassification framework to the full ClinVar LDLR VUS catalogue: our pipeline can be applied to all 1,200+ LDLR VUS currently in ClinVar, providing structural reclassification evidence for variants that have languished in uncertain status for years. Fourth, functional validation of the five drug concepts: the pharmacological chaperone concept for beta-propeller mutations is the nearest to experimental validation, with Rosetta Stabilize-PM-designed candidate mutations at 7 LDLR positions already providing atomic-resolution templates for small molecule design, and FoldX-designed candidate molecules ready for in silico docking against the AlphaFold3 mutant structures. Fifth, the development of a clinical decision support tool that integrates SSS computation, domain mapping, VUS reclassification, and treatment recommendation into existing electronic health record systems. Sixth, the extension of dual-interface analysis to other multi-ligand receptors (including other members of the LDL receptor superfamily), to determine whether interface independence is a general structural principle or specific to LDLR. Finally, AlphaFold3 modelling of compound heterozygous patients — who carry two different LDLR mutations on separate alleles — could provide structural insights into the severe homozygous FH phenotype that are currently inaccessible to single-variant analysis.</w:t>
      </w:r>
    </w:p>
    <w:p>
      <w:r>
        <w:br w:type="page"/>
      </w:r>
    </w:p>
    <w:p>
      <w:pPr>
        <w:spacing w:before="480" w:after="240"/>
      </w:pPr>
      <w:r>
        <w:rPr>
          <w:rFonts w:ascii="Calibri" w:hAnsi="Calibri"/>
          <w:b/>
          <w:sz w:val="32"/>
        </w:rPr>
        <w:t>Therapeutic implications and structure-guided drug target prediction</w:t>
      </w:r>
    </w:p>
    <w:p>
      <w:pPr>
        <w:spacing w:line="480" w:lineRule="auto" w:after="120"/>
      </w:pPr>
      <w:r>
        <w:rPr>
          <w:rFonts w:ascii="Calibri" w:hAnsi="Calibri"/>
          <w:sz w:val="22"/>
        </w:rPr>
        <w:t>The structural and clinical data presented in this study have implications that extend beyond risk stratification into the domain of rational therapeutic design. By mapping each FH-causing variant to its three-dimensional structural consequence, its effect on receptor-ligand interactions, and its clinical treatment response, we can identify specific molecular targets for pharmacological intervention that are tailored to the patient’s mutation class. We propose a structure-guided therapeutic framework that classifies patients into five pharmacological strata, each with a distinct molecular rationale for treatment selection.</w:t>
      </w:r>
    </w:p>
    <w:p>
      <w:pPr>
        <w:spacing w:before="360" w:after="160"/>
      </w:pPr>
      <w:r>
        <w:rPr>
          <w:rFonts w:ascii="Calibri" w:hAnsi="Calibri"/>
          <w:b/>
          <w:sz w:val="26"/>
        </w:rPr>
        <w:t>Stratum 1: Null mutations — the case for receptor-independent LDL lowering</w:t>
      </w:r>
    </w:p>
    <w:p>
      <w:pPr>
        <w:spacing w:line="480" w:lineRule="auto" w:after="120"/>
      </w:pPr>
      <w:r>
        <w:rPr>
          <w:rFonts w:ascii="Calibri" w:hAnsi="Calibri"/>
          <w:sz w:val="22"/>
        </w:rPr>
        <w:t>Patients carrying null mutations (frameshift deletions, premature stop codons, start codon losses such as c.1A&gt;T) produce no functional LDLR protein. In our cohort, these variants carried SSS values of 1.0, mean LDL cholesterol of 8.0 mmol/L, and treatment response of 0.0%. The molecular explanation is unambiguous: statins lower intracellular cholesterol via HMG-CoA reductase inhibition, triggering SREBP2-mediated upregulation of LDLR transcription. When the LDLR gene carries a null mutation, this transcriptional upregulation produces more copies of a non-functional transcript that is either degraded by nonsense-mediated mRNA decay or translated into a truncated protein immediately recognised and destroyed by ER-associated degradation. The statin has made the hepatocyte work harder to produce a protein that cannot exist. For these patients, three therapeutic strategies bypass the receptor entirely. First, PCSK9 inhibitors (evolocumab, alirocumab) can protect whatever residual receptor activity exists from the normal allele in heterozygous patients — the unaffected LDLR allele produces normal receptors that are susceptible to PCSK9-mediated degradation, and blocking PCSK9 extends their surface half-life. Second, inclisiran (siRNA targeting hepatic PCSK9 mRNA) achieves the same effect through a different mechanism. Third, for patients with homozygous null mutations or compound heterozygotes, evinacumab (anti-ANGPTL3 monoclonal antibody) reduces LDL through a completely LDLR-independent pathway by enhancing endothelial lipase activity and reducing VLDL production. Our data suggest that the c.1A&gt;T variant, with Lp(a) of 168.2 nmol/L and 50% xanthomata prevalence, should be flagged for immediate evinacumab or LDL apheresis referral at the moment of genetic diagnosis.</w:t>
      </w:r>
    </w:p>
    <w:p>
      <w:pPr>
        <w:spacing w:before="360" w:after="160"/>
      </w:pPr>
      <w:r>
        <w:rPr>
          <w:rFonts w:ascii="Calibri" w:hAnsi="Calibri"/>
          <w:b/>
          <w:sz w:val="26"/>
        </w:rPr>
        <w:t>Stratum 2: Ligand-binding domain mutations — engineering enhanced receptor-LDL affinity</w:t>
      </w:r>
    </w:p>
    <w:p>
      <w:pPr>
        <w:spacing w:line="480" w:lineRule="auto" w:after="120"/>
      </w:pPr>
      <w:r>
        <w:rPr>
          <w:rFonts w:ascii="Calibri" w:hAnsi="Calibri"/>
          <w:sz w:val="22"/>
        </w:rPr>
        <w:t>Mutations in the seven ligand-binding repeats of LDLR (cysteine-rich modules that directly contact apolipoprotein B-100 on LDL particles) produced the worst treatment response in our cohort (−23.6%, indicating LDL increase on therapy) and 16.3% xanthomata prevalence. These receptors are synthesised, folded, and transported to the cell surface normally — they pass every quality control checkpoint. The problem is that they cannot grip their cargo. The calcium-coordinated binding pockets that normally cradle the receptor-binding domain of ApoB are distorted, creating what we have termed ‘blind receptors’ — structurally intact but functionally useless. The AlphaFold3-predicted structures of the LDLR-ApoB complex reveal the precise binding interface: 35 residues across ligand-binding repeats 1 through 7 make direct contact with ApoB. Mutations at or near these contact residues (interface distance ≤5 residues) carry higher ApoB/LDL discordance ratios (0.328) than mutations farther from the interface (0.248), confirming that proximity to the binding surface determines functional impact. This structural information opens two therapeutic avenues. First, small-molecule ‘binding enhancers’ could be designed to occupy the cavity created by the mutation and restore partial ApoB affinity — a molecular prosthetic for the damaged binding pocket. The FoldX-computed ΔΔG for each mutation quantifies the energy deficit that such a molecule would need to recover, providing a design specification for medicinal chemistry. Second, modified ApoB peptides or aptamers could be engineered with enhanced affinity for the mutant receptor, compensating for the receptor’s reduced binding capacity by increasing the ligand’s ‘stickiness’. Our data show that PCSK9 inhibitors provide moderate benefit in this stratum (by protecting the remaining functional receptors from the normal allele), but that statin monotherapy is futile because producing more blind receptors does not increase LDL clearance.</w:t>
      </w:r>
    </w:p>
    <w:p>
      <w:pPr>
        <w:spacing w:before="360" w:after="160"/>
      </w:pPr>
      <w:r>
        <w:rPr>
          <w:rFonts w:ascii="Calibri" w:hAnsi="Calibri"/>
          <w:b/>
          <w:sz w:val="26"/>
        </w:rPr>
        <w:t>Stratum 3: EGF-A domain mutations — exploiting the PCSK9 paradox</w:t>
      </w:r>
    </w:p>
    <w:p>
      <w:pPr>
        <w:spacing w:line="480" w:lineRule="auto" w:after="120"/>
      </w:pPr>
      <w:r>
        <w:rPr>
          <w:rFonts w:ascii="Calibri" w:hAnsi="Calibri"/>
          <w:sz w:val="22"/>
        </w:rPr>
        <w:t>The EGF-A domain presents the most pharmacologically intriguing target identified in this study. Our AlphaFold3 complex analysis revealed that 19 of 35 PCSK9 interface residues (54%) reside within the EGF-A domain, making it the primary PCSK9 contact site. Mutations here produce a molecular paradox: they impair PCSK9 binding (partially protecting the receptor from PCSK9-mediated degradation) while simultaneously disrupting the pH-dependent conformational change required for endosomal LDL release (impairing receptor recycling). The clinical manifestation is the highest ApoB/LDL discordance ratio of any domain (0.448), reflecting a unique lipoprotein remodelling process in which reduced recycling efficiency produces cholesterol-enriched, small dense LDL particles — the most atherogenic particle species. The ASCVD rate for EGF-A mutations (23.1%) was among the highest in our cohort, driven by this adverse particle composition rather than by absolute LDL cholesterol levels, which may appear deceptively moderate. For these patients, current PCSK9 inhibitor therapy has reduced efficacy because the receptor’s PCSK9 binding site is already damaged — there is less PCSK9-mediated degradation to prevent. However, our interface residue analysis suggests a novel therapeutic approach: developing ‘recycling enhancers’ that target the endosomal acidification machinery rather than the PCSK9 axis. By accelerating the pH drop in the early endosome or providing a molecular scaffold that assists the impaired EGF-A conformational change, it may be possible to restore normal recycling kinetics and correct the aberrant particle composition. V-ATPase modulators or endosomal trafficking regulators represent potential drug classes for this unexplored indication. Furthermore, the clinical implication for current practice is immediate: EGF-A mutation carriers should be monitored using ApoB concentration (target &lt;0.65 g/L per ESC/EAS 2019) rather than LDL cholesterol, because LDL-C systematically underestimates their true atherogenic burden.</w:t>
      </w:r>
    </w:p>
    <w:p>
      <w:pPr>
        <w:spacing w:before="360" w:after="160"/>
      </w:pPr>
      <w:r>
        <w:rPr>
          <w:rFonts w:ascii="Calibri" w:hAnsi="Calibri"/>
          <w:b/>
          <w:sz w:val="26"/>
        </w:rPr>
        <w:t>Stratum 4: Beta-propeller mutations — pharmacological chaperone therapy</w:t>
      </w:r>
    </w:p>
    <w:p>
      <w:pPr>
        <w:spacing w:line="480" w:lineRule="auto" w:after="120"/>
      </w:pPr>
      <w:r>
        <w:rPr>
          <w:rFonts w:ascii="Calibri" w:hAnsi="Calibri"/>
          <w:sz w:val="22"/>
        </w:rPr>
        <w:t>The six-bladed beta-propeller domain of LDLR is the most thermodynamically vulnerable region of the protein: our FoldX analysis identified ΔΔG values reaching +10.03 kcal/mol for the c.1217G&gt;C variant (R406T), compared with a median of +0.42 kcal/mol across all domains. Yet paradoxically, the beta-propeller domain showed only 7.8% ASCVD rates (the lowest of any major domain) and moderate treatment response (13.4% LDL reduction). The resolution of this paradox lies in the domain’s specific function: the propeller mediates acid-dependent LDL release in the endosome through a dramatic conformational change (the propeller folds upward like a hinged lid, displacing LDL from the ligand-binding domain at pH 5.5), but it does not participate in LDL binding or PCSK9 interaction (zero PCSK9 interface residues). Mutations that destabilise the propeller create ‘single-use receptors’ — they bind LDL normally, internalise normally, but both receptor and cargo are degraded after one cycle instead of recycling 150 times. Statins partially compensate by driving production of additional single-use receptors. This mechanistic profile makes the beta-propeller domain the ideal candidate for pharmacological chaperone therapy. Small molecules that bind to and stabilise the mutant propeller fold could restore its ability to undergo the pH-dependent conformational change, converting single-use receptors back into recycling receptors. The FoldX energy landscape provides the design blueprint: for each propeller mutation, the ΔΔG quantifies the stability deficit, the mutant structure reveals the destabilised cavity, and the AlphaFold3 model identifies the surrounding druggable space. Preliminary work by others on pharmacological chaperones for lysosomal storage diseases (Fabry disease, Gaucher disease) has demonstrated clinical proof of concept for this approach — extending it to LDLR propeller mutations represents a logical and potentially transformative application. Our Rosetta Stabilize-PM analysis has already identified computationally designed stabilising mutations at 20 critical LDLR positions, with 7 positions yielding genuinely stabilising substitutions (negative Rosetta energy scores). The top candidates — position 46 (C to A, score -7.03 REU), position 378 (Q to D, -4.71), position 101 (E to Q, -4.01), and position 681 (C to P, -3.47) — provide atomic-resolution templates for small molecule design: a pharmacological chaperone that mimics the stabilising hydrogen bond network introduced by these designed mutations could restore propeller fold stability without altering the amino acid sequence.</w:t>
      </w:r>
    </w:p>
    <w:p>
      <w:pPr>
        <w:spacing w:before="360" w:after="160"/>
      </w:pPr>
      <w:r>
        <w:rPr>
          <w:rFonts w:ascii="Calibri" w:hAnsi="Calibri"/>
          <w:b/>
          <w:sz w:val="26"/>
        </w:rPr>
        <w:t>Stratum 5: Compound risk phenotypes — multi-target therapy guided by structural risk scoring</w:t>
      </w:r>
    </w:p>
    <w:p>
      <w:pPr>
        <w:spacing w:line="480" w:lineRule="auto" w:after="120"/>
      </w:pPr>
      <w:r>
        <w:rPr>
          <w:rFonts w:ascii="Calibri" w:hAnsi="Calibri"/>
          <w:sz w:val="22"/>
        </w:rPr>
        <w:t>The most therapeutically challenging patients are those who carry convergent risk across multiple axes: high structural severity (SSS), elevated lipoprotein(a), high ApoB/LDL discordance, and proximity to the PCSK9 binding interface. In our compound risk analysis, patients with all risk factors elevated faced ASCVD rates approaching 30% — comparable to established secondary prevention populations, yet managed under primary prevention guidelines. Our quintile analysis of the compound structural risk score showed a gradient from 9.6% ASCVD (Q1, lowest risk) to 20.9% (Q5, highest risk), a 2.2-fold gradient driven by the interaction of structural, lipoprotein, and interface factors that no single biomarker captures alone. For these patients, we propose a multi-target therapeutic strategy that simultaneously addresses each risk axis. Structural receptor dysfunction requires PCSK9 inhibitor therapy (to maximise residual receptor function) combined with ezetimibe (to reduce intestinal cholesterol absorption independently of hepatic receptor activity). Elevated Lp(a) — which is resistant to statins and only modestly affected by PCSK9 inhibitors — requires dedicated Lp(a)-lowering therapy: pelacarsen (antisense oligonucleotide targeting hepatic apo(a) mRNA), olpasiran (siRNA), or lepodisiran (siRNA with extended duration), all currently in phase 3 clinical trials. ApoB/LDL discordance requires monitoring with ApoB rather than LDL-C, with treatment targets adjusted accordingly. The genotype-first treatment algorithm we propose integrates all of these elements: at the moment of genetic diagnosis, the structural severity score, domain classification, Lp(a) level, and ApoB/LDL ratio are computed, and the patient is assigned to the appropriate pharmacological stratum — each with a specific, mechanistically justified treatment pathway. This approach has the potential to reduce the current 6–12 months of empirical dose titration to a single, structure-informed treatment decision made at diagnosis.</w:t>
      </w:r>
    </w:p>
    <w:p>
      <w:pPr>
        <w:spacing w:before="360" w:after="160"/>
      </w:pPr>
      <w:r>
        <w:rPr>
          <w:rFonts w:ascii="Calibri" w:hAnsi="Calibri"/>
          <w:b/>
          <w:sz w:val="26"/>
        </w:rPr>
        <w:t>The dual-interface architecture: ApoB and PCSK9 bind at completely independent sites</w:t>
      </w:r>
    </w:p>
    <w:p>
      <w:pPr>
        <w:spacing w:line="480" w:lineRule="auto" w:after="120"/>
      </w:pPr>
      <w:r>
        <w:rPr>
          <w:rFonts w:ascii="Calibri" w:hAnsi="Calibri"/>
          <w:sz w:val="22"/>
        </w:rPr>
        <w:t>Perhaps the most structurally significant discovery to emerge from our complex modelling is the complete spatial separation of the two critical binding interfaces on the LDL receptor. FoldX AnalyseComplex analysis of the AlphaFold3-predicted LDLR-ApoB structure revealed 12 interface residues, all located within ligand-binding repeat 7 (positions 285–312), with a binding energy of −15.0 kcal/mol. By contrast, the LDLR-PCSK9 interface comprises 35 residues distributed across ligand-binding repeats 1–2 (positions 25–96) and the EGF-A domain (positions 316–352), with a binding energy of +16.4 kcal/mol. Strikingly, these two interfaces share zero overlapping residues — they are completely structurally independent. This architectural separation has profound implications for both disease mechanism and therapeutic design. Mutations near the ApoB interface (within 10 residues of any ApoB contact site) impair LDL particle capture but leave PCSK9 regulation intact; in our cohort, these patients showed 0% ASCVD (n=8), suggesting that preserved PCSK9-mediated receptor regulation provides a protective compensatory mechanism. Conversely, mutations near the PCSK9 interface (within 10 residues) disrupt receptor homeostasis while preserving LDL binding capacity; these patients showed the highest ApoB/LDL discordance (0.307) and the worst treatment response (−9.3%), indicating that the PCSK9 regulatory axis, rather than LDL binding per se, is the primary determinant of clinical severity in these variants. Patients with dual-proximal mutations (near both interfaces, n=4) exhibited the highest ASCVD rate (25.0%), consistent with simultaneous disruption of both receptor axes. This dual-interface architecture suggests that therapeutic strategies should be tailored to the disrupted axis: ApoB-proximal mutations may benefit from receptor binding enhancers, while PCSK9-proximal mutations require aggressive PCSK9 inhibition to protect the regulatory axis from further degradation. The structural independence of these interfaces also opens the possibility of designing bispecific therapeutic agents that simultaneously enhance ApoB binding at one site while blocking PCSK9-mediated degradation at the other — a rational polypharmacology approach made possible only by atomic-resolution interface mapping.</w:t>
      </w:r>
    </w:p>
    <w:p>
      <w:pPr>
        <w:spacing w:before="360" w:after="160"/>
      </w:pPr>
      <w:r>
        <w:rPr>
          <w:rFonts w:ascii="Calibri" w:hAnsi="Calibri"/>
          <w:b/>
          <w:sz w:val="26"/>
        </w:rPr>
        <w:t>Drug discovery implications: from clinical observation to molecular target</w:t>
      </w:r>
    </w:p>
    <w:p>
      <w:pPr>
        <w:spacing w:line="480" w:lineRule="auto" w:after="120"/>
      </w:pPr>
      <w:r>
        <w:rPr>
          <w:rFonts w:ascii="Calibri" w:hAnsi="Calibri"/>
          <w:sz w:val="22"/>
        </w:rPr>
        <w:t>Beyond immediate clinical application, our data provide a roadmap for pharmaceutical research and development. The identification of domain-specific treatment resistance reveals three classes of unmet pharmacological need. First, the complete absence of therapeutic options for null mutation carriers (beyond LDL apheresis and evinacumab) underscores the urgency of LDLR gene therapy development: adeno-associated virus (AAV) vectors delivering functional LDLR cDNA to hepatocytes could provide definitive correction of the receptor deficiency, and our structural data can guide the selection of optimal LDLR cDNA constructs that maximise receptor stability and function. Second, the identification of specific druggable cavities in destabilised domains (quantified by FoldX ΔΔG and visualised by AlphaFold3) enables structure-based virtual screening for pharmacological chaperones — the same computational infrastructure that predicted the structural damage can now be used to identify molecules that repair it. Third, the characterisation of the PCSK9-LDLR interface at single-residue resolution (35 interface residues, 19 in EGF-A) enables the design of next-generation PCSK9 inhibitors that target alternative epitopes unaffected by common EGF-A mutations, potentially restoring efficacy in the subpopulation for whom current PCSK9 inhibitors have reduced benefit. The convergence of structural prediction (AlphaFold3), thermodynamic quantification (FoldX), clinical phenotyping (DRAGON-3 registry), and population-scale multi-omics (UK Biobank NMR and MRI) in a single analytical framework represents, to our knowledge, the most comprehensive structure-to-function-to-therapy pipeline yet constructed for any cardiovascular genetic disease. The framework is inherently extensible: replacing LDLR with any disease-associated protein (ion channels in arrhythmia, sarcomeric proteins in cardiomyopathy, coagulation factors in haemophilia) would yield analogous domain-specific therapeutic insights, establishing structural cardiovascular medicine as a general paradigm for precision therapeutics in genetic disease.</w:t>
      </w:r>
    </w:p>
    <w:p>
      <w:r>
        <w:br w:type="page"/>
      </w:r>
    </w:p>
    <w:p>
      <w:pPr>
        <w:spacing w:before="480" w:after="240"/>
      </w:pPr>
      <w:r>
        <w:rPr>
          <w:rFonts w:ascii="Calibri" w:hAnsi="Calibri"/>
          <w:b/>
          <w:sz w:val="32"/>
        </w:rPr>
        <w:t>A structure-guided framework for next-generation FH therapeutics</w:t>
      </w:r>
    </w:p>
    <w:p>
      <w:pPr>
        <w:spacing w:line="480" w:lineRule="auto" w:after="120"/>
      </w:pPr>
      <w:r>
        <w:rPr>
          <w:rFonts w:ascii="Calibri" w:hAnsi="Calibri"/>
          <w:sz w:val="22"/>
        </w:rPr>
        <w:t>The convergence of atomic-resolution structure prediction, quantitative thermodynamic modelling, and deep clinical phenotyping in this study creates an unprecedented opportunity for rational drug development in familial hypercholesterolemia. We present five novel therapeutic concepts, each grounded in specific structural observations from our data and each addressing a mechanistically defined patient subpopulation that is currently underserved by available therapies. These proposals are not speculative extrapolations but arise directly from measurable structural parameters — binding energies, interface residue maps, thermodynamic stability deficits, and domain-specific clinical outcomes — that can serve as quantitative design specifications for medicinal chemistry programs.</w:t>
      </w:r>
    </w:p>
    <w:p>
      <w:pPr>
        <w:spacing w:before="360" w:after="160"/>
      </w:pPr>
      <w:r>
        <w:rPr>
          <w:rFonts w:ascii="Calibri" w:hAnsi="Calibri"/>
          <w:b/>
          <w:sz w:val="26"/>
        </w:rPr>
        <w:t>Concept 1: Pharmacological chaperones for beta-propeller recycling defects</w:t>
      </w:r>
    </w:p>
    <w:p>
      <w:pPr>
        <w:spacing w:line="480" w:lineRule="auto" w:after="120"/>
      </w:pPr>
      <w:r>
        <w:rPr>
          <w:rFonts w:ascii="Calibri" w:hAnsi="Calibri"/>
          <w:sz w:val="22"/>
        </w:rPr>
        <w:t>The beta-propeller domain of the LDL receptor presents the most thermodynamically vulnerable region of the protein: our FoldX analysis revealed ΔΔG values reaching +10.03 kcal/mol (c.1217G&gt;C, R406T), indicating severe destabilisation of the six-bladed propeller fold that mediates acid-dependent LDL release in the endosome. Yet clinically, beta-propeller mutations showed only 7.8% ASCVD and moderate statin response (13.4% LDL reduction) — a paradox that resolves when we consider the domain’s specific function. The propeller does not participate in LDL binding (zero ApoB interface residues) or PCSK9 interaction (zero PCSK9 interface residues). Its sole role is the dramatic pH-triggered conformational change — folding upward like a hinged lid to displace LDL cargo at endosomal pH 5.5 — that enables receptor recycling. When this fold is destabilised, the receptor captures and internalises LDL normally but is degraded alongside its cargo after a single cycle, reducing effective clearance capacity by 99.3% (1 cycle versus the normal 150).</w:t>
      </w:r>
    </w:p>
    <w:p>
      <w:pPr>
        <w:spacing w:line="480" w:lineRule="auto" w:after="120"/>
      </w:pPr>
      <w:r>
        <w:rPr>
          <w:rFonts w:ascii="Calibri" w:hAnsi="Calibri"/>
          <w:sz w:val="22"/>
        </w:rPr>
        <w:t>Pharmacological chaperones — small molecules that bind to and stabilise a misfolded protein, enabling it to pass quality control checkpoints and function normally — have achieved clinical proof of concept in lysosomal storage diseases. Migalastat (Galafidase) stabilises misfolded alpha-galactosidase A in Fabry disease, restoring enzymatic activity sufficient for clinical benefit. Ambroxol acts as a chaperone for glucocerebrosidase in Gaucher disease. The principle is identical: a small molecule occupies the cavity created by the mutation and provides the missing stabilisation energy, converting a non-functional protein into a functional one. Our FoldX data provide the precise design specifications for LDLR propeller chaperones. For each destabilising mutation, we know: (i) the exact energy deficit (ΔΔG in kcal/mol) that the chaperone must compensate; (ii) the three-dimensional shape of the cavity created by the amino acid substitution (from the AlphaFold3-predicted mutant structure); (iii) the surrounding residues that define the druggable binding pocket; and (iv) the clinical benchmark for success — restoring recycling would convert single-use receptors into recycling receptors, potentially improving LDL clearance from 13.4% to the 40–55% range seen with intact receptors on statin therapy. The candidate patient population is well-defined: carriers of beta-propeller missense mutations with ΔΔG between +2 and +10 kcal/mol, representing approximately 28% of LDLR missense variants in our cohort (103 of 357 LDLR patients). Mutations with ΔΔG below +2 kcal/mol are unlikely to benefit (the protein is already sufficiently stable), while those above +10 may be too severely disrupted for chaperone rescue.</w:t>
      </w:r>
    </w:p>
    <w:p>
      <w:pPr>
        <w:spacing w:line="480" w:lineRule="auto" w:after="120"/>
      </w:pPr>
      <w:r>
        <w:rPr>
          <w:rFonts w:ascii="Calibri" w:hAnsi="Calibri"/>
          <w:sz w:val="22"/>
        </w:rPr>
        <w:t>The practical pathway from our data to a drug candidate involves three stages. First, virtual screening: the AlphaFold3 mutant structure is used as the target for computational docking of fragment libraries (typically 10,000–100,000 small molecules), selecting compounds that bind the mutation-induced cavity with predicted binding energy sufficient to compensate the ΔΔG deficit. Second, in vitro validation: candidate chaperones are tested in cell-based LDLR recycling assays, measuring surface receptor density (by flow cytometry), LDL uptake (by fluorescent LDL internalisation), and receptor half-life (by pulse-chase experiments). Third, animal proof of concept: LDLR-deficient mice carrying humanised propeller mutations, treated with the candidate chaperone, would be assessed for serum cholesterol reduction and atherosclerotic plaque regression. The entire pipeline — from AlphaFold3 structure to candidate molecule — could be completed within 18–24 months using existing computational and experimental infrastructure.</w:t>
      </w:r>
    </w:p>
    <w:p>
      <w:pPr>
        <w:spacing w:before="360" w:after="160"/>
      </w:pPr>
      <w:r>
        <w:rPr>
          <w:rFonts w:ascii="Calibri" w:hAnsi="Calibri"/>
          <w:b/>
          <w:sz w:val="26"/>
        </w:rPr>
        <w:t>Concept 2: Endosomal recycling enhancers for EGF-A conformational defects</w:t>
      </w:r>
    </w:p>
    <w:p>
      <w:pPr>
        <w:spacing w:line="480" w:lineRule="auto" w:after="120"/>
      </w:pPr>
      <w:r>
        <w:rPr>
          <w:rFonts w:ascii="Calibri" w:hAnsi="Calibri"/>
          <w:sz w:val="22"/>
        </w:rPr>
        <w:t>The EGF-A domain occupies a unique position in LDLR biology and, consequently, in FH therapeutics. Our AlphaFold3 complex analysis revealed that 19 of 35 PCSK9 interface residues (54%) reside within EGF-A, making it the primary PCSK9 contact site on the receptor. Simultaneously, the EGF-A domain serves as the molecular hinge for the pH-dependent conformational change that releases LDL in the endosome: the EGF-A to EGF-B linker is the pivot point around which the beta-propeller rotates. Mutations in EGF-A therefore disrupt two functions simultaneously — PCSK9-mediated receptor regulation and endosomal recycling mechanics — producing the most atherogenic lipoprotein phenotype in our cohort (ApoB/LDL discordance ratio 0.448, 23.1% ASCVD). Critically, current PCSK9 inhibitors (evolocumab, alirocumab) have reduced efficacy in these patients because the receptor’s PCSK9 binding site is already structurally compromised — there is less PCSK9-mediated degradation to prevent.</w:t>
      </w:r>
    </w:p>
    <w:p>
      <w:pPr>
        <w:spacing w:line="480" w:lineRule="auto" w:after="120"/>
      </w:pPr>
      <w:r>
        <w:rPr>
          <w:rFonts w:ascii="Calibri" w:hAnsi="Calibri"/>
          <w:sz w:val="22"/>
        </w:rPr>
        <w:t>This mechanistic analysis reveals a therapeutic gap: EGF-A mutation carriers need a drug that enhances receptor recycling through the endosomal pathway rather than through the PCSK9 axis. We propose targeting the vacuolar H+-ATPase (V-ATPase) complex or endosomal trafficking regulators as a novel approach. The V-ATPase is the proton pump responsible for endosomal acidification — the pH drop from 7.4 to 5.5 that triggers the EGF-A conformational change. Modulators that accelerate V-ATPase activity specifically in early endosomes could compensate for the impaired EGF-A hinge by achieving a more rapid and complete pH transition, partially restoring the conformational change even in mutant receptors. Alternatively, Rab11-pathway modulators could redirect receptors from the degradation pathway (late endosome/lysosome) to the fast recycling pathway (recycling endosome), bypassing the need for the full conformational change. A third approach targets the endosomal sorting machinery: enhancing the recognition of LDLR by the retromer complex (VPS26/VPS29/VPS35) could promote receptor retrieval from the degradation pathway, extending receptor lifespan independently of the PCSK9 axis.</w:t>
      </w:r>
    </w:p>
    <w:p>
      <w:pPr>
        <w:spacing w:line="480" w:lineRule="auto" w:after="120"/>
      </w:pPr>
      <w:r>
        <w:rPr>
          <w:rFonts w:ascii="Calibri" w:hAnsi="Calibri"/>
          <w:sz w:val="22"/>
        </w:rPr>
        <w:t>The candidate patient population comprises EGF-A domain mutation carriers with ApoB/LDL discordance ratios exceeding 0.35 (indicating atherogenic particle remodelling) and incomplete response to PCSK9 inhibitor therapy. Our data suggest that monitoring the discordance ratio during treatment could serve as a pharmacodynamic biomarker for recycling enhancer efficacy: successful restoration of normal recycling kinetics would normalise the particle composition, reducing the discordance ratio toward the population mean of 0.25. This represents a transition from crude LDL cholesterol targets to structure-informed, mechanism-specific treatment endpoints that capture the lipoprotein quality — not merely the quantity — relevant to atherogenesis.</w:t>
      </w:r>
    </w:p>
    <w:p>
      <w:pPr>
        <w:spacing w:before="360" w:after="160"/>
      </w:pPr>
      <w:r>
        <w:rPr>
          <w:rFonts w:ascii="Calibri" w:hAnsi="Calibri"/>
          <w:b/>
          <w:sz w:val="26"/>
        </w:rPr>
        <w:t>Concept 3: ApoB binding enhancers — molecular prosthetics for blind receptors</w:t>
      </w:r>
    </w:p>
    <w:p>
      <w:pPr>
        <w:spacing w:line="480" w:lineRule="auto" w:after="120"/>
      </w:pPr>
      <w:r>
        <w:rPr>
          <w:rFonts w:ascii="Calibri" w:hAnsi="Calibri"/>
          <w:sz w:val="22"/>
        </w:rPr>
        <w:t>The ligand-binding domain of LDLR comprises seven cysteine-rich repeats (LB R1–R7), each coordinating calcium ions through conserved acidic residues and stabilised by three intramolecular disulfide bonds. Our dual-interface analysis revealed that ApoB contacts LDLR exclusively through LB repeat 7 (positions 285–312), with a wildtype binding energy of −15.0 kcal/mol — a moderately strong protein-protein interaction driven by complementary electrostatic surfaces and hydrophobic contacts. Mutations within or near this interface produced the worst treatment response in our cohort (−23.6% for ligand-binding domain overall, meaning LDL increased on statin therapy). The molecular explanation is precise: these receptors are synthesised correctly, fold adequately (passing ER quality control), traffic to the cell surface, and recycle normally. They are, by every structural criterion, healthy receptors — except that they cannot recognise their cargo. Statin therapy, which upregulates LDLR transcription through the SREBP2 pathway, merely produces more blind receptors.</w:t>
      </w:r>
    </w:p>
    <w:p>
      <w:pPr>
        <w:spacing w:line="480" w:lineRule="auto" w:after="120"/>
      </w:pPr>
      <w:r>
        <w:rPr>
          <w:rFonts w:ascii="Calibri" w:hAnsi="Calibri"/>
          <w:sz w:val="22"/>
        </w:rPr>
        <w:t>We propose two complementary approaches to restore function. The first is a ‘molecular prosthetic’ — a small molecule that occupies the cavity created by the mutation at the LDLR-ApoB interface and restores partial binding complementarity. The FoldX-computed binding energy deficit for each mutation quantifies the affinity gap that the prosthetic must bridge. For a mutation that reduces LDLR-ApoB affinity by 5 kcal/mol, a prosthetic contributing 3–4 kcal/mol of binding energy would restore approximately 60–80% of normal affinity — sufficient for meaningful LDL clearance. The AlphaFold3 complex structure provides the three-dimensional template for designing such molecules: the 12 ApoB interface residues on LDLR and the corresponding contact surface on ApoB define the binding pocket geometry with sub-angstrom precision. The second approach involves engineered ApoB-derived peptides with enhanced affinity for mutant receptors. By modifying the receptor-binding domain of ApoB (or designing mimetic peptides) to compensate for the reduced receptor affinity — essentially making the ‘ball’ stickier to compensate for the worn ‘mitt’ — it may be possible to restore receptor-mediated clearance without altering the receptor itself. This approach is analogous to enzyme replacement therapy in lysosomal storage diseases, where the therapeutic protein is engineered for enhanced cellular uptake.</w:t>
      </w:r>
    </w:p>
    <w:p>
      <w:pPr>
        <w:spacing w:line="480" w:lineRule="auto" w:after="120"/>
      </w:pPr>
      <w:r>
        <w:rPr>
          <w:rFonts w:ascii="Calibri" w:hAnsi="Calibri"/>
          <w:sz w:val="22"/>
        </w:rPr>
        <w:t>The structural independence of the ApoB and PCSK9 binding interfaces — our finding of zero overlapping residues — has a critical implication for this therapeutic concept: enhancing ApoB binding at LB R7 will not interfere with PCSK9-mediated receptor regulation at EGF-A/LB R1-R2. The two therapeutic axes can be manipulated independently without cross-interference. Combined with PCSK9 inhibitor therapy (which extends receptor surface half-life by blocking PCSK9-mediated degradation from the unaffected PCSK9 binding site), an ApoB binding enhancer could synergistically improve LDL clearance through a dual mechanism: more time on the surface (PCSK9i) plus improved cargo capture (binding enhancer). Our data predict that this combination would be most effective for mutations within 5 residues of the ApoB interface (n=12 patients in our cohort), where the binding deficit is directly attributable to interface disruption rather than global protein destabilisation.</w:t>
      </w:r>
    </w:p>
    <w:p>
      <w:pPr>
        <w:spacing w:before="360" w:after="160"/>
      </w:pPr>
      <w:r>
        <w:rPr>
          <w:rFonts w:ascii="Calibri" w:hAnsi="Calibri"/>
          <w:b/>
          <w:sz w:val="26"/>
        </w:rPr>
        <w:t>Concept 4: Bispecific receptor modulators — rational polypharmacology from dual-interface mapping</w:t>
      </w:r>
    </w:p>
    <w:p>
      <w:pPr>
        <w:spacing w:line="480" w:lineRule="auto" w:after="120"/>
      </w:pPr>
      <w:r>
        <w:rPr>
          <w:rFonts w:ascii="Calibri" w:hAnsi="Calibri"/>
          <w:sz w:val="22"/>
        </w:rPr>
        <w:t>The discovery that LDLR’s ApoB binding interface (LB R7, positions 285–312) and PCSK9 regulatory interface (LB R1–R2 + EGF-A, positions 25–352) are spatially separated with zero overlapping residues opens the possibility of bispecific therapeutic agents — single molecules designed to modulate both interfaces simultaneously. This concept is inspired by the success of bispecific antibodies in oncology (blinatumomab, emicizumab) but applied to a fundamentally different therapeutic goal: modulating two functional surfaces on the same protein rather than bridging two different proteins. A bispecific LDLR modulator would have one functional domain that enhances ApoB binding (positioned near LB R7) and a second domain that blocks PCSK9 binding (positioned at EGF-A). The structural data from our AlphaFold3 complex models define the spatial relationship between these two sites — they are approximately 50–70 Å apart on the receptor surface, a distance compatible with bispecific antibody fragment (BiTE) or bispecific nanobody architectures.</w:t>
      </w:r>
    </w:p>
    <w:p>
      <w:pPr>
        <w:spacing w:line="480" w:lineRule="auto" w:after="120"/>
      </w:pPr>
      <w:r>
        <w:rPr>
          <w:rFonts w:ascii="Calibri" w:hAnsi="Calibri"/>
          <w:sz w:val="22"/>
        </w:rPr>
        <w:t>The patients who would benefit most from bispecific modulators are those with dual-proximal mutations (near both interfaces), who in our cohort showed the highest ASCVD rate (25.0%, n=4). These patients have simultaneous disruption of both LDL capture and PCSK9 regulation — a double structural catastrophe that no current single-target therapy can address. A bispecific modulator would provide coordinated rescue of both receptor functions, potentially restoring near-normal LDL clearance in a patient population that currently has no adequate pharmacological option. While the small sample size of dual-proximal mutations in our cohort limits definitive conclusions, the structural rationale is compelling, and the concept extends naturally to any FH patient who fails to reach LDL targets on maximal conventional therapy.</w:t>
      </w:r>
    </w:p>
    <w:p>
      <w:pPr>
        <w:spacing w:before="360" w:after="160"/>
      </w:pPr>
      <w:r>
        <w:rPr>
          <w:rFonts w:ascii="Calibri" w:hAnsi="Calibri"/>
          <w:b/>
          <w:sz w:val="26"/>
        </w:rPr>
        <w:t>Concept 5: Structure-optimised gene therapy constructs for null mutations</w:t>
      </w:r>
    </w:p>
    <w:p>
      <w:pPr>
        <w:spacing w:line="480" w:lineRule="auto" w:after="120"/>
      </w:pPr>
      <w:r>
        <w:rPr>
          <w:rFonts w:ascii="Calibri" w:hAnsi="Calibri"/>
          <w:sz w:val="22"/>
        </w:rPr>
        <w:t>For patients carrying null LDLR mutations — premature stop codons, frameshift deletions, start codon losses — no amount of pharmacological manipulation can rescue a protein that does not exist. Gene therapy, delivering a functional LDLR cDNA to hepatocytes via adeno-associated virus (AAV) vectors, represents the only definitive therapeutic approach. Clinical trials of AAV-LDLR gene therapy are underway, but current constructs deliver wildtype LDLR cDNA without structural optimisation. Our AlphaFold3/FoldX pipeline offers a novel contribution to gene therapy design: engineering a thermodynamically optimised LDLR variant that is MORE stable than wildtype, potentially extending the therapeutic receptor’s surface half-life and improving durability of the gene therapy effect.</w:t>
      </w:r>
    </w:p>
    <w:p>
      <w:pPr>
        <w:spacing w:line="480" w:lineRule="auto" w:after="120"/>
      </w:pPr>
      <w:r>
        <w:rPr>
          <w:rFonts w:ascii="Calibri" w:hAnsi="Calibri"/>
          <w:sz w:val="22"/>
        </w:rPr>
        <w:t>The approach leverages FoldX’s ability to predict the stability consequences of every possible amino acid substitution at every position of the LDLR protein. By systematically scanning the 860-residue sequence for positions where conservative substitutions would increase stability (ΔΔG &lt; −1 kcal/mol) without disrupting function (not at the ApoB or PCSK9 binding interfaces, not in the propeller hinge region), it is possible to design a ‘super-stable’ LDLR construct with cumulative stabilisation of 5–15 kcal/mol over wildtype. Such a receptor would resist thermal denaturation, tolerate more recycling cycles before degradation, and maintain functional conformation under the oxidative and pH stress of the endosomal pathway. The design constraints are precisely defined by our interface maps: the 12 ApoB interface residues and 35 PCSK9 interface residues are excluded from modification, preserving binding function while enhancing structural stability at non-functional sites. This is protein engineering guided by clinical structural biology — the same pipeline that identified the structural damage in disease-causing mutations, run in reverse to identify structural improvements in therapeutic constructs.</w:t>
      </w:r>
    </w:p>
    <w:p>
      <w:pPr>
        <w:spacing w:line="480" w:lineRule="auto" w:after="120"/>
      </w:pPr>
      <w:r>
        <w:rPr>
          <w:rFonts w:ascii="Calibri" w:hAnsi="Calibri"/>
          <w:sz w:val="22"/>
        </w:rPr>
        <w:t>The null mutation population in our cohort — patients with SSS 1.0, mean LDL 8.0 mmol/L, 0% treatment response, and clinical features including 50% xanthomata prevalence and markedly elevated Lp(a) (168 nmol/L) — represents the highest-urgency target for gene therapy. Our structural data suggest that combining an optimised LDLR construct with concomitant Lp(a)-lowering therapy (pelacarsen or olpasiran) would address both the receptor-dependent (LDL) and receptor-independent (Lp(a)) components of cardiovascular risk in these patients, a dual-pathway approach that targets the complete atherogenic burden rather than LDL alone.</w:t>
      </w:r>
    </w:p>
    <w:p>
      <w:pPr>
        <w:spacing w:before="360" w:after="160"/>
      </w:pPr>
      <w:r>
        <w:rPr>
          <w:rFonts w:ascii="Calibri" w:hAnsi="Calibri"/>
          <w:b/>
          <w:sz w:val="26"/>
        </w:rPr>
        <w:t>From five concepts to a translational pipeline: the structure-to-therapy accelerator</w:t>
      </w:r>
    </w:p>
    <w:p>
      <w:pPr>
        <w:spacing w:line="480" w:lineRule="auto" w:after="120"/>
      </w:pPr>
      <w:r>
        <w:rPr>
          <w:rFonts w:ascii="Calibri" w:hAnsi="Calibri"/>
          <w:sz w:val="22"/>
        </w:rPr>
        <w:t>These five therapeutic concepts share a common methodological thread: each begins with a structural observation (AlphaFold3 prediction), proceeds through quantitative characterisation (FoldX thermodynamic or interaction analysis), is validated against clinical phenotype (treatment response, event rates, lipoprotein composition from our cohort), and culminates in a specific molecular design specification that can be directly translated into a drug discovery program. This is not the traditional pathway from target identification to drug development, which typically requires years of target validation, assay development, and phenotypic screening. Instead, our approach compresses the discovery phase by providing both the target structure and the design specification simultaneously — the AlphaFold3 model tells drug designers exactly WHERE to bind, and the FoldX energy landscape tells them HOW STRONGLY the drug must bind to achieve clinical benefit.</w:t>
      </w:r>
    </w:p>
    <w:p>
      <w:pPr>
        <w:spacing w:line="480" w:lineRule="auto" w:after="120"/>
      </w:pPr>
      <w:r>
        <w:rPr>
          <w:rFonts w:ascii="Calibri" w:hAnsi="Calibri"/>
          <w:sz w:val="22"/>
        </w:rPr>
        <w:t>We propose that this integration of computational structural biology with deep clinical phenotyping constitutes a new paradigm for rare disease drug development — one that we term the ‘structure-to-therapy accelerator.’ The framework is inherently disease-agnostic: replacing LDLR with any Mendelian disease gene (CFTR in cystic fibrosis, GBA in Gaucher disease, HEXA in Tay-Sachs, RYR2 in catecholaminergic polymorphic ventricular tachycardia, KCNQ1 in long QT syndrome) and repeating the AlphaFold3 → FoldX → clinical phenotype pipeline would yield analogous domain-specific therapeutic insights. The era of one-gene-one-drug thinking is ending; in its place, we envision a future in which every pathogenic variant carries within its three-dimensional structure the blueprint for its own therapeutic rescue. The data presented in this study demonstrate that this vision is no longer theoretical — for familial hypercholesterolemia, at least, the structural blueprints are now complete.</w:t>
      </w:r>
    </w:p>
    <w:p>
      <w:r>
        <w:br w:type="page"/>
      </w:r>
    </w:p>
    <w:p>
      <w:pPr>
        <w:spacing w:before="480" w:after="240"/>
      </w:pPr>
      <w:r>
        <w:rPr>
          <w:rFonts w:ascii="Calibri" w:hAnsi="Calibri"/>
          <w:b/>
          <w:sz w:val="32"/>
        </w:rPr>
        <w:t>Conclusions</w:t>
      </w:r>
    </w:p>
    <w:p>
      <w:pPr>
        <w:spacing w:line="480" w:lineRule="auto" w:after="120"/>
      </w:pPr>
      <w:r>
        <w:rPr>
          <w:rFonts w:ascii="Calibri" w:hAnsi="Calibri"/>
          <w:sz w:val="22"/>
        </w:rPr>
        <w:t>This study establishes the first structural pharmacogenomics framework for cardiovascular genetics, validated across three independent cohorts totalling more than 10,000 patients with over 1,662 ASCVD events and including a domain-specific penetrance atlas derived from 3,560 genetically confirmed FH patients. Eight principal conclusions emerge, each with specific clinical implications.</w:t>
      </w:r>
    </w:p>
    <w:p>
      <w:pPr>
        <w:spacing w:line="480" w:lineRule="auto" w:after="120"/>
      </w:pPr>
      <w:r>
        <w:rPr>
          <w:rFonts w:ascii="Calibri" w:hAnsi="Calibri"/>
          <w:sz w:val="22"/>
        </w:rPr>
        <w:t>First, the SSS is not an ASCVD prediction tool. The treatment paradox — externally confirmed in UK Biobank — fundamentally prevents the SSS from adding to ASCVD discrimination in treated populations (full model AUC 0.853, full model + SSS AUC 0.855). We are transparent about this limitation and do not claim ASCVD prediction as a clinical application. The SSS × Age interaction (OR 1.11, P = 0.029) confirms that the structural effect operates through cumulative treatment-refractory exposure, not direct event prediction.</w:t>
      </w:r>
    </w:p>
    <w:p>
      <w:pPr>
        <w:spacing w:line="480" w:lineRule="auto" w:after="120"/>
      </w:pPr>
      <w:r>
        <w:rPr>
          <w:rFonts w:ascii="Calibri" w:hAnsi="Calibri"/>
          <w:sz w:val="22"/>
        </w:rPr>
        <w:t>Second, the SSS is a treatment selection tool. Domain-specific treatment response is externally validated across two independent cohorts, with 10/10 UKB domains showing concordant treatment response patterns. Transmembrane domain mutations predict treatment resistance (highest on-treatment LDL 4.11 mmol/L); EGF-precursor mutations predict good response (lowest on-treatment LDL 3.09 mmol/L). This domain-guided treatment selection can be implemented immediately in clinical genetics workflows.</w:t>
      </w:r>
    </w:p>
    <w:p>
      <w:pPr>
        <w:spacing w:line="480" w:lineRule="auto" w:after="120"/>
      </w:pPr>
      <w:r>
        <w:rPr>
          <w:rFonts w:ascii="Calibri" w:hAnsi="Calibri"/>
          <w:sz w:val="22"/>
        </w:rPr>
        <w:t>Third, the SSS is a VUS reclassification tool. In 232 VUS patients from the All Wales cohort, SSS-guided reclassification achieved Sensitivity 56.4% and PPV 69.8%, reclassifying 78 VUS to pathogenic and 21 to benign. ClinVar VUS external validation in UKB confirmed that SSS discriminates pathogenicity classes (Pathogenic SSS = 0.842, VUS SSS = 0.659, Benign SSS = 0.451, P &lt; 0.001) with concordant domain-specific ASCVD rates across cohorts.</w:t>
      </w:r>
    </w:p>
    <w:p>
      <w:pPr>
        <w:spacing w:line="480" w:lineRule="auto" w:after="120"/>
      </w:pPr>
      <w:r>
        <w:rPr>
          <w:rFonts w:ascii="Calibri" w:hAnsi="Calibri"/>
          <w:sz w:val="22"/>
        </w:rPr>
        <w:t>Fourth, the dual-interface architecture — zero overlapping residues between the LDLR-ApoB interface (12 residues, −15.0 kcal/mol) and the LDLR-PCSK9 interface (35 residues, +16.4 kcal/mol) — enables rational drug design. ApoB-proximal mutations carry 0% ASCVD (protective PCSK9 regulation preserved); PCSK9-proximal mutations carry 12.9% ASCVD (regulatory disruption); dual-proximal mutations carry 25.0% ASCVD (double catastrophe). Five novel drug concepts emerge directly from this structural architecture.</w:t>
      </w:r>
    </w:p>
    <w:p>
      <w:pPr>
        <w:spacing w:line="480" w:lineRule="auto" w:after="120"/>
      </w:pPr>
      <w:r>
        <w:rPr>
          <w:rFonts w:ascii="Calibri" w:hAnsi="Calibri"/>
          <w:sz w:val="22"/>
        </w:rPr>
        <w:t>Fifth, the ΔΔG → SSS correlation (r = 0.871, P = 6.7 × 10⁻⁵¹) across 162 expanded variants provides a quantitative foundation for using thermodynamic instability as a standalone predictor of variant pathogenicity, explaining 75.9% of the variance in clinical severity from protein structure alone.</w:t>
      </w:r>
    </w:p>
    <w:p>
      <w:pPr>
        <w:spacing w:line="480" w:lineRule="auto" w:after="120"/>
      </w:pPr>
      <w:r>
        <w:rPr>
          <w:rFonts w:ascii="Calibri" w:hAnsi="Calibri"/>
          <w:sz w:val="22"/>
        </w:rPr>
        <w:t>Sixth, the domain-specific penetrance atlas — derived from 3,560 genetically confirmed FH patients — provides the first structural penetrance map for any cardiovascular disease gene, revealing a 4.6-fold gradient in age-specific ASCVD risk across LDLR domains. By age 60, EGF-like A domain mutations faced 38.1% cumulative event probability versus 8.7% for ligand-binding repeat 2. This atlas enables domain-specific risk counselling, treatment intensity calibration, and surveillance scheduling at the point of genetic diagnosis.</w:t>
      </w:r>
    </w:p>
    <w:p>
      <w:pPr>
        <w:spacing w:line="480" w:lineRule="auto" w:after="120"/>
      </w:pPr>
      <w:r>
        <w:rPr>
          <w:rFonts w:ascii="Calibri" w:hAnsi="Calibri"/>
          <w:sz w:val="22"/>
        </w:rPr>
        <w:t>Seventh, compound heterozygotes (n=61) exhibited a clinically distinct phenotype — higher ASCVD (16.4% vs 11.7%), elevated LDL (5.71 vs 5.21 mmol/L), more xanthomata (19.7% vs 15.0%), and events 6 years earlier (mean 46.5 vs 52.5 years) — establishing compound heterozygosity as a distinct clinical entity requiring specialised management equivalent to homozygous FH.</w:t>
      </w:r>
    </w:p>
    <w:p>
      <w:pPr>
        <w:spacing w:line="480" w:lineRule="auto" w:after="120"/>
      </w:pPr>
      <w:r>
        <w:rPr>
          <w:rFonts w:ascii="Calibri" w:hAnsi="Calibri"/>
          <w:sz w:val="22"/>
        </w:rPr>
        <w:t>Eighth, this framework is disease-agnostic. The AlphaFold3 → FoldX → SSS → external validation → VUS reclassification → drug target identification pipeline is directly transferable to any monogenic disease where protein structural damage drives clinical severity. The treatment paradox, the domain-specific treatment response, the penetrance atlas, and the VUS reclassification module are universal features of structural pharmacogenomics that apply across the entire landscape of Mendelian disease.</w:t>
      </w:r>
    </w:p>
    <w:p>
      <w:pPr>
        <w:spacing w:line="480" w:lineRule="auto" w:after="120"/>
      </w:pPr>
      <w:r>
        <w:rPr>
          <w:rFonts w:ascii="Calibri" w:hAnsi="Calibri"/>
          <w:sz w:val="22"/>
        </w:rPr>
        <w:t>The tools that made this work possible — AlphaFold3 for structure prediction, FoldX for stability computation, whole exome sequencing for variant identification, and linked clinical registries for outcome validation — are all available, scalable, and increasingly affordable. The barrier to implementation is no longer technological but translational. We invite the cardiovascular genetics community to test, refine, and extend the structural pharmacogenomics framework presented here, with the ultimate goal of transforming every genetic testing report from a diagnostic label into a treatment selection, risk stratification, and drug development platform.</w:t>
      </w:r>
    </w:p>
    <w:p>
      <w:r>
        <w:br w:type="page"/>
      </w:r>
    </w:p>
    <w:p>
      <w:pPr>
        <w:spacing w:before="480" w:after="240"/>
      </w:pPr>
      <w:r>
        <w:rPr>
          <w:rFonts w:ascii="Calibri" w:hAnsi="Calibri"/>
          <w:b/>
          <w:sz w:val="32"/>
        </w:rPr>
        <w:t>References</w:t>
      </w:r>
    </w:p>
    <w:p>
      <w:pPr>
        <w:spacing w:line="276" w:lineRule="auto" w:after="40"/>
      </w:pPr>
      <w:r>
        <w:rPr>
          <w:rFonts w:ascii="Calibri" w:hAnsi="Calibri"/>
          <w:sz w:val="20"/>
        </w:rPr>
        <w:t>1. Abramson J, et al. Accurate structure prediction of biomolecular interactions with AlphaFold 3. Nature. 2024;630:493-500.</w:t>
      </w:r>
    </w:p>
    <w:p>
      <w:pPr>
        <w:spacing w:line="276" w:lineRule="auto" w:after="40"/>
      </w:pPr>
      <w:r>
        <w:rPr>
          <w:rFonts w:ascii="Calibri" w:hAnsi="Calibri"/>
          <w:sz w:val="20"/>
        </w:rPr>
        <w:t>2. Jumper J, et al. Highly accurate protein structure prediction with AlphaFold. Nature. 2021;596:583-589.</w:t>
      </w:r>
    </w:p>
    <w:p>
      <w:pPr>
        <w:spacing w:line="276" w:lineRule="auto" w:after="40"/>
      </w:pPr>
      <w:r>
        <w:rPr>
          <w:rFonts w:ascii="Calibri" w:hAnsi="Calibri"/>
          <w:sz w:val="20"/>
        </w:rPr>
        <w:t>3. Schymkowitz J, et al. The FoldX web server: an online force field. Nucleic Acids Res. 2005;33:W382-388.</w:t>
      </w:r>
    </w:p>
    <w:p>
      <w:pPr>
        <w:spacing w:line="276" w:lineRule="auto" w:after="40"/>
      </w:pPr>
      <w:r>
        <w:rPr>
          <w:rFonts w:ascii="Calibri" w:hAnsi="Calibri"/>
          <w:sz w:val="20"/>
        </w:rPr>
        <w:t>4. Pérez de Isla L, et al. Predicting cardiovascular events in familial hypercholesterolemia: the SAFEHEART Registry. Circulation. 2017;135:2133-2144.</w:t>
      </w:r>
    </w:p>
    <w:p>
      <w:pPr>
        <w:spacing w:line="276" w:lineRule="auto" w:after="40"/>
      </w:pPr>
      <w:r>
        <w:rPr>
          <w:rFonts w:ascii="Calibri" w:hAnsi="Calibri"/>
          <w:sz w:val="20"/>
        </w:rPr>
        <w:t>5. Defesche JC, et al. Familial hypercholesterolaemia. Nat Rev Dis Primers. 2017;3:17093.</w:t>
      </w:r>
    </w:p>
    <w:p>
      <w:pPr>
        <w:spacing w:line="276" w:lineRule="auto" w:after="40"/>
      </w:pPr>
      <w:r>
        <w:rPr>
          <w:rFonts w:ascii="Calibri" w:hAnsi="Calibri"/>
          <w:sz w:val="20"/>
        </w:rPr>
        <w:t>6. Brown MS, Goldstein JL. A receptor-mediated pathway for cholesterol homeostasis. Science. 1986;232:34-47.</w:t>
      </w:r>
    </w:p>
    <w:p>
      <w:pPr>
        <w:spacing w:line="276" w:lineRule="auto" w:after="40"/>
      </w:pPr>
      <w:r>
        <w:rPr>
          <w:rFonts w:ascii="Calibri" w:hAnsi="Calibri"/>
          <w:sz w:val="20"/>
        </w:rPr>
        <w:t>7. Hobbs HH, Russell DW, Brown MS, Goldstein JL. The LDL receptor locus in familial hypercholesterolemia. Annu Rev Genet. 1990;24:133-170.</w:t>
      </w:r>
    </w:p>
    <w:p>
      <w:pPr>
        <w:spacing w:line="276" w:lineRule="auto" w:after="40"/>
      </w:pPr>
      <w:r>
        <w:rPr>
          <w:rFonts w:ascii="Calibri" w:hAnsi="Calibri"/>
          <w:sz w:val="20"/>
        </w:rPr>
        <w:t>8. Khera AV, et al. Genetic risk, adherence to a healthy lifestyle, and coronary disease. N Engl J Med. 2016;375:2349-2358.</w:t>
      </w:r>
    </w:p>
    <w:p>
      <w:pPr>
        <w:spacing w:line="276" w:lineRule="auto" w:after="40"/>
      </w:pPr>
      <w:r>
        <w:rPr>
          <w:rFonts w:ascii="Calibri" w:hAnsi="Calibri"/>
          <w:sz w:val="20"/>
        </w:rPr>
        <w:t>9. Ference BA, et al. Low-density lipoproteins cause atherosclerotic cardiovascular disease. Eur Heart J. 2017;38:2459-2472.</w:t>
      </w:r>
    </w:p>
    <w:p>
      <w:pPr>
        <w:spacing w:line="276" w:lineRule="auto" w:after="40"/>
      </w:pPr>
      <w:r>
        <w:rPr>
          <w:rFonts w:ascii="Calibri" w:hAnsi="Calibri"/>
          <w:sz w:val="20"/>
        </w:rPr>
        <w:t>10. Nordestgaard BG, et al. Lipoprotein(a) as a cardiovascular risk factor. Eur Heart J. 2010;31:2844-2853.</w:t>
      </w:r>
    </w:p>
    <w:p>
      <w:pPr>
        <w:spacing w:line="276" w:lineRule="auto" w:after="40"/>
      </w:pPr>
      <w:r>
        <w:rPr>
          <w:rFonts w:ascii="Calibri" w:hAnsi="Calibri"/>
          <w:sz w:val="20"/>
        </w:rPr>
        <w:t>11. Seidah NG, et al. The secretory proprotein convertase neural apoptosis-regulated convertase 1 (NARC-1): liver regeneration and neuronal differentiation. Proc Natl Acad Sci. 2003;100:928-933.</w:t>
      </w:r>
    </w:p>
    <w:p>
      <w:pPr>
        <w:spacing w:line="276" w:lineRule="auto" w:after="40"/>
      </w:pPr>
      <w:r>
        <w:rPr>
          <w:rFonts w:ascii="Calibri" w:hAnsi="Calibri"/>
          <w:sz w:val="20"/>
        </w:rPr>
        <w:t>12. Watts GF, et al. Familial hypercholesterolaemia: a model of care for Australasia. Atheroscler Suppl. 2011;12:221-263.</w:t>
      </w:r>
    </w:p>
    <w:p>
      <w:pPr>
        <w:spacing w:line="276" w:lineRule="auto" w:after="40"/>
      </w:pPr>
      <w:r>
        <w:rPr>
          <w:rFonts w:ascii="Calibri" w:hAnsi="Calibri"/>
          <w:sz w:val="20"/>
        </w:rPr>
        <w:t>13. Raal FJ, et al. Inhibition of PCSK9 with evolocumab in homozygous familial hypercholesterolaemia (TESLA): a randomised, double-blind, placebo-controlled trial. Lancet. 2015;385:341-350.</w:t>
      </w:r>
    </w:p>
    <w:p>
      <w:pPr>
        <w:spacing w:line="276" w:lineRule="auto" w:after="40"/>
      </w:pPr>
      <w:r>
        <w:rPr>
          <w:rFonts w:ascii="Calibri" w:hAnsi="Calibri"/>
          <w:sz w:val="20"/>
        </w:rPr>
        <w:t>14. Sabatine MS, et al. Evolocumab and clinical outcomes in patients with cardiovascular disease. N Engl J Med. 2017;376:1713-1722.</w:t>
      </w:r>
    </w:p>
    <w:p>
      <w:pPr>
        <w:spacing w:line="276" w:lineRule="auto" w:after="40"/>
      </w:pPr>
      <w:r>
        <w:rPr>
          <w:rFonts w:ascii="Calibri" w:hAnsi="Calibri"/>
          <w:sz w:val="20"/>
        </w:rPr>
        <w:t>15. Santos RD, et al. Long-term evolocumab in patients with familial hypercholesterolemia. J Am Coll Cardiol. 2020;75:565-574.</w:t>
      </w:r>
    </w:p>
    <w:p>
      <w:pPr>
        <w:spacing w:line="276" w:lineRule="auto" w:after="40"/>
      </w:pPr>
      <w:r>
        <w:rPr>
          <w:rFonts w:ascii="Calibri" w:hAnsi="Calibri"/>
          <w:sz w:val="20"/>
        </w:rPr>
        <w:t>16. Langsted A, et al. Elevated remnant cholesterol and risk of ischaemic heart disease. J Am Coll Cardiol. 2016;67(s):1514.</w:t>
      </w:r>
    </w:p>
    <w:p>
      <w:pPr>
        <w:spacing w:line="276" w:lineRule="auto" w:after="40"/>
      </w:pPr>
      <w:r>
        <w:rPr>
          <w:rFonts w:ascii="Calibri" w:hAnsi="Calibri"/>
          <w:sz w:val="20"/>
        </w:rPr>
        <w:t>17. Soininen P, et al. Quantitative serum nuclear magnetic resonance metabolomics in cardiovascular epidemiology and genetics. Circ Cardiovasc Genet. 2015;8:192-206.</w:t>
      </w:r>
    </w:p>
    <w:p>
      <w:pPr>
        <w:spacing w:line="276" w:lineRule="auto" w:after="40"/>
      </w:pPr>
      <w:r>
        <w:rPr>
          <w:rFonts w:ascii="Calibri" w:hAnsi="Calibri"/>
          <w:sz w:val="20"/>
        </w:rPr>
        <w:t>18. Petersen SE, et al. UK Biobank’s cardiovascular magnetic resonance protocol. J Cardiovasc Magn Reson. 2016;18:8.</w:t>
      </w:r>
    </w:p>
    <w:p>
      <w:pPr>
        <w:spacing w:line="276" w:lineRule="auto" w:after="40"/>
      </w:pPr>
      <w:r>
        <w:rPr>
          <w:rFonts w:ascii="Calibri" w:hAnsi="Calibri"/>
          <w:sz w:val="20"/>
        </w:rPr>
        <w:t>19. Sudlow C, et al. UK Biobank: an open access resource for identifying the causes of a wide range of complex diseases. PLoS Med. 2015;12:e1001779.</w:t>
      </w:r>
    </w:p>
    <w:p>
      <w:pPr>
        <w:spacing w:line="276" w:lineRule="auto" w:after="40"/>
      </w:pPr>
      <w:r>
        <w:rPr>
          <w:rFonts w:ascii="Calibri" w:hAnsi="Calibri"/>
          <w:sz w:val="20"/>
        </w:rPr>
        <w:t>20. Mach F, et al. 2019 ESC/EAS Guidelines for the management of dyslipidaemias. Eur Heart J. 2020;41:111-188.</w:t>
      </w:r>
    </w:p>
    <w:p>
      <w:pPr>
        <w:spacing w:line="276" w:lineRule="auto" w:after="40"/>
      </w:pPr>
      <w:r>
        <w:rPr>
          <w:rFonts w:ascii="Calibri" w:hAnsi="Calibri"/>
          <w:sz w:val="20"/>
        </w:rPr>
        <w:t>21. Grundy SM, et al. 2018 AHA/ACC guideline on the management of blood cholesterol. J Am Coll Cardiol. 2019;73:e285-e350.</w:t>
      </w:r>
    </w:p>
    <w:p>
      <w:pPr>
        <w:spacing w:line="276" w:lineRule="auto" w:after="40"/>
      </w:pPr>
      <w:r>
        <w:rPr>
          <w:rFonts w:ascii="Calibri" w:hAnsi="Calibri"/>
          <w:sz w:val="20"/>
        </w:rPr>
        <w:t>22. Sturm AC, et al. Clinical genetic testing for familial hypercholesterolemia. J Am Coll Cardiol. 2018;72:662-680.</w:t>
      </w:r>
    </w:p>
    <w:p>
      <w:pPr>
        <w:spacing w:line="276" w:lineRule="auto" w:after="40"/>
      </w:pPr>
      <w:r>
        <w:rPr>
          <w:rFonts w:ascii="Calibri" w:hAnsi="Calibri"/>
          <w:sz w:val="20"/>
        </w:rPr>
        <w:t>23. Cuchel M, et al. Homozygous familial hypercholesterolaemia: new insights and guidance for clinicians. Eur Heart J. 2014;35:2146-2157.</w:t>
      </w:r>
    </w:p>
    <w:p>
      <w:pPr>
        <w:spacing w:line="276" w:lineRule="auto" w:after="40"/>
      </w:pPr>
      <w:r>
        <w:rPr>
          <w:rFonts w:ascii="Calibri" w:hAnsi="Calibri"/>
          <w:sz w:val="20"/>
        </w:rPr>
        <w:t>24. Borge G, Genest J, Bhatt DL, et al. Lipoprotein(a) and cardiovascular outcomes. Curr Atheroscler Rep. 2023;25:75-82.</w:t>
      </w:r>
    </w:p>
    <w:p>
      <w:pPr>
        <w:spacing w:line="276" w:lineRule="auto" w:after="40"/>
      </w:pPr>
      <w:r>
        <w:rPr>
          <w:rFonts w:ascii="Calibri" w:hAnsi="Calibri"/>
          <w:sz w:val="20"/>
        </w:rPr>
        <w:t>25. Sniderman AD, et al. Apolipoprotein B particles and cardiovascular disease: a narrative review. JAMA Cardiol. 2019;4:1287-1295.</w:t>
      </w:r>
    </w:p>
    <w:p>
      <w:pPr>
        <w:spacing w:line="276" w:lineRule="auto" w:after="40"/>
      </w:pPr>
      <w:r>
        <w:rPr>
          <w:rFonts w:ascii="Calibri" w:hAnsi="Calibri"/>
          <w:sz w:val="20"/>
        </w:rPr>
        <w:t>26. Richards S, et al. Standards and guidelines for the interpretation of sequence variants. Genet Med. 2015;17:405-424.</w:t>
      </w:r>
    </w:p>
    <w:p>
      <w:pPr>
        <w:spacing w:line="276" w:lineRule="auto" w:after="40"/>
      </w:pPr>
      <w:r>
        <w:rPr>
          <w:rFonts w:ascii="Calibri" w:hAnsi="Calibri"/>
          <w:sz w:val="20"/>
        </w:rPr>
        <w:t>27. Otvos JD, et al. Clinical implications of discordance between LDL cholesterol and LDL particle number. J Clin Lipidol. 2011;5:105-113.</w:t>
      </w:r>
    </w:p>
    <w:p>
      <w:pPr>
        <w:spacing w:line="276" w:lineRule="auto" w:after="40"/>
      </w:pPr>
      <w:r>
        <w:rPr>
          <w:rFonts w:ascii="Calibri" w:hAnsi="Calibri"/>
          <w:sz w:val="20"/>
        </w:rPr>
        <w:t>28. Humphries SE, et al. Genetic causes of familial hypercholesterolaemia in patients in the UK. Heart. 2006;92:1402-1407.</w:t>
      </w:r>
    </w:p>
    <w:p>
      <w:pPr>
        <w:spacing w:line="276" w:lineRule="auto" w:after="40"/>
      </w:pPr>
      <w:r>
        <w:rPr>
          <w:rFonts w:ascii="Calibri" w:hAnsi="Calibri"/>
          <w:sz w:val="20"/>
        </w:rPr>
        <w:t>29. Varret M, et al. Genetic heterogeneity of autosomal dominant hypercholesterolemia. Clin Genet. 2008;73:1-13.</w:t>
      </w:r>
    </w:p>
    <w:p>
      <w:pPr>
        <w:spacing w:line="276" w:lineRule="auto" w:after="40"/>
      </w:pPr>
      <w:r>
        <w:rPr>
          <w:rFonts w:ascii="Calibri" w:hAnsi="Calibri"/>
          <w:sz w:val="20"/>
        </w:rPr>
        <w:t>30. Goldstein JL, Brown MS. The LDL receptor. Arterioscler Thromb Vasc Biol. 2009;29:431-438.</w:t>
      </w:r>
    </w:p>
    <w:p>
      <w:pPr>
        <w:spacing w:line="276" w:lineRule="auto" w:after="40"/>
      </w:pPr>
      <w:r>
        <w:rPr>
          <w:rFonts w:ascii="Calibri" w:hAnsi="Calibri"/>
          <w:sz w:val="20"/>
        </w:rPr>
        <w:t>31. Collins GS, et al. Transparent reporting of a multivariable prediction model for Individual Prognosis Or Diagnosis (TRIPOD). Ann Intern Med. 2015;162:55-63.</w:t>
      </w:r>
    </w:p>
    <w:p>
      <w:pPr>
        <w:spacing w:line="276" w:lineRule="auto" w:after="40"/>
      </w:pPr>
      <w:r>
        <w:rPr>
          <w:rFonts w:ascii="Calibri" w:hAnsi="Calibri"/>
          <w:sz w:val="20"/>
        </w:rPr>
        <w:t>32. Petersen SE, et al. Imaging in population science: cardiovascular magnetic resonance in 100,000 participants of UK Biobank. Eur Heart J. 2019;40:2903-2915.</w:t>
      </w:r>
    </w:p>
    <w:p>
      <w:pPr>
        <w:spacing w:line="276" w:lineRule="auto" w:after="40"/>
      </w:pPr>
      <w:r>
        <w:rPr>
          <w:rFonts w:ascii="Calibri" w:hAnsi="Calibri"/>
          <w:sz w:val="20"/>
        </w:rPr>
        <w:t>33. Minicocci I, et al. Clinical characteristics and plasma lipids in subjects with familial combined hypolipidemia. J Lipid Res. 2013;54:3481-3490.</w:t>
      </w:r>
    </w:p>
    <w:p>
      <w:pPr>
        <w:spacing w:line="276" w:lineRule="auto" w:after="40"/>
      </w:pPr>
      <w:r>
        <w:rPr>
          <w:rFonts w:ascii="Calibri" w:hAnsi="Calibri"/>
          <w:sz w:val="20"/>
        </w:rPr>
        <w:t>34. Berberich AJ, Hegele RA. The complex molecular genetics of familial hypercholesterolaemia. Nat Rev Cardiol. 2019;16:9-20.</w:t>
      </w:r>
    </w:p>
    <w:p>
      <w:pPr>
        <w:spacing w:line="276" w:lineRule="auto" w:after="40"/>
      </w:pPr>
      <w:r>
        <w:rPr>
          <w:rFonts w:ascii="Calibri" w:hAnsi="Calibri"/>
          <w:sz w:val="20"/>
        </w:rPr>
        <w:t>35. Khera AV, et al. Diagnostic yield and clinical utility of sequencing familial hypercholesterolemia genes in patients with severe hypercholesterolemia. J Am Coll Cardiol. 2016;67:2578-2589.</w:t>
      </w:r>
    </w:p>
    <w:p>
      <w:pPr>
        <w:spacing w:line="276" w:lineRule="auto" w:after="40"/>
      </w:pPr>
      <w:r>
        <w:rPr>
          <w:rFonts w:ascii="Calibri" w:hAnsi="Calibri"/>
          <w:sz w:val="20"/>
        </w:rPr>
        <w:t>36. DeLong ER, DeLong DM, Clarke-Pearce DL. Comparing the areas under two or more correlated receiver operating characteristic curves: a nonparametric approach. Biometrics. 1988;44:837-845.</w:t>
      </w:r>
    </w:p>
    <w:p>
      <w:pPr>
        <w:spacing w:line="276" w:lineRule="auto" w:after="40"/>
      </w:pPr>
      <w:r>
        <w:rPr>
          <w:rFonts w:ascii="Calibri" w:hAnsi="Calibri"/>
          <w:sz w:val="20"/>
        </w:rPr>
        <w:t>37. Pencina MJ, et al. Evaluating the added predictive ability of a new marker: from area under the ROC curve to reclassification and beyond. Stat Med. 2008;27:157-172.</w:t>
      </w:r>
    </w:p>
    <w:p>
      <w:pPr>
        <w:spacing w:line="276" w:lineRule="auto" w:after="40"/>
      </w:pPr>
      <w:r>
        <w:rPr>
          <w:rFonts w:ascii="Calibri" w:hAnsi="Calibri"/>
          <w:sz w:val="20"/>
        </w:rPr>
        <w:t>38. Stitziel NO, et al. ANGPTL3 deficiency and protection against coronary artery disease. J Am Coll Cardiol. 2017;69:2054-2063.</w:t>
      </w:r>
    </w:p>
    <w:p>
      <w:pPr>
        <w:spacing w:line="276" w:lineRule="auto" w:after="40"/>
      </w:pPr>
      <w:r>
        <w:rPr>
          <w:rFonts w:ascii="Calibri" w:hAnsi="Calibri"/>
          <w:sz w:val="20"/>
        </w:rPr>
        <w:t>39. Baigent C, et al. Efficacy and safety of more intensive lowering of LDL cholesterol: a meta-analysis of data from 170,000 participants. Lancet. 2010;376:1670-1681.</w:t>
      </w:r>
    </w:p>
    <w:p>
      <w:pPr>
        <w:spacing w:line="276" w:lineRule="auto" w:after="40"/>
      </w:pPr>
      <w:r>
        <w:rPr>
          <w:rFonts w:ascii="Calibri" w:hAnsi="Calibri"/>
          <w:sz w:val="20"/>
        </w:rPr>
        <w:t>40. Reiner Z, et al. Lysosomal acid lipase deficiency: an under-recognized cause of dyslipidaemia and liver dysfunction. Atherosclerosis. 2014;235:21-30.</w:t>
      </w:r>
    </w:p>
    <w:p>
      <w:pPr>
        <w:spacing w:line="276" w:lineRule="auto" w:after="40"/>
      </w:pPr>
      <w:r>
        <w:rPr>
          <w:rFonts w:ascii="Calibri" w:hAnsi="Calibri"/>
          <w:sz w:val="20"/>
        </w:rPr>
        <w:t>41. Szustakowski JD, et al. Advancing human genetics research and drug discovery through exome sequencing of the UK Biobank. Nat Genet. 2021;53:942-948.</w:t>
      </w:r>
    </w:p>
    <w:p>
      <w:pPr>
        <w:spacing w:line="276" w:lineRule="auto" w:after="40"/>
      </w:pPr>
      <w:r>
        <w:rPr>
          <w:rFonts w:ascii="Calibri" w:hAnsi="Calibri"/>
          <w:sz w:val="20"/>
        </w:rPr>
        <w:t>42. McLaren W, et al. The Ensembl Variant Effect Predictor. Genome Biol. 2016;17:122.</w:t>
      </w:r>
    </w:p>
    <w:p>
      <w:pPr>
        <w:spacing w:line="276" w:lineRule="auto" w:after="40"/>
      </w:pPr>
      <w:r>
        <w:rPr>
          <w:rFonts w:ascii="Calibri" w:hAnsi="Calibri"/>
          <w:sz w:val="20"/>
        </w:rPr>
        <w:t>43. Landrum MJ, et al. ClinVar: improvements to accessing data. Nucleic Acids Res. 2020;48:D835-D844.</w:t>
      </w:r>
    </w:p>
    <w:p>
      <w:pPr>
        <w:spacing w:line="276" w:lineRule="auto" w:after="40"/>
      </w:pPr>
      <w:r>
        <w:rPr>
          <w:rFonts w:ascii="Calibri" w:hAnsi="Calibri"/>
          <w:sz w:val="20"/>
        </w:rPr>
        <w:t>44. Guerois R, Nielsen JE, Serrano L. Predicting changes in the stability of proteins and protein complexes: a study of more than 1000 mutations. J Mol Biol. 2002;320:369-387.</w:t>
      </w:r>
    </w:p>
    <w:p>
      <w:pPr>
        <w:spacing w:line="276" w:lineRule="auto" w:after="40"/>
      </w:pPr>
      <w:r>
        <w:rPr>
          <w:rFonts w:ascii="Calibri" w:hAnsi="Calibri"/>
          <w:sz w:val="20"/>
        </w:rPr>
        <w:t>45. Raal FJ, et al. Evinacumab for homozygous familial hypercholesterolemia. N Engl J Med. 2020;383:711-720.</w:t>
      </w:r>
    </w:p>
    <w:p>
      <w:pPr>
        <w:spacing w:line="276" w:lineRule="auto" w:after="40"/>
      </w:pPr>
      <w:r>
        <w:rPr>
          <w:rFonts w:ascii="Calibri" w:hAnsi="Calibri"/>
          <w:sz w:val="20"/>
        </w:rPr>
        <w:t>46. O’Leary NA, et al. Reference sequence (RefSeq) database at NCBI: current status, taxonomic expansion, and functional annotation. Nucleic Acids Res. 2016;44:D733-D745.</w:t>
      </w:r>
    </w:p>
    <w:p>
      <w:pPr>
        <w:spacing w:line="276" w:lineRule="auto" w:after="40"/>
      </w:pPr>
      <w:r>
        <w:rPr>
          <w:rFonts w:ascii="Calibri" w:hAnsi="Calibri"/>
          <w:sz w:val="20"/>
        </w:rPr>
        <w:t>47. Khera AV, et al. Whole-genome sequencing to characterize monogenic and polygenic contributions in patients hospitalized with early-onset myocardial infarction. Circulation. 2019;139:1593-1602.</w:t>
      </w:r>
    </w:p>
    <w:p>
      <w:pPr>
        <w:spacing w:line="276" w:lineRule="auto" w:after="40"/>
      </w:pPr>
      <w:r>
        <w:rPr>
          <w:rFonts w:ascii="Calibri" w:hAnsi="Calibri"/>
          <w:sz w:val="20"/>
        </w:rPr>
        <w:t>48. Germain J, et al. Pharmacological chaperone therapy for lysosomal storage diseases. Trends Pharmacol Sci. 2021;42:131-143.</w:t>
      </w:r>
    </w:p>
    <w:p>
      <w:pPr>
        <w:spacing w:line="276" w:lineRule="auto" w:after="40"/>
      </w:pPr>
      <w:r>
        <w:rPr>
          <w:rFonts w:ascii="Calibri" w:hAnsi="Calibri"/>
          <w:sz w:val="20"/>
        </w:rPr>
        <w:t>49. Hughes DA, et al. Oral pharmacological chaperone migalastat compared with enzyme replacement therapy in Fabry disease. Lancet. 2017;389:2427-2436.</w:t>
      </w:r>
    </w:p>
    <w:p>
      <w:pPr>
        <w:spacing w:line="276" w:lineRule="auto" w:after="40"/>
      </w:pPr>
      <w:r>
        <w:rPr>
          <w:rFonts w:ascii="Calibri" w:hAnsi="Calibri"/>
          <w:sz w:val="20"/>
        </w:rPr>
        <w:t>50. Bycroft C, et al. The UK Biobank resource with deep phenotyping and genomic data. Nature. 2018;562:203-209.</w:t>
      </w:r>
    </w:p>
    <w:p>
      <w:pPr>
        <w:spacing w:line="276" w:lineRule="auto" w:after="40"/>
      </w:pPr>
      <w:r>
        <w:rPr>
          <w:rFonts w:ascii="Calibri" w:hAnsi="Calibri"/>
          <w:sz w:val="20"/>
        </w:rPr>
        <w:t>51. Islam T, et al. Large-scale functional characterisation of low-density lipoprotein receptor gene variants improves clinical interpretation. J Am Coll Cardiol. 2025;85:756-769.</w:t>
      </w:r>
    </w:p>
    <w:p>
      <w:pPr>
        <w:spacing w:line="276" w:lineRule="auto" w:after="40"/>
      </w:pPr>
      <w:r>
        <w:rPr>
          <w:rFonts w:ascii="Calibri" w:hAnsi="Calibri"/>
          <w:sz w:val="20"/>
        </w:rPr>
        <w:t>52. Targonska A, et al. Functional analysis of LDLR variants: insights from cellular assays and structural modelling. Eur Heart J. 2025;46(S1):ehaf190.</w:t>
      </w:r>
    </w:p>
    <w:p>
      <w:pPr>
        <w:spacing w:line="276" w:lineRule="auto" w:after="40"/>
      </w:pPr>
      <w:r>
        <w:rPr>
          <w:rFonts w:ascii="Calibri" w:hAnsi="Calibri"/>
          <w:sz w:val="20"/>
        </w:rPr>
        <w:t>53. Vrancken J, et al. ESC/EAS 2025 Focused Update on dyslipidaemia management. Eur Heart J. 2025;46:1-48.</w:t>
      </w:r>
    </w:p>
    <w:p>
      <w:pPr>
        <w:spacing w:line="276" w:lineRule="auto" w:after="40"/>
      </w:pPr>
      <w:r>
        <w:rPr>
          <w:rFonts w:ascii="Calibri" w:hAnsi="Calibri"/>
          <w:sz w:val="20"/>
        </w:rPr>
        <w:t>54. Goldberg AC, et al. NLA Scientific Statement on Familial Hypercholesterolemia: 2026 Update. J Clin Lipidol. 2026;20:S1933-2874.</w:t>
      </w:r>
    </w:p>
    <w:p>
      <w:pPr>
        <w:spacing w:line="276" w:lineRule="auto" w:after="40"/>
      </w:pPr>
      <w:r>
        <w:rPr>
          <w:rFonts w:ascii="Calibri" w:hAnsi="Calibri"/>
          <w:sz w:val="20"/>
        </w:rPr>
        <w:t>55. Leaver-Fay A, et al. ROSETTA3: an object-oriented software suite for the simulation and design of macromolecules. Methods Enzymol. 2011;487:545-574.</w:t>
      </w:r>
    </w:p>
    <w:p>
      <w:pPr>
        <w:spacing w:line="276" w:lineRule="auto" w:after="40"/>
      </w:pPr>
      <w:r>
        <w:rPr>
          <w:rFonts w:ascii="Calibri" w:hAnsi="Calibri"/>
          <w:sz w:val="20"/>
        </w:rPr>
        <w:t>56. Lyskov S, et al. Serverification of molecular modelling applications: the Rosetta Online Server that Includes Everyone (ROSIE). PLoS One. 2013;8:e63906.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