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7D2E" w14:textId="77777777" w:rsidR="008678C5" w:rsidRDefault="00000000">
      <w:r>
        <w:rPr>
          <w:b/>
          <w:color w:val="003366"/>
          <w:sz w:val="28"/>
        </w:rPr>
        <w:t>CALON-FH: AlphaFold3-Derived Structural Severity Score Enables Domain-Specific ASCVD Penetrance Prediction and Mutation-Guided Treatment Selection in Familial Hypercholesterolaemia</w:t>
      </w:r>
    </w:p>
    <w:p w14:paraId="54B8345D" w14:textId="00FC8EEE" w:rsidR="008678C5" w:rsidRDefault="00000000" w:rsidP="00685BA4">
      <w:pPr>
        <w:jc w:val="both"/>
      </w:pPr>
      <w:r>
        <w:rPr>
          <w:i/>
          <w:sz w:val="20"/>
        </w:rPr>
        <w:t>Genedy N</w:t>
      </w:r>
      <w:r w:rsidR="00685BA4">
        <w:rPr>
          <w:i/>
          <w:sz w:val="20"/>
        </w:rPr>
        <w:t>; Metabolic medicine department, University hospital of Wales</w:t>
      </w:r>
    </w:p>
    <w:p w14:paraId="39BDA7C8" w14:textId="77777777" w:rsidR="008678C5" w:rsidRDefault="00000000">
      <w:pPr>
        <w:jc w:val="both"/>
      </w:pPr>
      <w:r>
        <w:rPr>
          <w:i/>
          <w:sz w:val="18"/>
        </w:rPr>
        <w:t>Cardiff University School of Medicine; Wales FH Registry (DRAGON3); UK Biobank Research Analysis Platform</w:t>
      </w:r>
    </w:p>
    <w:p w14:paraId="3BDA6EE3" w14:textId="77777777" w:rsidR="008678C5" w:rsidRDefault="00000000">
      <w:r>
        <w:rPr>
          <w:b/>
          <w:color w:val="003366"/>
          <w:sz w:val="26"/>
        </w:rPr>
        <w:t>Abstract</w:t>
      </w:r>
    </w:p>
    <w:p w14:paraId="45DCBC07" w14:textId="77777777" w:rsidR="008678C5" w:rsidRDefault="00000000">
      <w:pPr>
        <w:jc w:val="both"/>
      </w:pPr>
      <w:r>
        <w:rPr>
          <w:b/>
        </w:rPr>
        <w:t xml:space="preserve">Background: </w:t>
      </w:r>
      <w:r>
        <w:t>Current familial hypercholesterolaemia (FH) management applies uniform treatment algorithms regardless of mutation location, despite the LDL receptor (LDLR) comprising functionally distinct domains with different mechanisms of dysfunction. The ligand-binding repeats (LA1–LA7) capture LDL particles, the EGF-A domain mediates PCSK9 binding, the beta-propeller enables receptor recycling at endosomal pH, and the cytoplasmic NPXY motif signals clathrin-mediated endocytosis. Disruption of each mechanism has distinct therapeutic implications, yet no framework exists to translate mutation location into treatment selection. We developed the Structural Severity Score (SSS) to classify LDLR mutations by mechanism of receptor dysfunction and predict domain-specific ASCVD penetrance and treatment response.</w:t>
      </w:r>
    </w:p>
    <w:p w14:paraId="40262FE9" w14:textId="77777777" w:rsidR="008678C5" w:rsidRDefault="00000000">
      <w:pPr>
        <w:jc w:val="both"/>
      </w:pPr>
      <w:r>
        <w:rPr>
          <w:b/>
        </w:rPr>
        <w:t xml:space="preserve">Methods: </w:t>
      </w:r>
      <w:r>
        <w:t xml:space="preserve">We constructed the SSS by integrating 14 independent data sources across all 860 LDLR residue positions: AlphaFold3 structure prediction (pLDDT confidence), FoldX 5.0 thermodynamic stability (ΔΔG) for 359 clinical variants and saturation mutagenesis, Rosetta energy decomposition, AlphaFold3 mutant LDLR–PCSK9 complex modelling, interface distance to the LDL binding surface derived from the Reimund </w:t>
      </w:r>
      <w:r>
        <w:rPr>
          <w:i/>
        </w:rPr>
        <w:t>et al.</w:t>
      </w:r>
      <w:r>
        <w:t xml:space="preserve"> (</w:t>
      </w:r>
      <w:r>
        <w:rPr>
          <w:i/>
        </w:rPr>
        <w:t>Nature</w:t>
      </w:r>
      <w:r>
        <w:t xml:space="preserve"> 2025) cryo-EM structure, and Islam </w:t>
      </w:r>
      <w:r>
        <w:rPr>
          <w:i/>
        </w:rPr>
        <w:t>et al.</w:t>
      </w:r>
      <w:r>
        <w:t xml:space="preserve"> (2024) cell-surface LDLR functional assay (234 variants, 200 positions). ClinVar pathogenicity classifications were incorporated. Clinical validation used three independent cohorts: the Wales FH Registry (n=7,253; 2,405 genetically positive; 323 unique LDLR mutations; 1,515 ASCVD events), the DRAGON3 clinical cohort (n=1,362; 424 with identified mutations), and UK Biobank whole-exome sequencing (n=426,732; 1,623 FH carriers). Kaplan–Meier survival analysis with time-to-first-ASCVD methodology was used for domain-level penetrance estimation. ASCVD prediction used logistic regression adjusted for age, sex, LDL-C, statin use, diabetes, smoking, hypertension, and tendon xanthomata. An interactive clinical atlas with 3D AlphaFold structure visualisation was deployed at https://nadergenedy.github.io/calon-fh-atlas/.</w:t>
      </w:r>
    </w:p>
    <w:p w14:paraId="1408CF8B" w14:textId="77777777" w:rsidR="008678C5" w:rsidRDefault="00000000">
      <w:pPr>
        <w:jc w:val="both"/>
      </w:pPr>
      <w:r>
        <w:rPr>
          <w:b/>
        </w:rPr>
        <w:t xml:space="preserve">Results: </w:t>
      </w:r>
      <w:r>
        <w:t xml:space="preserve">Domain-level SSS correlated with ASCVD penetrance across 19 LDLR domains (Spearman ρ=0.644, P=0.003), with a 5.7-fold range: ligand-binding R4 (21.4%, n=42) versus ligand-binding R3 (3.8%, n=26). SSS was significantly higher in patients with tendon xanthomata (0.343 vs 0.297, P=2.7×10⁻⁴). In 1,095 patients with longitudinal LDL-C data, treatment response varied significantly by domain: ligand-binding R4 achieved 25.6% LDL-C reduction (n=21), EGF-A 21.9% (n=31), versus cytoplasmic domain 4.1% (n=19) — consistent with the mechanistic prediction that NPXY internalisation defects are refractory to conventional lipid-lowering therapy. Twenty-eight patients on PCSK9 inhibitors spanning 14 LDLR domains and 23 unique variants achieved 52% mean LDL-C reduction, demonstrating efficacy across all </w:t>
      </w:r>
      <w:r>
        <w:lastRenderedPageBreak/>
        <w:t xml:space="preserve">mutation types through wild-type allele rescue in heterozygous FH. VUS carriers (n=232) demonstrated ASCVD rates comparable to pathogenic carriers (18.1% vs 15.6% vs 3.5% in mutation-negative). FoldX thermodynamic predictions were independently validated against the Islam </w:t>
      </w:r>
      <w:r>
        <w:rPr>
          <w:i/>
        </w:rPr>
        <w:t>et al.</w:t>
      </w:r>
      <w:r>
        <w:t xml:space="preserve"> functional assay: variants classified as decreased binding/uptake had mean ΔΔG=3.37 kcal/mol versus 0.06 kcal/mol for undetermined variants (56-fold difference). A fully adjusted ASCVD prediction model incorporating SSS with conventional risk factors and xanthomata achieved AUC=0.85 (n=350, 39 events).</w:t>
      </w:r>
    </w:p>
    <w:p w14:paraId="310ECF6E" w14:textId="77777777" w:rsidR="008678C5" w:rsidRDefault="00000000">
      <w:pPr>
        <w:jc w:val="both"/>
      </w:pPr>
      <w:r>
        <w:rPr>
          <w:b/>
        </w:rPr>
        <w:t xml:space="preserve">Conclusions: </w:t>
      </w:r>
      <w:r>
        <w:t>CALON-FH demonstrates that LDLR domain architecture determines both ASCVD penetrance and treatment response in heterozygous FH. The 5.7-fold variation in domain-specific ASCVD risk and the 6.2-fold variation in treatment response (25.6% vs 4.1%) support a paradigm shift from uniform genotype-aware management to structure-informed, mutation-guided precision treatment. PCSK9 inhibitor efficacy across all 14 tested domains provides mechanistic reassurance for early use through wild-type allele protection, while the identification of cytoplasmic NPXY mutations as treatment-refractory supports early referral for LDLR-independent therapies including evinacumab.</w:t>
      </w:r>
    </w:p>
    <w:p w14:paraId="203870D3" w14:textId="77777777" w:rsidR="008678C5" w:rsidRDefault="00000000">
      <w:r>
        <w:br w:type="page"/>
      </w:r>
    </w:p>
    <w:p w14:paraId="304D1B88" w14:textId="77777777" w:rsidR="008678C5" w:rsidRDefault="00000000">
      <w:r>
        <w:rPr>
          <w:b/>
          <w:color w:val="003366"/>
        </w:rPr>
        <w:lastRenderedPageBreak/>
        <w:t>Table 1. Domain-Specific ASCVD Penetrance, Treatment Response, and Structural Classification Across 3,064 LDLR Mutation Carriers</w:t>
      </w:r>
    </w:p>
    <w:tbl>
      <w:tblPr>
        <w:tblStyle w:val="TableGrid"/>
        <w:tblW w:w="0" w:type="auto"/>
        <w:jc w:val="center"/>
        <w:tblLook w:val="04A0" w:firstRow="1" w:lastRow="0" w:firstColumn="1" w:lastColumn="0" w:noHBand="0" w:noVBand="1"/>
      </w:tblPr>
      <w:tblGrid>
        <w:gridCol w:w="1617"/>
        <w:gridCol w:w="567"/>
        <w:gridCol w:w="847"/>
        <w:gridCol w:w="1096"/>
        <w:gridCol w:w="677"/>
        <w:gridCol w:w="1337"/>
        <w:gridCol w:w="1507"/>
      </w:tblGrid>
      <w:tr w:rsidR="008678C5" w14:paraId="47C240A4" w14:textId="77777777">
        <w:trPr>
          <w:jc w:val="center"/>
        </w:trPr>
        <w:tc>
          <w:tcPr>
            <w:tcW w:w="1587" w:type="dxa"/>
            <w:tcBorders>
              <w:top w:val="single" w:sz="12" w:space="0" w:color="1F4E79"/>
              <w:left w:val="nil"/>
              <w:bottom w:val="single" w:sz="12" w:space="0" w:color="1F4E79"/>
              <w:right w:val="nil"/>
            </w:tcBorders>
            <w:shd w:val="clear" w:color="auto" w:fill="1F4E79"/>
          </w:tcPr>
          <w:p w14:paraId="1925F1D2" w14:textId="77777777" w:rsidR="008678C5" w:rsidRDefault="00000000">
            <w:pPr>
              <w:jc w:val="center"/>
            </w:pPr>
            <w:r>
              <w:rPr>
                <w:b/>
                <w:color w:val="FFFFFF"/>
                <w:sz w:val="18"/>
              </w:rPr>
              <w:t>LDLR Domain</w:t>
            </w:r>
          </w:p>
        </w:tc>
        <w:tc>
          <w:tcPr>
            <w:tcW w:w="567" w:type="dxa"/>
            <w:tcBorders>
              <w:top w:val="single" w:sz="12" w:space="0" w:color="1F4E79"/>
              <w:left w:val="nil"/>
              <w:bottom w:val="single" w:sz="12" w:space="0" w:color="1F4E79"/>
              <w:right w:val="nil"/>
            </w:tcBorders>
            <w:shd w:val="clear" w:color="auto" w:fill="1F4E79"/>
          </w:tcPr>
          <w:p w14:paraId="5FBACEB8" w14:textId="77777777" w:rsidR="008678C5" w:rsidRDefault="00000000">
            <w:pPr>
              <w:jc w:val="center"/>
            </w:pPr>
            <w:r>
              <w:rPr>
                <w:b/>
                <w:color w:val="FFFFFF"/>
                <w:sz w:val="18"/>
              </w:rPr>
              <w:t>n</w:t>
            </w:r>
          </w:p>
        </w:tc>
        <w:tc>
          <w:tcPr>
            <w:tcW w:w="737" w:type="dxa"/>
            <w:tcBorders>
              <w:top w:val="single" w:sz="12" w:space="0" w:color="1F4E79"/>
              <w:left w:val="nil"/>
              <w:bottom w:val="single" w:sz="12" w:space="0" w:color="1F4E79"/>
              <w:right w:val="nil"/>
            </w:tcBorders>
            <w:shd w:val="clear" w:color="auto" w:fill="1F4E79"/>
          </w:tcPr>
          <w:p w14:paraId="1C9942FC" w14:textId="77777777" w:rsidR="008678C5" w:rsidRDefault="00000000">
            <w:pPr>
              <w:jc w:val="center"/>
            </w:pPr>
            <w:r>
              <w:rPr>
                <w:b/>
                <w:color w:val="FFFFFF"/>
                <w:sz w:val="18"/>
              </w:rPr>
              <w:t>ASCVD</w:t>
            </w:r>
            <w:r>
              <w:rPr>
                <w:b/>
                <w:color w:val="FFFFFF"/>
                <w:sz w:val="18"/>
              </w:rPr>
              <w:br/>
              <w:t>Rate (%)</w:t>
            </w:r>
          </w:p>
        </w:tc>
        <w:tc>
          <w:tcPr>
            <w:tcW w:w="850" w:type="dxa"/>
            <w:tcBorders>
              <w:top w:val="single" w:sz="12" w:space="0" w:color="1F4E79"/>
              <w:left w:val="nil"/>
              <w:bottom w:val="single" w:sz="12" w:space="0" w:color="1F4E79"/>
              <w:right w:val="nil"/>
            </w:tcBorders>
            <w:shd w:val="clear" w:color="auto" w:fill="1F4E79"/>
          </w:tcPr>
          <w:p w14:paraId="3EAB84BB" w14:textId="77777777" w:rsidR="008678C5" w:rsidRDefault="00000000">
            <w:pPr>
              <w:jc w:val="center"/>
            </w:pPr>
            <w:r>
              <w:rPr>
                <w:b/>
                <w:color w:val="FFFFFF"/>
                <w:sz w:val="18"/>
              </w:rPr>
              <w:t>LDL-C</w:t>
            </w:r>
            <w:r>
              <w:rPr>
                <w:b/>
                <w:color w:val="FFFFFF"/>
                <w:sz w:val="18"/>
              </w:rPr>
              <w:br/>
              <w:t>Reduction</w:t>
            </w:r>
            <w:r>
              <w:rPr>
                <w:b/>
                <w:color w:val="FFFFFF"/>
                <w:sz w:val="18"/>
              </w:rPr>
              <w:br/>
              <w:t>on LLT (%)</w:t>
            </w:r>
          </w:p>
        </w:tc>
        <w:tc>
          <w:tcPr>
            <w:tcW w:w="567" w:type="dxa"/>
            <w:tcBorders>
              <w:top w:val="single" w:sz="12" w:space="0" w:color="1F4E79"/>
              <w:left w:val="nil"/>
              <w:bottom w:val="single" w:sz="12" w:space="0" w:color="1F4E79"/>
              <w:right w:val="nil"/>
            </w:tcBorders>
            <w:shd w:val="clear" w:color="auto" w:fill="1F4E79"/>
          </w:tcPr>
          <w:p w14:paraId="550FC2D6" w14:textId="77777777" w:rsidR="008678C5" w:rsidRDefault="00000000">
            <w:pPr>
              <w:jc w:val="center"/>
            </w:pPr>
            <w:r>
              <w:rPr>
                <w:b/>
                <w:color w:val="FFFFFF"/>
                <w:sz w:val="18"/>
              </w:rPr>
              <w:t>Mean</w:t>
            </w:r>
            <w:r>
              <w:rPr>
                <w:b/>
                <w:color w:val="FFFFFF"/>
                <w:sz w:val="18"/>
              </w:rPr>
              <w:br/>
              <w:t>SSS</w:t>
            </w:r>
          </w:p>
        </w:tc>
        <w:tc>
          <w:tcPr>
            <w:tcW w:w="1247" w:type="dxa"/>
            <w:tcBorders>
              <w:top w:val="single" w:sz="12" w:space="0" w:color="1F4E79"/>
              <w:left w:val="nil"/>
              <w:bottom w:val="single" w:sz="12" w:space="0" w:color="1F4E79"/>
              <w:right w:val="nil"/>
            </w:tcBorders>
            <w:shd w:val="clear" w:color="auto" w:fill="1F4E79"/>
          </w:tcPr>
          <w:p w14:paraId="58B281D4" w14:textId="77777777" w:rsidR="008678C5" w:rsidRDefault="00000000">
            <w:pPr>
              <w:jc w:val="center"/>
            </w:pPr>
            <w:r>
              <w:rPr>
                <w:b/>
                <w:color w:val="FFFFFF"/>
                <w:sz w:val="18"/>
              </w:rPr>
              <w:t>Mechanistic</w:t>
            </w:r>
            <w:r>
              <w:rPr>
                <w:b/>
                <w:color w:val="FFFFFF"/>
                <w:sz w:val="18"/>
              </w:rPr>
              <w:br/>
              <w:t>Class</w:t>
            </w:r>
          </w:p>
        </w:tc>
        <w:tc>
          <w:tcPr>
            <w:tcW w:w="1417" w:type="dxa"/>
            <w:tcBorders>
              <w:top w:val="single" w:sz="12" w:space="0" w:color="1F4E79"/>
              <w:left w:val="nil"/>
              <w:bottom w:val="single" w:sz="12" w:space="0" w:color="1F4E79"/>
              <w:right w:val="nil"/>
            </w:tcBorders>
            <w:shd w:val="clear" w:color="auto" w:fill="1F4E79"/>
          </w:tcPr>
          <w:p w14:paraId="532B860B" w14:textId="77777777" w:rsidR="008678C5" w:rsidRDefault="00000000">
            <w:pPr>
              <w:jc w:val="center"/>
            </w:pPr>
            <w:r>
              <w:rPr>
                <w:b/>
                <w:color w:val="FFFFFF"/>
                <w:sz w:val="18"/>
              </w:rPr>
              <w:t>Recommended</w:t>
            </w:r>
            <w:r>
              <w:rPr>
                <w:b/>
                <w:color w:val="FFFFFF"/>
                <w:sz w:val="18"/>
              </w:rPr>
              <w:br/>
              <w:t>Approach</w:t>
            </w:r>
          </w:p>
        </w:tc>
      </w:tr>
      <w:tr w:rsidR="008678C5" w14:paraId="466F54C1" w14:textId="77777777">
        <w:trPr>
          <w:jc w:val="center"/>
        </w:trPr>
        <w:tc>
          <w:tcPr>
            <w:tcW w:w="1587" w:type="dxa"/>
            <w:tcBorders>
              <w:top w:val="nil"/>
              <w:left w:val="nil"/>
              <w:bottom w:val="nil"/>
              <w:right w:val="nil"/>
            </w:tcBorders>
            <w:shd w:val="clear" w:color="auto" w:fill="E8F0FE"/>
          </w:tcPr>
          <w:p w14:paraId="0236BBF5" w14:textId="77777777" w:rsidR="008678C5" w:rsidRDefault="00000000">
            <w:r>
              <w:rPr>
                <w:b/>
                <w:sz w:val="18"/>
              </w:rPr>
              <w:t>Ligand-binding R4</w:t>
            </w:r>
          </w:p>
        </w:tc>
        <w:tc>
          <w:tcPr>
            <w:tcW w:w="567" w:type="dxa"/>
            <w:tcBorders>
              <w:top w:val="nil"/>
              <w:left w:val="nil"/>
              <w:bottom w:val="nil"/>
              <w:right w:val="nil"/>
            </w:tcBorders>
            <w:shd w:val="clear" w:color="auto" w:fill="E8F0FE"/>
          </w:tcPr>
          <w:p w14:paraId="08D55A75" w14:textId="77777777" w:rsidR="008678C5" w:rsidRDefault="00000000">
            <w:pPr>
              <w:jc w:val="center"/>
            </w:pPr>
            <w:r>
              <w:rPr>
                <w:sz w:val="18"/>
              </w:rPr>
              <w:t>42</w:t>
            </w:r>
          </w:p>
        </w:tc>
        <w:tc>
          <w:tcPr>
            <w:tcW w:w="737" w:type="dxa"/>
            <w:tcBorders>
              <w:top w:val="nil"/>
              <w:left w:val="nil"/>
              <w:bottom w:val="nil"/>
              <w:right w:val="nil"/>
            </w:tcBorders>
            <w:shd w:val="clear" w:color="auto" w:fill="FFCCCC"/>
          </w:tcPr>
          <w:p w14:paraId="7BFBF3AC" w14:textId="77777777" w:rsidR="008678C5" w:rsidRDefault="00000000">
            <w:pPr>
              <w:jc w:val="center"/>
            </w:pPr>
            <w:r>
              <w:rPr>
                <w:sz w:val="18"/>
              </w:rPr>
              <w:t>21.4</w:t>
            </w:r>
          </w:p>
        </w:tc>
        <w:tc>
          <w:tcPr>
            <w:tcW w:w="850" w:type="dxa"/>
            <w:tcBorders>
              <w:top w:val="nil"/>
              <w:left w:val="nil"/>
              <w:bottom w:val="nil"/>
              <w:right w:val="nil"/>
            </w:tcBorders>
            <w:shd w:val="clear" w:color="auto" w:fill="E8F0FE"/>
          </w:tcPr>
          <w:p w14:paraId="0BC01506" w14:textId="77777777" w:rsidR="008678C5" w:rsidRDefault="00000000">
            <w:pPr>
              <w:jc w:val="center"/>
            </w:pPr>
            <w:r>
              <w:rPr>
                <w:sz w:val="18"/>
              </w:rPr>
              <w:t>25.6</w:t>
            </w:r>
          </w:p>
        </w:tc>
        <w:tc>
          <w:tcPr>
            <w:tcW w:w="567" w:type="dxa"/>
            <w:tcBorders>
              <w:top w:val="nil"/>
              <w:left w:val="nil"/>
              <w:bottom w:val="nil"/>
              <w:right w:val="nil"/>
            </w:tcBorders>
            <w:shd w:val="clear" w:color="auto" w:fill="E8F0FE"/>
          </w:tcPr>
          <w:p w14:paraId="62F341FF" w14:textId="77777777" w:rsidR="008678C5" w:rsidRDefault="00000000">
            <w:pPr>
              <w:jc w:val="center"/>
            </w:pPr>
            <w:r>
              <w:rPr>
                <w:sz w:val="18"/>
              </w:rPr>
              <w:t>0.303</w:t>
            </w:r>
          </w:p>
        </w:tc>
        <w:tc>
          <w:tcPr>
            <w:tcW w:w="1247" w:type="dxa"/>
            <w:tcBorders>
              <w:top w:val="nil"/>
              <w:left w:val="nil"/>
              <w:bottom w:val="nil"/>
              <w:right w:val="nil"/>
            </w:tcBorders>
            <w:shd w:val="clear" w:color="auto" w:fill="E8F0FE"/>
          </w:tcPr>
          <w:p w14:paraId="2937C408" w14:textId="77777777" w:rsidR="008678C5" w:rsidRDefault="00000000">
            <w:r>
              <w:rPr>
                <w:sz w:val="18"/>
              </w:rPr>
              <w:t>Binding failure</w:t>
            </w:r>
            <w:r>
              <w:rPr>
                <w:sz w:val="18"/>
              </w:rPr>
              <w:br/>
              <w:t>(BS1)</w:t>
            </w:r>
          </w:p>
        </w:tc>
        <w:tc>
          <w:tcPr>
            <w:tcW w:w="1417" w:type="dxa"/>
            <w:tcBorders>
              <w:top w:val="nil"/>
              <w:left w:val="nil"/>
              <w:bottom w:val="nil"/>
              <w:right w:val="nil"/>
            </w:tcBorders>
            <w:shd w:val="clear" w:color="auto" w:fill="E8F0FE"/>
          </w:tcPr>
          <w:p w14:paraId="5B682C10" w14:textId="77777777" w:rsidR="008678C5" w:rsidRDefault="00000000">
            <w:r>
              <w:rPr>
                <w:sz w:val="18"/>
              </w:rPr>
              <w:t>Early PCSK9i +</w:t>
            </w:r>
            <w:r>
              <w:rPr>
                <w:sz w:val="18"/>
              </w:rPr>
              <w:br/>
              <w:t>ezetimibe</w:t>
            </w:r>
          </w:p>
        </w:tc>
      </w:tr>
      <w:tr w:rsidR="008678C5" w14:paraId="60D5D0E4" w14:textId="77777777">
        <w:trPr>
          <w:jc w:val="center"/>
        </w:trPr>
        <w:tc>
          <w:tcPr>
            <w:tcW w:w="1587" w:type="dxa"/>
            <w:tcBorders>
              <w:top w:val="nil"/>
              <w:left w:val="nil"/>
              <w:bottom w:val="nil"/>
              <w:right w:val="nil"/>
            </w:tcBorders>
          </w:tcPr>
          <w:p w14:paraId="38133C04" w14:textId="77777777" w:rsidR="008678C5" w:rsidRDefault="00000000">
            <w:r>
              <w:rPr>
                <w:b/>
                <w:sz w:val="18"/>
              </w:rPr>
              <w:t>Transmembrane</w:t>
            </w:r>
          </w:p>
        </w:tc>
        <w:tc>
          <w:tcPr>
            <w:tcW w:w="567" w:type="dxa"/>
            <w:tcBorders>
              <w:top w:val="nil"/>
              <w:left w:val="nil"/>
              <w:bottom w:val="nil"/>
              <w:right w:val="nil"/>
            </w:tcBorders>
          </w:tcPr>
          <w:p w14:paraId="54F23F5E" w14:textId="77777777" w:rsidR="008678C5" w:rsidRDefault="00000000">
            <w:pPr>
              <w:jc w:val="center"/>
            </w:pPr>
            <w:r>
              <w:rPr>
                <w:sz w:val="18"/>
              </w:rPr>
              <w:t>37</w:t>
            </w:r>
          </w:p>
        </w:tc>
        <w:tc>
          <w:tcPr>
            <w:tcW w:w="737" w:type="dxa"/>
            <w:tcBorders>
              <w:top w:val="nil"/>
              <w:left w:val="nil"/>
              <w:bottom w:val="nil"/>
              <w:right w:val="nil"/>
            </w:tcBorders>
            <w:shd w:val="clear" w:color="auto" w:fill="FFCCCC"/>
          </w:tcPr>
          <w:p w14:paraId="6C75D1C9" w14:textId="77777777" w:rsidR="008678C5" w:rsidRDefault="00000000">
            <w:pPr>
              <w:jc w:val="center"/>
            </w:pPr>
            <w:r>
              <w:rPr>
                <w:sz w:val="18"/>
              </w:rPr>
              <w:t>21.6</w:t>
            </w:r>
          </w:p>
        </w:tc>
        <w:tc>
          <w:tcPr>
            <w:tcW w:w="850" w:type="dxa"/>
            <w:tcBorders>
              <w:top w:val="nil"/>
              <w:left w:val="nil"/>
              <w:bottom w:val="nil"/>
              <w:right w:val="nil"/>
            </w:tcBorders>
          </w:tcPr>
          <w:p w14:paraId="7EFE07A6" w14:textId="77777777" w:rsidR="008678C5" w:rsidRDefault="00000000">
            <w:pPr>
              <w:jc w:val="center"/>
            </w:pPr>
            <w:r>
              <w:rPr>
                <w:sz w:val="18"/>
              </w:rPr>
              <w:t>—</w:t>
            </w:r>
          </w:p>
        </w:tc>
        <w:tc>
          <w:tcPr>
            <w:tcW w:w="567" w:type="dxa"/>
            <w:tcBorders>
              <w:top w:val="nil"/>
              <w:left w:val="nil"/>
              <w:bottom w:val="nil"/>
              <w:right w:val="nil"/>
            </w:tcBorders>
          </w:tcPr>
          <w:p w14:paraId="7278606A" w14:textId="77777777" w:rsidR="008678C5" w:rsidRDefault="00000000">
            <w:pPr>
              <w:jc w:val="center"/>
            </w:pPr>
            <w:r>
              <w:rPr>
                <w:sz w:val="18"/>
              </w:rPr>
              <w:t>0.629</w:t>
            </w:r>
          </w:p>
        </w:tc>
        <w:tc>
          <w:tcPr>
            <w:tcW w:w="1247" w:type="dxa"/>
            <w:tcBorders>
              <w:top w:val="nil"/>
              <w:left w:val="nil"/>
              <w:bottom w:val="nil"/>
              <w:right w:val="nil"/>
            </w:tcBorders>
          </w:tcPr>
          <w:p w14:paraId="0F17BF1E" w14:textId="77777777" w:rsidR="008678C5" w:rsidRDefault="00000000">
            <w:r>
              <w:rPr>
                <w:sz w:val="18"/>
              </w:rPr>
              <w:t>Trafficking</w:t>
            </w:r>
            <w:r>
              <w:rPr>
                <w:sz w:val="18"/>
              </w:rPr>
              <w:br/>
              <w:t>defect</w:t>
            </w:r>
          </w:p>
        </w:tc>
        <w:tc>
          <w:tcPr>
            <w:tcW w:w="1417" w:type="dxa"/>
            <w:tcBorders>
              <w:top w:val="nil"/>
              <w:left w:val="nil"/>
              <w:bottom w:val="nil"/>
              <w:right w:val="nil"/>
            </w:tcBorders>
          </w:tcPr>
          <w:p w14:paraId="1D0B9813" w14:textId="77777777" w:rsidR="008678C5" w:rsidRDefault="00000000">
            <w:r>
              <w:rPr>
                <w:sz w:val="18"/>
              </w:rPr>
              <w:t>High-intensity</w:t>
            </w:r>
            <w:r>
              <w:rPr>
                <w:sz w:val="18"/>
              </w:rPr>
              <w:br/>
              <w:t>statin + ezetimibe</w:t>
            </w:r>
          </w:p>
        </w:tc>
      </w:tr>
      <w:tr w:rsidR="008678C5" w14:paraId="1B8005BE" w14:textId="77777777">
        <w:trPr>
          <w:jc w:val="center"/>
        </w:trPr>
        <w:tc>
          <w:tcPr>
            <w:tcW w:w="1587" w:type="dxa"/>
            <w:tcBorders>
              <w:top w:val="nil"/>
              <w:left w:val="nil"/>
              <w:bottom w:val="nil"/>
              <w:right w:val="nil"/>
            </w:tcBorders>
            <w:shd w:val="clear" w:color="auto" w:fill="E8F0FE"/>
          </w:tcPr>
          <w:p w14:paraId="05BB9951" w14:textId="77777777" w:rsidR="008678C5" w:rsidRDefault="00000000">
            <w:r>
              <w:rPr>
                <w:b/>
                <w:sz w:val="18"/>
              </w:rPr>
              <w:t>Cytoplasmic</w:t>
            </w:r>
            <w:r>
              <w:rPr>
                <w:b/>
                <w:sz w:val="18"/>
              </w:rPr>
              <w:br/>
              <w:t>(NPXY)</w:t>
            </w:r>
          </w:p>
        </w:tc>
        <w:tc>
          <w:tcPr>
            <w:tcW w:w="567" w:type="dxa"/>
            <w:tcBorders>
              <w:top w:val="nil"/>
              <w:left w:val="nil"/>
              <w:bottom w:val="nil"/>
              <w:right w:val="nil"/>
            </w:tcBorders>
            <w:shd w:val="clear" w:color="auto" w:fill="E8F0FE"/>
          </w:tcPr>
          <w:p w14:paraId="08F56DC7" w14:textId="77777777" w:rsidR="008678C5" w:rsidRDefault="00000000">
            <w:pPr>
              <w:jc w:val="center"/>
            </w:pPr>
            <w:r>
              <w:rPr>
                <w:sz w:val="18"/>
              </w:rPr>
              <w:t>48</w:t>
            </w:r>
          </w:p>
        </w:tc>
        <w:tc>
          <w:tcPr>
            <w:tcW w:w="737" w:type="dxa"/>
            <w:tcBorders>
              <w:top w:val="nil"/>
              <w:left w:val="nil"/>
              <w:bottom w:val="nil"/>
              <w:right w:val="nil"/>
            </w:tcBorders>
            <w:shd w:val="clear" w:color="auto" w:fill="FFCCCC"/>
          </w:tcPr>
          <w:p w14:paraId="4A812B5B" w14:textId="77777777" w:rsidR="008678C5" w:rsidRDefault="00000000">
            <w:pPr>
              <w:jc w:val="center"/>
            </w:pPr>
            <w:r>
              <w:rPr>
                <w:sz w:val="18"/>
              </w:rPr>
              <w:t>18.8</w:t>
            </w:r>
          </w:p>
        </w:tc>
        <w:tc>
          <w:tcPr>
            <w:tcW w:w="850" w:type="dxa"/>
            <w:tcBorders>
              <w:top w:val="nil"/>
              <w:left w:val="nil"/>
              <w:bottom w:val="nil"/>
              <w:right w:val="nil"/>
            </w:tcBorders>
            <w:shd w:val="clear" w:color="auto" w:fill="E8F0FE"/>
          </w:tcPr>
          <w:p w14:paraId="58692783" w14:textId="77777777" w:rsidR="008678C5" w:rsidRDefault="00000000">
            <w:pPr>
              <w:jc w:val="center"/>
            </w:pPr>
            <w:r>
              <w:rPr>
                <w:sz w:val="18"/>
              </w:rPr>
              <w:t>4.1</w:t>
            </w:r>
          </w:p>
        </w:tc>
        <w:tc>
          <w:tcPr>
            <w:tcW w:w="567" w:type="dxa"/>
            <w:tcBorders>
              <w:top w:val="nil"/>
              <w:left w:val="nil"/>
              <w:bottom w:val="nil"/>
              <w:right w:val="nil"/>
            </w:tcBorders>
            <w:shd w:val="clear" w:color="auto" w:fill="E8F0FE"/>
          </w:tcPr>
          <w:p w14:paraId="551DA42E" w14:textId="77777777" w:rsidR="008678C5" w:rsidRDefault="00000000">
            <w:pPr>
              <w:jc w:val="center"/>
            </w:pPr>
            <w:r>
              <w:rPr>
                <w:sz w:val="18"/>
              </w:rPr>
              <w:t>0.447</w:t>
            </w:r>
          </w:p>
        </w:tc>
        <w:tc>
          <w:tcPr>
            <w:tcW w:w="1247" w:type="dxa"/>
            <w:tcBorders>
              <w:top w:val="nil"/>
              <w:left w:val="nil"/>
              <w:bottom w:val="nil"/>
              <w:right w:val="nil"/>
            </w:tcBorders>
            <w:shd w:val="clear" w:color="auto" w:fill="E8F0FE"/>
          </w:tcPr>
          <w:p w14:paraId="6D305F83" w14:textId="77777777" w:rsidR="008678C5" w:rsidRDefault="00000000">
            <w:r>
              <w:rPr>
                <w:sz w:val="18"/>
              </w:rPr>
              <w:t>Internalisation</w:t>
            </w:r>
            <w:r>
              <w:rPr>
                <w:sz w:val="18"/>
              </w:rPr>
              <w:br/>
              <w:t>defect</w:t>
            </w:r>
          </w:p>
        </w:tc>
        <w:tc>
          <w:tcPr>
            <w:tcW w:w="1417" w:type="dxa"/>
            <w:tcBorders>
              <w:top w:val="nil"/>
              <w:left w:val="nil"/>
              <w:bottom w:val="nil"/>
              <w:right w:val="nil"/>
            </w:tcBorders>
            <w:shd w:val="clear" w:color="auto" w:fill="E8F0FE"/>
          </w:tcPr>
          <w:p w14:paraId="73CD0685" w14:textId="77777777" w:rsidR="008678C5" w:rsidRDefault="00000000">
            <w:r>
              <w:rPr>
                <w:sz w:val="18"/>
              </w:rPr>
              <w:t>Evinacumab /</w:t>
            </w:r>
            <w:r>
              <w:rPr>
                <w:sz w:val="18"/>
              </w:rPr>
              <w:br/>
              <w:t>apheresis</w:t>
            </w:r>
          </w:p>
        </w:tc>
      </w:tr>
      <w:tr w:rsidR="008678C5" w14:paraId="3A498DD2" w14:textId="77777777">
        <w:trPr>
          <w:jc w:val="center"/>
        </w:trPr>
        <w:tc>
          <w:tcPr>
            <w:tcW w:w="1587" w:type="dxa"/>
            <w:tcBorders>
              <w:top w:val="nil"/>
              <w:left w:val="nil"/>
              <w:bottom w:val="nil"/>
              <w:right w:val="nil"/>
            </w:tcBorders>
          </w:tcPr>
          <w:p w14:paraId="19691362" w14:textId="77777777" w:rsidR="008678C5" w:rsidRDefault="00000000">
            <w:r>
              <w:rPr>
                <w:b/>
                <w:sz w:val="18"/>
              </w:rPr>
              <w:t>EGF-A</w:t>
            </w:r>
          </w:p>
        </w:tc>
        <w:tc>
          <w:tcPr>
            <w:tcW w:w="567" w:type="dxa"/>
            <w:tcBorders>
              <w:top w:val="nil"/>
              <w:left w:val="nil"/>
              <w:bottom w:val="nil"/>
              <w:right w:val="nil"/>
            </w:tcBorders>
          </w:tcPr>
          <w:p w14:paraId="6F194368" w14:textId="77777777" w:rsidR="008678C5" w:rsidRDefault="00000000">
            <w:pPr>
              <w:jc w:val="center"/>
            </w:pPr>
            <w:r>
              <w:rPr>
                <w:sz w:val="18"/>
              </w:rPr>
              <w:t>102</w:t>
            </w:r>
          </w:p>
        </w:tc>
        <w:tc>
          <w:tcPr>
            <w:tcW w:w="737" w:type="dxa"/>
            <w:tcBorders>
              <w:top w:val="nil"/>
              <w:left w:val="nil"/>
              <w:bottom w:val="nil"/>
              <w:right w:val="nil"/>
            </w:tcBorders>
            <w:shd w:val="clear" w:color="auto" w:fill="FFE5CC"/>
          </w:tcPr>
          <w:p w14:paraId="373BDE73" w14:textId="77777777" w:rsidR="008678C5" w:rsidRDefault="00000000">
            <w:pPr>
              <w:jc w:val="center"/>
            </w:pPr>
            <w:r>
              <w:rPr>
                <w:sz w:val="18"/>
              </w:rPr>
              <w:t>15.7</w:t>
            </w:r>
          </w:p>
        </w:tc>
        <w:tc>
          <w:tcPr>
            <w:tcW w:w="850" w:type="dxa"/>
            <w:tcBorders>
              <w:top w:val="nil"/>
              <w:left w:val="nil"/>
              <w:bottom w:val="nil"/>
              <w:right w:val="nil"/>
            </w:tcBorders>
          </w:tcPr>
          <w:p w14:paraId="0ED1AA63" w14:textId="77777777" w:rsidR="008678C5" w:rsidRDefault="00000000">
            <w:pPr>
              <w:jc w:val="center"/>
            </w:pPr>
            <w:r>
              <w:rPr>
                <w:sz w:val="18"/>
              </w:rPr>
              <w:t>21.9</w:t>
            </w:r>
          </w:p>
        </w:tc>
        <w:tc>
          <w:tcPr>
            <w:tcW w:w="567" w:type="dxa"/>
            <w:tcBorders>
              <w:top w:val="nil"/>
              <w:left w:val="nil"/>
              <w:bottom w:val="nil"/>
              <w:right w:val="nil"/>
            </w:tcBorders>
          </w:tcPr>
          <w:p w14:paraId="1C824BD1" w14:textId="77777777" w:rsidR="008678C5" w:rsidRDefault="00000000">
            <w:pPr>
              <w:jc w:val="center"/>
            </w:pPr>
            <w:r>
              <w:rPr>
                <w:sz w:val="18"/>
              </w:rPr>
              <w:t>0.397</w:t>
            </w:r>
          </w:p>
        </w:tc>
        <w:tc>
          <w:tcPr>
            <w:tcW w:w="1247" w:type="dxa"/>
            <w:tcBorders>
              <w:top w:val="nil"/>
              <w:left w:val="nil"/>
              <w:bottom w:val="nil"/>
              <w:right w:val="nil"/>
            </w:tcBorders>
          </w:tcPr>
          <w:p w14:paraId="4DA35F13" w14:textId="77777777" w:rsidR="008678C5" w:rsidRDefault="00000000">
            <w:r>
              <w:rPr>
                <w:sz w:val="18"/>
              </w:rPr>
              <w:t>Dual: BS1 +</w:t>
            </w:r>
            <w:r>
              <w:rPr>
                <w:sz w:val="18"/>
              </w:rPr>
              <w:br/>
              <w:t>PCSK9 binding</w:t>
            </w:r>
          </w:p>
        </w:tc>
        <w:tc>
          <w:tcPr>
            <w:tcW w:w="1417" w:type="dxa"/>
            <w:tcBorders>
              <w:top w:val="nil"/>
              <w:left w:val="nil"/>
              <w:bottom w:val="nil"/>
              <w:right w:val="nil"/>
            </w:tcBorders>
          </w:tcPr>
          <w:p w14:paraId="0F83470E" w14:textId="77777777" w:rsidR="008678C5" w:rsidRDefault="00000000">
            <w:r>
              <w:rPr>
                <w:sz w:val="18"/>
              </w:rPr>
              <w:t>Statin + ezetimibe</w:t>
            </w:r>
            <w:r>
              <w:rPr>
                <w:sz w:val="18"/>
              </w:rPr>
              <w:br/>
              <w:t>→ monitor PCSK9i</w:t>
            </w:r>
          </w:p>
        </w:tc>
      </w:tr>
      <w:tr w:rsidR="008678C5" w14:paraId="73643478" w14:textId="77777777">
        <w:trPr>
          <w:jc w:val="center"/>
        </w:trPr>
        <w:tc>
          <w:tcPr>
            <w:tcW w:w="1587" w:type="dxa"/>
            <w:tcBorders>
              <w:top w:val="nil"/>
              <w:left w:val="nil"/>
              <w:bottom w:val="nil"/>
              <w:right w:val="nil"/>
            </w:tcBorders>
            <w:shd w:val="clear" w:color="auto" w:fill="E8F0FE"/>
          </w:tcPr>
          <w:p w14:paraId="32D291CC" w14:textId="77777777" w:rsidR="008678C5" w:rsidRDefault="00000000">
            <w:r>
              <w:rPr>
                <w:b/>
                <w:sz w:val="18"/>
              </w:rPr>
              <w:t>Ligand-binding</w:t>
            </w:r>
            <w:r>
              <w:rPr>
                <w:b/>
                <w:sz w:val="18"/>
              </w:rPr>
              <w:br/>
              <w:t>(null)†</w:t>
            </w:r>
          </w:p>
        </w:tc>
        <w:tc>
          <w:tcPr>
            <w:tcW w:w="567" w:type="dxa"/>
            <w:tcBorders>
              <w:top w:val="nil"/>
              <w:left w:val="nil"/>
              <w:bottom w:val="nil"/>
              <w:right w:val="nil"/>
            </w:tcBorders>
            <w:shd w:val="clear" w:color="auto" w:fill="E8F0FE"/>
          </w:tcPr>
          <w:p w14:paraId="53301726" w14:textId="77777777" w:rsidR="008678C5" w:rsidRDefault="00000000">
            <w:pPr>
              <w:jc w:val="center"/>
            </w:pPr>
            <w:r>
              <w:rPr>
                <w:sz w:val="18"/>
              </w:rPr>
              <w:t>328</w:t>
            </w:r>
          </w:p>
        </w:tc>
        <w:tc>
          <w:tcPr>
            <w:tcW w:w="737" w:type="dxa"/>
            <w:tcBorders>
              <w:top w:val="nil"/>
              <w:left w:val="nil"/>
              <w:bottom w:val="nil"/>
              <w:right w:val="nil"/>
            </w:tcBorders>
            <w:shd w:val="clear" w:color="auto" w:fill="FFE5CC"/>
          </w:tcPr>
          <w:p w14:paraId="76F4F70D" w14:textId="77777777" w:rsidR="008678C5" w:rsidRDefault="00000000">
            <w:pPr>
              <w:jc w:val="center"/>
            </w:pPr>
            <w:r>
              <w:rPr>
                <w:sz w:val="18"/>
              </w:rPr>
              <w:t>14.3</w:t>
            </w:r>
          </w:p>
        </w:tc>
        <w:tc>
          <w:tcPr>
            <w:tcW w:w="850" w:type="dxa"/>
            <w:tcBorders>
              <w:top w:val="nil"/>
              <w:left w:val="nil"/>
              <w:bottom w:val="nil"/>
              <w:right w:val="nil"/>
            </w:tcBorders>
            <w:shd w:val="clear" w:color="auto" w:fill="E8F0FE"/>
          </w:tcPr>
          <w:p w14:paraId="2EB69D4B" w14:textId="77777777" w:rsidR="008678C5" w:rsidRDefault="00000000">
            <w:pPr>
              <w:jc w:val="center"/>
            </w:pPr>
            <w:r>
              <w:rPr>
                <w:sz w:val="18"/>
              </w:rPr>
              <w:t>20.3</w:t>
            </w:r>
          </w:p>
        </w:tc>
        <w:tc>
          <w:tcPr>
            <w:tcW w:w="567" w:type="dxa"/>
            <w:tcBorders>
              <w:top w:val="nil"/>
              <w:left w:val="nil"/>
              <w:bottom w:val="nil"/>
              <w:right w:val="nil"/>
            </w:tcBorders>
            <w:shd w:val="clear" w:color="auto" w:fill="E8F0FE"/>
          </w:tcPr>
          <w:p w14:paraId="2EBD0B8E" w14:textId="77777777" w:rsidR="008678C5" w:rsidRDefault="00000000">
            <w:pPr>
              <w:jc w:val="center"/>
            </w:pPr>
            <w:r>
              <w:rPr>
                <w:sz w:val="18"/>
              </w:rPr>
              <w:t>0.539</w:t>
            </w:r>
          </w:p>
        </w:tc>
        <w:tc>
          <w:tcPr>
            <w:tcW w:w="1247" w:type="dxa"/>
            <w:tcBorders>
              <w:top w:val="nil"/>
              <w:left w:val="nil"/>
              <w:bottom w:val="nil"/>
              <w:right w:val="nil"/>
            </w:tcBorders>
            <w:shd w:val="clear" w:color="auto" w:fill="E8F0FE"/>
          </w:tcPr>
          <w:p w14:paraId="2571211A" w14:textId="77777777" w:rsidR="008678C5" w:rsidRDefault="00000000">
            <w:r>
              <w:rPr>
                <w:sz w:val="18"/>
              </w:rPr>
              <w:t>Loss-of-</w:t>
            </w:r>
            <w:r>
              <w:rPr>
                <w:sz w:val="18"/>
              </w:rPr>
              <w:br/>
              <w:t>function</w:t>
            </w:r>
          </w:p>
        </w:tc>
        <w:tc>
          <w:tcPr>
            <w:tcW w:w="1417" w:type="dxa"/>
            <w:tcBorders>
              <w:top w:val="nil"/>
              <w:left w:val="nil"/>
              <w:bottom w:val="nil"/>
              <w:right w:val="nil"/>
            </w:tcBorders>
            <w:shd w:val="clear" w:color="auto" w:fill="E8F0FE"/>
          </w:tcPr>
          <w:p w14:paraId="000FA61C" w14:textId="77777777" w:rsidR="008678C5" w:rsidRDefault="00000000">
            <w:r>
              <w:rPr>
                <w:sz w:val="18"/>
              </w:rPr>
              <w:t>PCSK9i</w:t>
            </w:r>
            <w:r>
              <w:rPr>
                <w:sz w:val="18"/>
              </w:rPr>
              <w:br/>
              <w:t>(WT rescue)</w:t>
            </w:r>
          </w:p>
        </w:tc>
      </w:tr>
      <w:tr w:rsidR="008678C5" w14:paraId="2F711A79" w14:textId="77777777">
        <w:trPr>
          <w:jc w:val="center"/>
        </w:trPr>
        <w:tc>
          <w:tcPr>
            <w:tcW w:w="1587" w:type="dxa"/>
            <w:tcBorders>
              <w:top w:val="nil"/>
              <w:left w:val="nil"/>
              <w:bottom w:val="nil"/>
              <w:right w:val="nil"/>
            </w:tcBorders>
          </w:tcPr>
          <w:p w14:paraId="663DD78E" w14:textId="77777777" w:rsidR="008678C5" w:rsidRDefault="00000000">
            <w:r>
              <w:rPr>
                <w:b/>
                <w:sz w:val="18"/>
              </w:rPr>
              <w:t>Linker</w:t>
            </w:r>
            <w:r>
              <w:rPr>
                <w:b/>
                <w:sz w:val="18"/>
              </w:rPr>
              <w:br/>
              <w:t>(EGF-C/O-linked)</w:t>
            </w:r>
          </w:p>
        </w:tc>
        <w:tc>
          <w:tcPr>
            <w:tcW w:w="567" w:type="dxa"/>
            <w:tcBorders>
              <w:top w:val="nil"/>
              <w:left w:val="nil"/>
              <w:bottom w:val="nil"/>
              <w:right w:val="nil"/>
            </w:tcBorders>
          </w:tcPr>
          <w:p w14:paraId="6D8342B7" w14:textId="77777777" w:rsidR="008678C5" w:rsidRDefault="00000000">
            <w:pPr>
              <w:jc w:val="center"/>
            </w:pPr>
            <w:r>
              <w:rPr>
                <w:sz w:val="18"/>
              </w:rPr>
              <w:t>161</w:t>
            </w:r>
          </w:p>
        </w:tc>
        <w:tc>
          <w:tcPr>
            <w:tcW w:w="737" w:type="dxa"/>
            <w:tcBorders>
              <w:top w:val="nil"/>
              <w:left w:val="nil"/>
              <w:bottom w:val="nil"/>
              <w:right w:val="nil"/>
            </w:tcBorders>
            <w:shd w:val="clear" w:color="auto" w:fill="FFE5CC"/>
          </w:tcPr>
          <w:p w14:paraId="5FA36868" w14:textId="77777777" w:rsidR="008678C5" w:rsidRDefault="00000000">
            <w:pPr>
              <w:jc w:val="center"/>
            </w:pPr>
            <w:r>
              <w:rPr>
                <w:sz w:val="18"/>
              </w:rPr>
              <w:t>13.0</w:t>
            </w:r>
          </w:p>
        </w:tc>
        <w:tc>
          <w:tcPr>
            <w:tcW w:w="850" w:type="dxa"/>
            <w:tcBorders>
              <w:top w:val="nil"/>
              <w:left w:val="nil"/>
              <w:bottom w:val="nil"/>
              <w:right w:val="nil"/>
            </w:tcBorders>
          </w:tcPr>
          <w:p w14:paraId="1AE9366D" w14:textId="77777777" w:rsidR="008678C5" w:rsidRDefault="00000000">
            <w:pPr>
              <w:jc w:val="center"/>
            </w:pPr>
            <w:r>
              <w:rPr>
                <w:sz w:val="18"/>
              </w:rPr>
              <w:t>12.2</w:t>
            </w:r>
          </w:p>
        </w:tc>
        <w:tc>
          <w:tcPr>
            <w:tcW w:w="567" w:type="dxa"/>
            <w:tcBorders>
              <w:top w:val="nil"/>
              <w:left w:val="nil"/>
              <w:bottom w:val="nil"/>
              <w:right w:val="nil"/>
            </w:tcBorders>
          </w:tcPr>
          <w:p w14:paraId="7FD9A280" w14:textId="77777777" w:rsidR="008678C5" w:rsidRDefault="00000000">
            <w:pPr>
              <w:jc w:val="center"/>
            </w:pPr>
            <w:r>
              <w:rPr>
                <w:sz w:val="18"/>
              </w:rPr>
              <w:t>0.330</w:t>
            </w:r>
          </w:p>
        </w:tc>
        <w:tc>
          <w:tcPr>
            <w:tcW w:w="1247" w:type="dxa"/>
            <w:tcBorders>
              <w:top w:val="nil"/>
              <w:left w:val="nil"/>
              <w:bottom w:val="nil"/>
              <w:right w:val="nil"/>
            </w:tcBorders>
          </w:tcPr>
          <w:p w14:paraId="5B3BFD76" w14:textId="77777777" w:rsidR="008678C5" w:rsidRDefault="00000000">
            <w:r>
              <w:rPr>
                <w:sz w:val="18"/>
              </w:rPr>
              <w:t>O-glycosylation</w:t>
            </w:r>
            <w:r>
              <w:rPr>
                <w:sz w:val="18"/>
              </w:rPr>
              <w:br/>
              <w:t>defect</w:t>
            </w:r>
          </w:p>
        </w:tc>
        <w:tc>
          <w:tcPr>
            <w:tcW w:w="1417" w:type="dxa"/>
            <w:tcBorders>
              <w:top w:val="nil"/>
              <w:left w:val="nil"/>
              <w:bottom w:val="nil"/>
              <w:right w:val="nil"/>
            </w:tcBorders>
          </w:tcPr>
          <w:p w14:paraId="2777868A" w14:textId="77777777" w:rsidR="008678C5" w:rsidRDefault="00000000">
            <w:r>
              <w:rPr>
                <w:sz w:val="18"/>
              </w:rPr>
              <w:t>High-intensity</w:t>
            </w:r>
            <w:r>
              <w:rPr>
                <w:sz w:val="18"/>
              </w:rPr>
              <w:br/>
              <w:t>statin</w:t>
            </w:r>
          </w:p>
        </w:tc>
      </w:tr>
      <w:tr w:rsidR="008678C5" w14:paraId="3571C81C" w14:textId="77777777">
        <w:trPr>
          <w:jc w:val="center"/>
        </w:trPr>
        <w:tc>
          <w:tcPr>
            <w:tcW w:w="1587" w:type="dxa"/>
            <w:tcBorders>
              <w:top w:val="nil"/>
              <w:left w:val="nil"/>
              <w:bottom w:val="nil"/>
              <w:right w:val="nil"/>
            </w:tcBorders>
            <w:shd w:val="clear" w:color="auto" w:fill="E8F0FE"/>
          </w:tcPr>
          <w:p w14:paraId="21117298" w14:textId="77777777" w:rsidR="008678C5" w:rsidRDefault="00000000">
            <w:r>
              <w:rPr>
                <w:b/>
                <w:sz w:val="18"/>
              </w:rPr>
              <w:t>EGF-B</w:t>
            </w:r>
          </w:p>
        </w:tc>
        <w:tc>
          <w:tcPr>
            <w:tcW w:w="567" w:type="dxa"/>
            <w:tcBorders>
              <w:top w:val="nil"/>
              <w:left w:val="nil"/>
              <w:bottom w:val="nil"/>
              <w:right w:val="nil"/>
            </w:tcBorders>
            <w:shd w:val="clear" w:color="auto" w:fill="E8F0FE"/>
          </w:tcPr>
          <w:p w14:paraId="3565F481" w14:textId="77777777" w:rsidR="008678C5" w:rsidRDefault="00000000">
            <w:pPr>
              <w:jc w:val="center"/>
            </w:pPr>
            <w:r>
              <w:rPr>
                <w:sz w:val="18"/>
              </w:rPr>
              <w:t>158</w:t>
            </w:r>
          </w:p>
        </w:tc>
        <w:tc>
          <w:tcPr>
            <w:tcW w:w="737" w:type="dxa"/>
            <w:tcBorders>
              <w:top w:val="nil"/>
              <w:left w:val="nil"/>
              <w:bottom w:val="nil"/>
              <w:right w:val="nil"/>
            </w:tcBorders>
            <w:shd w:val="clear" w:color="auto" w:fill="FFE5CC"/>
          </w:tcPr>
          <w:p w14:paraId="2361D70D" w14:textId="77777777" w:rsidR="008678C5" w:rsidRDefault="00000000">
            <w:pPr>
              <w:jc w:val="center"/>
            </w:pPr>
            <w:r>
              <w:rPr>
                <w:sz w:val="18"/>
              </w:rPr>
              <w:t>12.7</w:t>
            </w:r>
          </w:p>
        </w:tc>
        <w:tc>
          <w:tcPr>
            <w:tcW w:w="850" w:type="dxa"/>
            <w:tcBorders>
              <w:top w:val="nil"/>
              <w:left w:val="nil"/>
              <w:bottom w:val="nil"/>
              <w:right w:val="nil"/>
            </w:tcBorders>
            <w:shd w:val="clear" w:color="auto" w:fill="E8F0FE"/>
          </w:tcPr>
          <w:p w14:paraId="7B83CD8F" w14:textId="77777777" w:rsidR="008678C5" w:rsidRDefault="00000000">
            <w:pPr>
              <w:jc w:val="center"/>
            </w:pPr>
            <w:r>
              <w:rPr>
                <w:sz w:val="18"/>
              </w:rPr>
              <w:t>15.2</w:t>
            </w:r>
          </w:p>
        </w:tc>
        <w:tc>
          <w:tcPr>
            <w:tcW w:w="567" w:type="dxa"/>
            <w:tcBorders>
              <w:top w:val="nil"/>
              <w:left w:val="nil"/>
              <w:bottom w:val="nil"/>
              <w:right w:val="nil"/>
            </w:tcBorders>
            <w:shd w:val="clear" w:color="auto" w:fill="E8F0FE"/>
          </w:tcPr>
          <w:p w14:paraId="0A71DDDD" w14:textId="77777777" w:rsidR="008678C5" w:rsidRDefault="00000000">
            <w:pPr>
              <w:jc w:val="center"/>
            </w:pPr>
            <w:r>
              <w:rPr>
                <w:sz w:val="18"/>
              </w:rPr>
              <w:t>0.274</w:t>
            </w:r>
          </w:p>
        </w:tc>
        <w:tc>
          <w:tcPr>
            <w:tcW w:w="1247" w:type="dxa"/>
            <w:tcBorders>
              <w:top w:val="nil"/>
              <w:left w:val="nil"/>
              <w:bottom w:val="nil"/>
              <w:right w:val="nil"/>
            </w:tcBorders>
            <w:shd w:val="clear" w:color="auto" w:fill="E8F0FE"/>
          </w:tcPr>
          <w:p w14:paraId="4D5924F3" w14:textId="77777777" w:rsidR="008678C5" w:rsidRDefault="00000000">
            <w:r>
              <w:rPr>
                <w:sz w:val="18"/>
              </w:rPr>
              <w:t>Recycling</w:t>
            </w:r>
            <w:r>
              <w:rPr>
                <w:sz w:val="18"/>
              </w:rPr>
              <w:br/>
              <w:t>pivot</w:t>
            </w:r>
          </w:p>
        </w:tc>
        <w:tc>
          <w:tcPr>
            <w:tcW w:w="1417" w:type="dxa"/>
            <w:tcBorders>
              <w:top w:val="nil"/>
              <w:left w:val="nil"/>
              <w:bottom w:val="nil"/>
              <w:right w:val="nil"/>
            </w:tcBorders>
            <w:shd w:val="clear" w:color="auto" w:fill="E8F0FE"/>
          </w:tcPr>
          <w:p w14:paraId="6FEB6AEC" w14:textId="77777777" w:rsidR="008678C5" w:rsidRDefault="00000000">
            <w:r>
              <w:rPr>
                <w:sz w:val="18"/>
              </w:rPr>
              <w:t>Standard</w:t>
            </w:r>
            <w:r>
              <w:rPr>
                <w:sz w:val="18"/>
              </w:rPr>
              <w:br/>
              <w:t>escalation</w:t>
            </w:r>
          </w:p>
        </w:tc>
      </w:tr>
      <w:tr w:rsidR="008678C5" w14:paraId="79CA9CD8" w14:textId="77777777">
        <w:trPr>
          <w:jc w:val="center"/>
        </w:trPr>
        <w:tc>
          <w:tcPr>
            <w:tcW w:w="1587" w:type="dxa"/>
            <w:tcBorders>
              <w:top w:val="nil"/>
              <w:left w:val="nil"/>
              <w:bottom w:val="nil"/>
              <w:right w:val="nil"/>
            </w:tcBorders>
          </w:tcPr>
          <w:p w14:paraId="6916B50F" w14:textId="77777777" w:rsidR="008678C5" w:rsidRDefault="00000000">
            <w:r>
              <w:rPr>
                <w:b/>
                <w:sz w:val="18"/>
              </w:rPr>
              <w:t>EGF-precursor</w:t>
            </w:r>
            <w:r>
              <w:rPr>
                <w:b/>
                <w:sz w:val="18"/>
              </w:rPr>
              <w:br/>
              <w:t>homology</w:t>
            </w:r>
          </w:p>
        </w:tc>
        <w:tc>
          <w:tcPr>
            <w:tcW w:w="567" w:type="dxa"/>
            <w:tcBorders>
              <w:top w:val="nil"/>
              <w:left w:val="nil"/>
              <w:bottom w:val="nil"/>
              <w:right w:val="nil"/>
            </w:tcBorders>
          </w:tcPr>
          <w:p w14:paraId="272CE6F4" w14:textId="77777777" w:rsidR="008678C5" w:rsidRDefault="00000000">
            <w:pPr>
              <w:jc w:val="center"/>
            </w:pPr>
            <w:r>
              <w:rPr>
                <w:sz w:val="18"/>
              </w:rPr>
              <w:t>258</w:t>
            </w:r>
          </w:p>
        </w:tc>
        <w:tc>
          <w:tcPr>
            <w:tcW w:w="737" w:type="dxa"/>
            <w:tcBorders>
              <w:top w:val="nil"/>
              <w:left w:val="nil"/>
              <w:bottom w:val="nil"/>
              <w:right w:val="nil"/>
            </w:tcBorders>
            <w:shd w:val="clear" w:color="auto" w:fill="CCFFCC"/>
          </w:tcPr>
          <w:p w14:paraId="00A4E4B4" w14:textId="77777777" w:rsidR="008678C5" w:rsidRDefault="00000000">
            <w:pPr>
              <w:jc w:val="center"/>
            </w:pPr>
            <w:r>
              <w:rPr>
                <w:sz w:val="18"/>
              </w:rPr>
              <w:t>10.9</w:t>
            </w:r>
          </w:p>
        </w:tc>
        <w:tc>
          <w:tcPr>
            <w:tcW w:w="850" w:type="dxa"/>
            <w:tcBorders>
              <w:top w:val="nil"/>
              <w:left w:val="nil"/>
              <w:bottom w:val="nil"/>
              <w:right w:val="nil"/>
            </w:tcBorders>
          </w:tcPr>
          <w:p w14:paraId="50E67A7F" w14:textId="77777777" w:rsidR="008678C5" w:rsidRDefault="00000000">
            <w:pPr>
              <w:jc w:val="center"/>
            </w:pPr>
            <w:r>
              <w:rPr>
                <w:sz w:val="18"/>
              </w:rPr>
              <w:t>15.6</w:t>
            </w:r>
          </w:p>
        </w:tc>
        <w:tc>
          <w:tcPr>
            <w:tcW w:w="567" w:type="dxa"/>
            <w:tcBorders>
              <w:top w:val="nil"/>
              <w:left w:val="nil"/>
              <w:bottom w:val="nil"/>
              <w:right w:val="nil"/>
            </w:tcBorders>
          </w:tcPr>
          <w:p w14:paraId="34F64151" w14:textId="77777777" w:rsidR="008678C5" w:rsidRDefault="00000000">
            <w:pPr>
              <w:jc w:val="center"/>
            </w:pPr>
            <w:r>
              <w:rPr>
                <w:sz w:val="18"/>
              </w:rPr>
              <w:t>0.409</w:t>
            </w:r>
          </w:p>
        </w:tc>
        <w:tc>
          <w:tcPr>
            <w:tcW w:w="1247" w:type="dxa"/>
            <w:tcBorders>
              <w:top w:val="nil"/>
              <w:left w:val="nil"/>
              <w:bottom w:val="nil"/>
              <w:right w:val="nil"/>
            </w:tcBorders>
          </w:tcPr>
          <w:p w14:paraId="663483EF" w14:textId="77777777" w:rsidR="008678C5" w:rsidRDefault="00000000">
            <w:r>
              <w:rPr>
                <w:sz w:val="18"/>
              </w:rPr>
              <w:t>Recycling /</w:t>
            </w:r>
            <w:r>
              <w:rPr>
                <w:sz w:val="18"/>
              </w:rPr>
              <w:br/>
              <w:t>structural</w:t>
            </w:r>
          </w:p>
        </w:tc>
        <w:tc>
          <w:tcPr>
            <w:tcW w:w="1417" w:type="dxa"/>
            <w:tcBorders>
              <w:top w:val="nil"/>
              <w:left w:val="nil"/>
              <w:bottom w:val="nil"/>
              <w:right w:val="nil"/>
            </w:tcBorders>
          </w:tcPr>
          <w:p w14:paraId="07B65AEB" w14:textId="77777777" w:rsidR="008678C5" w:rsidRDefault="00000000">
            <w:r>
              <w:rPr>
                <w:sz w:val="18"/>
              </w:rPr>
              <w:t>Standard</w:t>
            </w:r>
            <w:r>
              <w:rPr>
                <w:sz w:val="18"/>
              </w:rPr>
              <w:br/>
              <w:t>escalation</w:t>
            </w:r>
          </w:p>
        </w:tc>
      </w:tr>
      <w:tr w:rsidR="008678C5" w14:paraId="0E67E485" w14:textId="77777777">
        <w:trPr>
          <w:jc w:val="center"/>
        </w:trPr>
        <w:tc>
          <w:tcPr>
            <w:tcW w:w="1587" w:type="dxa"/>
            <w:tcBorders>
              <w:top w:val="nil"/>
              <w:left w:val="nil"/>
              <w:bottom w:val="nil"/>
              <w:right w:val="nil"/>
            </w:tcBorders>
            <w:shd w:val="clear" w:color="auto" w:fill="E8F0FE"/>
          </w:tcPr>
          <w:p w14:paraId="6CF00280" w14:textId="77777777" w:rsidR="008678C5" w:rsidRDefault="00000000">
            <w:r>
              <w:rPr>
                <w:b/>
                <w:sz w:val="18"/>
              </w:rPr>
              <w:t>Beta-propeller</w:t>
            </w:r>
          </w:p>
        </w:tc>
        <w:tc>
          <w:tcPr>
            <w:tcW w:w="567" w:type="dxa"/>
            <w:tcBorders>
              <w:top w:val="nil"/>
              <w:left w:val="nil"/>
              <w:bottom w:val="nil"/>
              <w:right w:val="nil"/>
            </w:tcBorders>
            <w:shd w:val="clear" w:color="auto" w:fill="E8F0FE"/>
          </w:tcPr>
          <w:p w14:paraId="4E9CE867" w14:textId="77777777" w:rsidR="008678C5" w:rsidRDefault="00000000">
            <w:pPr>
              <w:jc w:val="center"/>
            </w:pPr>
            <w:r>
              <w:rPr>
                <w:sz w:val="18"/>
              </w:rPr>
              <w:t>894</w:t>
            </w:r>
          </w:p>
        </w:tc>
        <w:tc>
          <w:tcPr>
            <w:tcW w:w="737" w:type="dxa"/>
            <w:tcBorders>
              <w:top w:val="nil"/>
              <w:left w:val="nil"/>
              <w:bottom w:val="nil"/>
              <w:right w:val="nil"/>
            </w:tcBorders>
            <w:shd w:val="clear" w:color="auto" w:fill="CCFFCC"/>
          </w:tcPr>
          <w:p w14:paraId="748C93A7" w14:textId="77777777" w:rsidR="008678C5" w:rsidRDefault="00000000">
            <w:pPr>
              <w:jc w:val="center"/>
            </w:pPr>
            <w:r>
              <w:rPr>
                <w:sz w:val="18"/>
              </w:rPr>
              <w:t>10.7</w:t>
            </w:r>
          </w:p>
        </w:tc>
        <w:tc>
          <w:tcPr>
            <w:tcW w:w="850" w:type="dxa"/>
            <w:tcBorders>
              <w:top w:val="nil"/>
              <w:left w:val="nil"/>
              <w:bottom w:val="nil"/>
              <w:right w:val="nil"/>
            </w:tcBorders>
            <w:shd w:val="clear" w:color="auto" w:fill="E8F0FE"/>
          </w:tcPr>
          <w:p w14:paraId="50095E82" w14:textId="77777777" w:rsidR="008678C5" w:rsidRDefault="00000000">
            <w:pPr>
              <w:jc w:val="center"/>
            </w:pPr>
            <w:r>
              <w:rPr>
                <w:sz w:val="18"/>
              </w:rPr>
              <w:t>11.6</w:t>
            </w:r>
          </w:p>
        </w:tc>
        <w:tc>
          <w:tcPr>
            <w:tcW w:w="567" w:type="dxa"/>
            <w:tcBorders>
              <w:top w:val="nil"/>
              <w:left w:val="nil"/>
              <w:bottom w:val="nil"/>
              <w:right w:val="nil"/>
            </w:tcBorders>
            <w:shd w:val="clear" w:color="auto" w:fill="E8F0FE"/>
          </w:tcPr>
          <w:p w14:paraId="127B9059" w14:textId="77777777" w:rsidR="008678C5" w:rsidRDefault="00000000">
            <w:pPr>
              <w:jc w:val="center"/>
            </w:pPr>
            <w:r>
              <w:rPr>
                <w:sz w:val="18"/>
              </w:rPr>
              <w:t>0.132</w:t>
            </w:r>
          </w:p>
        </w:tc>
        <w:tc>
          <w:tcPr>
            <w:tcW w:w="1247" w:type="dxa"/>
            <w:tcBorders>
              <w:top w:val="nil"/>
              <w:left w:val="nil"/>
              <w:bottom w:val="nil"/>
              <w:right w:val="nil"/>
            </w:tcBorders>
            <w:shd w:val="clear" w:color="auto" w:fill="E8F0FE"/>
          </w:tcPr>
          <w:p w14:paraId="295D681F" w14:textId="77777777" w:rsidR="008678C5" w:rsidRDefault="00000000">
            <w:r>
              <w:rPr>
                <w:sz w:val="18"/>
              </w:rPr>
              <w:t>Recycling</w:t>
            </w:r>
            <w:r>
              <w:rPr>
                <w:sz w:val="18"/>
              </w:rPr>
              <w:br/>
              <w:t>(BS2)</w:t>
            </w:r>
          </w:p>
        </w:tc>
        <w:tc>
          <w:tcPr>
            <w:tcW w:w="1417" w:type="dxa"/>
            <w:tcBorders>
              <w:top w:val="nil"/>
              <w:left w:val="nil"/>
              <w:bottom w:val="nil"/>
              <w:right w:val="nil"/>
            </w:tcBorders>
            <w:shd w:val="clear" w:color="auto" w:fill="E8F0FE"/>
          </w:tcPr>
          <w:p w14:paraId="7F70332B" w14:textId="77777777" w:rsidR="008678C5" w:rsidRDefault="00000000">
            <w:r>
              <w:rPr>
                <w:sz w:val="18"/>
              </w:rPr>
              <w:t>Standard</w:t>
            </w:r>
            <w:r>
              <w:rPr>
                <w:sz w:val="18"/>
              </w:rPr>
              <w:br/>
              <w:t>escalation</w:t>
            </w:r>
          </w:p>
        </w:tc>
      </w:tr>
      <w:tr w:rsidR="008678C5" w14:paraId="0204DD49" w14:textId="77777777">
        <w:trPr>
          <w:jc w:val="center"/>
        </w:trPr>
        <w:tc>
          <w:tcPr>
            <w:tcW w:w="1587" w:type="dxa"/>
            <w:tcBorders>
              <w:top w:val="nil"/>
              <w:left w:val="nil"/>
              <w:bottom w:val="nil"/>
              <w:right w:val="nil"/>
            </w:tcBorders>
          </w:tcPr>
          <w:p w14:paraId="42B68B5F" w14:textId="77777777" w:rsidR="008678C5" w:rsidRDefault="00000000">
            <w:r>
              <w:rPr>
                <w:b/>
                <w:sz w:val="18"/>
              </w:rPr>
              <w:t>Ligand-binding R2</w:t>
            </w:r>
          </w:p>
        </w:tc>
        <w:tc>
          <w:tcPr>
            <w:tcW w:w="567" w:type="dxa"/>
            <w:tcBorders>
              <w:top w:val="nil"/>
              <w:left w:val="nil"/>
              <w:bottom w:val="nil"/>
              <w:right w:val="nil"/>
            </w:tcBorders>
          </w:tcPr>
          <w:p w14:paraId="700D992B" w14:textId="77777777" w:rsidR="008678C5" w:rsidRDefault="00000000">
            <w:pPr>
              <w:jc w:val="center"/>
            </w:pPr>
            <w:r>
              <w:rPr>
                <w:sz w:val="18"/>
              </w:rPr>
              <w:t>214</w:t>
            </w:r>
          </w:p>
        </w:tc>
        <w:tc>
          <w:tcPr>
            <w:tcW w:w="737" w:type="dxa"/>
            <w:tcBorders>
              <w:top w:val="nil"/>
              <w:left w:val="nil"/>
              <w:bottom w:val="nil"/>
              <w:right w:val="nil"/>
            </w:tcBorders>
            <w:shd w:val="clear" w:color="auto" w:fill="CCFFCC"/>
          </w:tcPr>
          <w:p w14:paraId="54BA08C5" w14:textId="77777777" w:rsidR="008678C5" w:rsidRDefault="00000000">
            <w:pPr>
              <w:jc w:val="center"/>
            </w:pPr>
            <w:r>
              <w:rPr>
                <w:sz w:val="18"/>
              </w:rPr>
              <w:t>8.4</w:t>
            </w:r>
          </w:p>
        </w:tc>
        <w:tc>
          <w:tcPr>
            <w:tcW w:w="850" w:type="dxa"/>
            <w:tcBorders>
              <w:top w:val="nil"/>
              <w:left w:val="nil"/>
              <w:bottom w:val="nil"/>
              <w:right w:val="nil"/>
            </w:tcBorders>
          </w:tcPr>
          <w:p w14:paraId="7FEF5B08" w14:textId="77777777" w:rsidR="008678C5" w:rsidRDefault="00000000">
            <w:pPr>
              <w:jc w:val="center"/>
            </w:pPr>
            <w:r>
              <w:rPr>
                <w:sz w:val="18"/>
              </w:rPr>
              <w:t>16.9</w:t>
            </w:r>
          </w:p>
        </w:tc>
        <w:tc>
          <w:tcPr>
            <w:tcW w:w="567" w:type="dxa"/>
            <w:tcBorders>
              <w:top w:val="nil"/>
              <w:left w:val="nil"/>
              <w:bottom w:val="nil"/>
              <w:right w:val="nil"/>
            </w:tcBorders>
          </w:tcPr>
          <w:p w14:paraId="1C845092" w14:textId="77777777" w:rsidR="008678C5" w:rsidRDefault="00000000">
            <w:pPr>
              <w:jc w:val="center"/>
            </w:pPr>
            <w:r>
              <w:rPr>
                <w:sz w:val="18"/>
              </w:rPr>
              <w:t>0.191</w:t>
            </w:r>
          </w:p>
        </w:tc>
        <w:tc>
          <w:tcPr>
            <w:tcW w:w="1247" w:type="dxa"/>
            <w:tcBorders>
              <w:top w:val="nil"/>
              <w:left w:val="nil"/>
              <w:bottom w:val="nil"/>
              <w:right w:val="nil"/>
            </w:tcBorders>
          </w:tcPr>
          <w:p w14:paraId="1B13C4E3" w14:textId="77777777" w:rsidR="008678C5" w:rsidRDefault="00000000">
            <w:r>
              <w:rPr>
                <w:sz w:val="18"/>
              </w:rPr>
              <w:t>Binding</w:t>
            </w:r>
            <w:r>
              <w:rPr>
                <w:sz w:val="18"/>
              </w:rPr>
              <w:br/>
              <w:t>(BS1)</w:t>
            </w:r>
          </w:p>
        </w:tc>
        <w:tc>
          <w:tcPr>
            <w:tcW w:w="1417" w:type="dxa"/>
            <w:tcBorders>
              <w:top w:val="nil"/>
              <w:left w:val="nil"/>
              <w:bottom w:val="nil"/>
              <w:right w:val="nil"/>
            </w:tcBorders>
          </w:tcPr>
          <w:p w14:paraId="6074F5C1" w14:textId="77777777" w:rsidR="008678C5" w:rsidRDefault="00000000">
            <w:r>
              <w:rPr>
                <w:sz w:val="18"/>
              </w:rPr>
              <w:t>Statin +</w:t>
            </w:r>
            <w:r>
              <w:rPr>
                <w:sz w:val="18"/>
              </w:rPr>
              <w:br/>
              <w:t>ezetimibe</w:t>
            </w:r>
          </w:p>
        </w:tc>
      </w:tr>
      <w:tr w:rsidR="008678C5" w14:paraId="20893FA7" w14:textId="77777777">
        <w:trPr>
          <w:jc w:val="center"/>
        </w:trPr>
        <w:tc>
          <w:tcPr>
            <w:tcW w:w="1587" w:type="dxa"/>
            <w:tcBorders>
              <w:top w:val="nil"/>
              <w:left w:val="nil"/>
              <w:bottom w:val="single" w:sz="12" w:space="0" w:color="1F4E79"/>
              <w:right w:val="nil"/>
            </w:tcBorders>
            <w:shd w:val="clear" w:color="auto" w:fill="E8F0FE"/>
          </w:tcPr>
          <w:p w14:paraId="0FA9E9C7" w14:textId="77777777" w:rsidR="008678C5" w:rsidRDefault="00000000">
            <w:r>
              <w:rPr>
                <w:b/>
                <w:sz w:val="18"/>
              </w:rPr>
              <w:t>Ligand-binding R3</w:t>
            </w:r>
          </w:p>
        </w:tc>
        <w:tc>
          <w:tcPr>
            <w:tcW w:w="567" w:type="dxa"/>
            <w:tcBorders>
              <w:top w:val="nil"/>
              <w:left w:val="nil"/>
              <w:bottom w:val="single" w:sz="12" w:space="0" w:color="1F4E79"/>
              <w:right w:val="nil"/>
            </w:tcBorders>
            <w:shd w:val="clear" w:color="auto" w:fill="E8F0FE"/>
          </w:tcPr>
          <w:p w14:paraId="047A29E0" w14:textId="77777777" w:rsidR="008678C5" w:rsidRDefault="00000000">
            <w:pPr>
              <w:jc w:val="center"/>
            </w:pPr>
            <w:r>
              <w:rPr>
                <w:sz w:val="18"/>
              </w:rPr>
              <w:t>26</w:t>
            </w:r>
          </w:p>
        </w:tc>
        <w:tc>
          <w:tcPr>
            <w:tcW w:w="737" w:type="dxa"/>
            <w:tcBorders>
              <w:top w:val="nil"/>
              <w:left w:val="nil"/>
              <w:bottom w:val="single" w:sz="12" w:space="0" w:color="1F4E79"/>
              <w:right w:val="nil"/>
            </w:tcBorders>
            <w:shd w:val="clear" w:color="auto" w:fill="CCFFCC"/>
          </w:tcPr>
          <w:p w14:paraId="5DA531CB" w14:textId="77777777" w:rsidR="008678C5" w:rsidRDefault="00000000">
            <w:pPr>
              <w:jc w:val="center"/>
            </w:pPr>
            <w:r>
              <w:rPr>
                <w:sz w:val="18"/>
              </w:rPr>
              <w:t>3.8</w:t>
            </w:r>
          </w:p>
        </w:tc>
        <w:tc>
          <w:tcPr>
            <w:tcW w:w="850" w:type="dxa"/>
            <w:tcBorders>
              <w:top w:val="nil"/>
              <w:left w:val="nil"/>
              <w:bottom w:val="single" w:sz="12" w:space="0" w:color="1F4E79"/>
              <w:right w:val="nil"/>
            </w:tcBorders>
            <w:shd w:val="clear" w:color="auto" w:fill="E8F0FE"/>
          </w:tcPr>
          <w:p w14:paraId="25741429" w14:textId="77777777" w:rsidR="008678C5" w:rsidRDefault="00000000">
            <w:pPr>
              <w:jc w:val="center"/>
            </w:pPr>
            <w:r>
              <w:rPr>
                <w:sz w:val="18"/>
              </w:rPr>
              <w:t>25.3</w:t>
            </w:r>
          </w:p>
        </w:tc>
        <w:tc>
          <w:tcPr>
            <w:tcW w:w="567" w:type="dxa"/>
            <w:tcBorders>
              <w:top w:val="nil"/>
              <w:left w:val="nil"/>
              <w:bottom w:val="single" w:sz="12" w:space="0" w:color="1F4E79"/>
              <w:right w:val="nil"/>
            </w:tcBorders>
            <w:shd w:val="clear" w:color="auto" w:fill="E8F0FE"/>
          </w:tcPr>
          <w:p w14:paraId="71363372" w14:textId="77777777" w:rsidR="008678C5" w:rsidRDefault="00000000">
            <w:pPr>
              <w:jc w:val="center"/>
            </w:pPr>
            <w:r>
              <w:rPr>
                <w:sz w:val="18"/>
              </w:rPr>
              <w:t>0.314</w:t>
            </w:r>
          </w:p>
        </w:tc>
        <w:tc>
          <w:tcPr>
            <w:tcW w:w="1247" w:type="dxa"/>
            <w:tcBorders>
              <w:top w:val="nil"/>
              <w:left w:val="nil"/>
              <w:bottom w:val="single" w:sz="12" w:space="0" w:color="1F4E79"/>
              <w:right w:val="nil"/>
            </w:tcBorders>
            <w:shd w:val="clear" w:color="auto" w:fill="E8F0FE"/>
          </w:tcPr>
          <w:p w14:paraId="4760925A" w14:textId="77777777" w:rsidR="008678C5" w:rsidRDefault="00000000">
            <w:r>
              <w:rPr>
                <w:sz w:val="18"/>
              </w:rPr>
              <w:t>Binding</w:t>
            </w:r>
            <w:r>
              <w:rPr>
                <w:sz w:val="18"/>
              </w:rPr>
              <w:br/>
              <w:t>(BS1)</w:t>
            </w:r>
          </w:p>
        </w:tc>
        <w:tc>
          <w:tcPr>
            <w:tcW w:w="1417" w:type="dxa"/>
            <w:tcBorders>
              <w:top w:val="nil"/>
              <w:left w:val="nil"/>
              <w:bottom w:val="single" w:sz="12" w:space="0" w:color="1F4E79"/>
              <w:right w:val="nil"/>
            </w:tcBorders>
            <w:shd w:val="clear" w:color="auto" w:fill="E8F0FE"/>
          </w:tcPr>
          <w:p w14:paraId="5EDB5CF0" w14:textId="77777777" w:rsidR="008678C5" w:rsidRDefault="00000000">
            <w:r>
              <w:rPr>
                <w:sz w:val="18"/>
              </w:rPr>
              <w:t>Standard</w:t>
            </w:r>
            <w:r>
              <w:rPr>
                <w:sz w:val="18"/>
              </w:rPr>
              <w:br/>
              <w:t>care</w:t>
            </w:r>
          </w:p>
        </w:tc>
      </w:tr>
    </w:tbl>
    <w:p w14:paraId="4C5BA2B0" w14:textId="77777777" w:rsidR="008678C5" w:rsidRDefault="00000000">
      <w:pPr>
        <w:jc w:val="both"/>
        <w:rPr>
          <w:i/>
          <w:sz w:val="16"/>
        </w:rPr>
      </w:pPr>
      <w:r>
        <w:rPr>
          <w:i/>
          <w:sz w:val="16"/>
        </w:rPr>
        <w:t>Data from Wales FH Registry (n=3,064 LDLR carriers; 1,095 with longitudinal LDL-C). ASCVD = composite of MI, ACS, PCI, CABG, angina, TIA, PVD. LDL-C reduction = percentage change between first and second clinic visit on lipid-lowering therapy. SSS = Structural Severity Score integrating 14 data sources (AlphaFold3, FoldX 5.0, Rosetta, Islam et al. functional assay, UK Biobank WES outcomes, ClinVar). BS1 = primary LDL binding site (LA3–LA7 + EGF-A, Reimund et al. Nature 2025); BS2 = secondary binding site (beta-propeller). WT = wild-type. ASCVD column colour-coded: red ≥18%, amber 12–17.9%, green &lt;12%. †Splice-site and frameshift mutations assigned SSS based on predicted loss-of-function. — = insufficient longitudinal data.</w:t>
      </w:r>
    </w:p>
    <w:p w14:paraId="076C9011" w14:textId="77777777" w:rsidR="002F6C88" w:rsidRDefault="002F6C88">
      <w:pPr>
        <w:jc w:val="both"/>
        <w:rPr>
          <w:i/>
          <w:sz w:val="16"/>
        </w:rPr>
      </w:pPr>
    </w:p>
    <w:p w14:paraId="1F3D5855" w14:textId="77777777" w:rsidR="002F6C88" w:rsidRDefault="002F6C88">
      <w:pPr>
        <w:jc w:val="both"/>
        <w:rPr>
          <w:i/>
          <w:sz w:val="16"/>
        </w:rPr>
      </w:pPr>
    </w:p>
    <w:p w14:paraId="343F6F8A" w14:textId="1775E369" w:rsidR="002F6C88" w:rsidRDefault="00915AA6">
      <w:pPr>
        <w:jc w:val="both"/>
      </w:pPr>
      <w:r>
        <w:rPr>
          <w:noProof/>
        </w:rPr>
        <w:lastRenderedPageBreak/>
        <w:drawing>
          <wp:inline distT="0" distB="0" distL="0" distR="0" wp14:anchorId="20A1E07A" wp14:editId="5429731E">
            <wp:extent cx="2971800" cy="8229600"/>
            <wp:effectExtent l="0" t="0" r="0" b="0"/>
            <wp:docPr id="1296410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0689" name="Picture 1296410689"/>
                    <pic:cNvPicPr/>
                  </pic:nvPicPr>
                  <pic:blipFill>
                    <a:blip r:embed="rId6" cstate="print">
                      <a:extLst>
                        <a:ext uri="{28A0092B-C50C-407E-A947-70E740481C1C}">
                          <a14:useLocalDpi xmlns:a14="http://schemas.microsoft.com/office/drawing/2010/main"/>
                        </a:ext>
                      </a:extLst>
                    </a:blip>
                    <a:stretch>
                      <a:fillRect/>
                    </a:stretch>
                  </pic:blipFill>
                  <pic:spPr>
                    <a:xfrm>
                      <a:off x="0" y="0"/>
                      <a:ext cx="2971800" cy="8229600"/>
                    </a:xfrm>
                    <a:prstGeom prst="rect">
                      <a:avLst/>
                    </a:prstGeom>
                  </pic:spPr>
                </pic:pic>
              </a:graphicData>
            </a:graphic>
          </wp:inline>
        </w:drawing>
      </w:r>
    </w:p>
    <w:p w14:paraId="1F49D8FC" w14:textId="77777777" w:rsidR="002F6C88" w:rsidRDefault="002F6C88">
      <w:pPr>
        <w:jc w:val="both"/>
      </w:pPr>
    </w:p>
    <w:p w14:paraId="379689D1" w14:textId="77777777" w:rsidR="002F6C88" w:rsidRDefault="002F6C88">
      <w:pPr>
        <w:jc w:val="both"/>
      </w:pPr>
    </w:p>
    <w:p w14:paraId="08B1D816" w14:textId="111E5F3A" w:rsidR="002F6C88" w:rsidRDefault="002F6C88">
      <w:pPr>
        <w:jc w:val="both"/>
      </w:pPr>
    </w:p>
    <w:sectPr w:rsidR="002F6C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04122">
    <w:abstractNumId w:val="8"/>
  </w:num>
  <w:num w:numId="2" w16cid:durableId="2071267548">
    <w:abstractNumId w:val="6"/>
  </w:num>
  <w:num w:numId="3" w16cid:durableId="35276959">
    <w:abstractNumId w:val="5"/>
  </w:num>
  <w:num w:numId="4" w16cid:durableId="2018193304">
    <w:abstractNumId w:val="4"/>
  </w:num>
  <w:num w:numId="5" w16cid:durableId="847208107">
    <w:abstractNumId w:val="7"/>
  </w:num>
  <w:num w:numId="6" w16cid:durableId="694041921">
    <w:abstractNumId w:val="3"/>
  </w:num>
  <w:num w:numId="7" w16cid:durableId="1057506869">
    <w:abstractNumId w:val="2"/>
  </w:num>
  <w:num w:numId="8" w16cid:durableId="1812672859">
    <w:abstractNumId w:val="1"/>
  </w:num>
  <w:num w:numId="9" w16cid:durableId="58322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C88"/>
    <w:rsid w:val="00326F90"/>
    <w:rsid w:val="003F1332"/>
    <w:rsid w:val="00685BA4"/>
    <w:rsid w:val="007477B9"/>
    <w:rsid w:val="008407FB"/>
    <w:rsid w:val="008678C5"/>
    <w:rsid w:val="00915AA6"/>
    <w:rsid w:val="009E59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A9E14"/>
  <w14:defaultImageDpi w14:val="300"/>
  <w15:docId w15:val="{F20945FA-277D-4559-AAB7-143FEC11E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952</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nader genedy</cp:lastModifiedBy>
  <cp:revision>7</cp:revision>
  <dcterms:created xsi:type="dcterms:W3CDTF">2013-12-23T23:15:00Z</dcterms:created>
  <dcterms:modified xsi:type="dcterms:W3CDTF">2026-03-27T13:22:00Z</dcterms:modified>
  <cp:category/>
</cp:coreProperties>
</file>