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Dr Nader Genedy, MBBCh, MRCPUK, MRCPI, SCE(AIM), MRCGPUK, PgD</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Department of Metabolic Medicine</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Cardiff and Vale University Health Board</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Heath Park, Cardiff, CF14 4XW, Wales, United Kingdom</w:t>
      </w:r>
    </w:p>
    <w:p>
      <w:pPr>
        <w:pStyle w:val="Normal"/>
        <w:jc w:val="left"/>
        <w:pBdr>
          <w:bottom w:val="none" w:sz="0" w:space="0" w:color="000000"/>
          <w:top w:val="none" w:sz="0" w:space="0" w:color="000000"/>
          <w:left w:val="none" w:sz="0" w:space="0" w:color="000000"/>
          <w:right w:val="none" w:sz="0" w:space="0" w:color="000000"/>
        </w:pBdr>
        <w:spacing w:after="32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Email: genedyn1@cardiff.ac.uk</w:t>
      </w:r>
    </w:p>
    <w:p>
      <w:pPr>
        <w:pStyle w:val="Normal"/>
        <w:jc w:val="left"/>
        <w:pBdr>
          <w:bottom w:val="none" w:sz="0" w:space="0" w:color="000000"/>
          <w:top w:val="none" w:sz="0" w:space="0" w:color="000000"/>
          <w:left w:val="none" w:sz="0" w:space="0" w:color="000000"/>
          <w:right w:val="none" w:sz="0" w:space="0" w:color="000000"/>
        </w:pBdr>
        <w:spacing w:after="32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04 April 2026</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The Editor</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Journal of Clinical Lipidology</w:t>
      </w:r>
    </w:p>
    <w:p>
      <w:pPr>
        <w:pStyle w:val="Normal"/>
        <w:jc w:val="left"/>
        <w:pBdr>
          <w:bottom w:val="none" w:sz="0" w:space="0" w:color="000000"/>
          <w:top w:val="none" w:sz="0" w:space="0" w:color="000000"/>
          <w:left w:val="none" w:sz="0" w:space="0" w:color="000000"/>
          <w:right w:val="none" w:sz="0" w:space="0" w:color="000000"/>
        </w:pBdr>
        <w:spacing w:after="32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Elsevier / National Lipid Association</w:t>
      </w:r>
    </w:p>
    <w:p>
      <w:pPr>
        <w:pStyle w:val="Normal"/>
        <w:jc w:val="left"/>
        <w:pBdr>
          <w:bottom w:val="none" w:sz="0" w:space="0" w:color="000000"/>
          <w:top w:val="none" w:sz="0" w:space="0" w:color="000000"/>
          <w:left w:val="none" w:sz="0" w:space="0" w:color="000000"/>
          <w:right w:val="none" w:sz="0" w:space="0" w:color="000000"/>
        </w:pBdr>
        <w:spacing w:after="32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Re: Submission of Original Research Article — </w:t>
      </w:r>
      <w:r>
        <w:rPr>
          <w:rFonts w:ascii="Times New Roman" w:hAnsi="Times New Roman" w:eastAsia="Times New Roman" w:cs="Times New Roman"/>
          <w:i w:val="true"/>
          <w:b w:val="true"/>
          <w:u w:val="none"/>
          <w:strike w:val="false"/>
          <w:sz w:val="24"/>
          <w:szCs w:val="24"/>
          <w:color w:val="000000"/>
        </w:rPr>
        <w:t xml:space="preserve">TUDOR: Development and Dual External Validation of a Treatment-Adjusted Diagnostic Algorithm for Familial Hypercholesterolaemia in 4,028 Genetically Confirmed Cases</w:t>
      </w:r>
    </w:p>
    <w:p>
      <w:pPr>
        <w:pStyle w:val="Normal"/>
        <w:jc w:val="left"/>
        <w:pBdr>
          <w:bottom w:val="none" w:sz="0" w:space="0" w:color="000000"/>
          <w:top w:val="none" w:sz="0" w:space="0" w:color="000000"/>
          <w:left w:val="none" w:sz="0" w:space="0" w:color="000000"/>
          <w:right w:val="none" w:sz="0" w:space="0" w:color="000000"/>
        </w:pBdr>
        <w:spacing w:after="20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Dear Editor,</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submit the enclosed manuscript for consideration as an Original Research Article in Journal of Clinical Lipidology. This work presents TUDOR (Treatment-adjusted Universal Detection and Outcome Risk), a diagnostic algorithm for familial hypercholesterolaemia (FH) that has undergone dual external validation in, to our knowledge, the largest genetically confirmed FH cohort reported to date: 4,028 cases across six causative genes, encompassing the All Wales FH Registry (n = 7,253; AUC 0.842) and a lipid clinic-mimicking UK Biobank cohort (n = 58,021; AUC 0.750; TRIPOD Type 4).</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wish to bring to the Editor’s attention that the TUDOR abstract was selected as the third-place winner of the 2026 National Lipid Association (NLA) Young Investigator Awards (letter from NLA Abstract Review Committee Chair, Prof Carol F. Kirkpatrick, dated 31 March 2026, enclosed). The abstract will be presented on the main stage at the NLA 2026 Scientific Sessions (June 11–14, 2026) and recognised in a supplemental issue of the Journal of Clinical Lipidology. This independent peer recognition by the NLA’s own review committee underscores the clinical relevance and novelty of the TUDOR algorithm for the lipidology community.</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believe this manuscript addresses a critical gap in your readership’s clinical practice. Fewer than 10% of individuals with FH are diagnosed globally, and our data reveal that established Dutch Lipid Clinic Network criteria achieve only 1.5% sensitivity in cascade-screened relatives — the very population where diagnosis carries the greatest public health benefit. TUDOR’s 89.4% sensitivity in this population represents an 87-percentage-point improvement that could transform cascade screening yield in every lipid clinic.</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manuscript contributes four advances that we believe will be of particular interest to clinical lipidologists:</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(1) </w:t>
      </w:r>
      <w:r>
        <w:rPr>
          <w:rFonts w:ascii="Times New Roman" w:hAnsi="Times New Roman" w:eastAsia="Times New Roman" w:cs="Times New Roman"/>
          <w:i w:val="false"/>
          <w:b w:val="false"/>
          <w:u w:val="none"/>
          <w:strike w:val="false"/>
          <w:sz w:val="24"/>
          <w:szCs w:val="24"/>
          <w:color w:val="000000"/>
        </w:rPr>
        <w:t xml:space="preserve">Individualised treatment-adjusted LDL-C estimation replaces the standard uniform correction factor (1.43) with pharmacologically specific, dose-dependent adjustments validated in 1,254 new statin users from UK Biobank (observed vs expected: r = 0.89), directly addressing the diagnostic challenge of FH identification in statin-treated populations.</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(2) </w:t>
      </w:r>
      <w:r>
        <w:rPr>
          <w:rFonts w:ascii="Times New Roman" w:hAnsi="Times New Roman" w:eastAsia="Times New Roman" w:cs="Times New Roman"/>
          <w:i w:val="false"/>
          <w:b w:val="false"/>
          <w:u w:val="none"/>
          <w:strike w:val="false"/>
          <w:sz w:val="24"/>
          <w:szCs w:val="24"/>
          <w:color w:val="000000"/>
        </w:rPr>
        <w:t xml:space="preserve">The Triglyceride Metabolic Filter (Trig_Filter) exploits the biological selectivity of monogenic FH — preserved VLDL secretion producing isolated LDL-C elevation with normal triglycerides. Sequential multivariable adjustment confirms independence from BMI, diabetes, and ApoB (OR stable 1.87→1.94 across adjustment), and NMR metabolomics profiling in 421,122 participants demonstrates that 53 molecular measurements add nothing beyond what this single clinical ratio captures (combined AUC 0.752 vs TUDOR alone 0.749; DeLong p = 0.278).</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(3) </w:t>
      </w:r>
      <w:r>
        <w:rPr>
          <w:rFonts w:ascii="Times New Roman" w:hAnsi="Times New Roman" w:eastAsia="Times New Roman" w:cs="Times New Roman"/>
          <w:i w:val="false"/>
          <w:b w:val="false"/>
          <w:u w:val="none"/>
          <w:strike w:val="false"/>
          <w:sz w:val="24"/>
          <w:szCs w:val="24"/>
          <w:color w:val="000000"/>
        </w:rPr>
        <w:t xml:space="preserve">Gene-specific validation across LDLR, APOB, and PCSK9 variant carriers reveals that APOB carriers achieve significantly higher discrimination (AUC 0.830) than LDLR carriers (AUC 0.717; DeLong p = 1.88 × 10⁻⁴), explained by the molecular homogeneity of APOB gain-of-function mutations versus the profound heterogeneity of &gt;2,000 known LDLR variants. This finding has not been reported in any previous FH diagnostic study.</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(4) </w:t>
      </w:r>
      <w:r>
        <w:rPr>
          <w:rFonts w:ascii="Times New Roman" w:hAnsi="Times New Roman" w:eastAsia="Times New Roman" w:cs="Times New Roman"/>
          <w:i w:val="false"/>
          <w:b w:val="false"/>
          <w:u w:val="none"/>
          <w:strike w:val="false"/>
          <w:sz w:val="24"/>
          <w:szCs w:val="24"/>
          <w:color w:val="000000"/>
        </w:rPr>
        <w:t xml:space="preserve">Biological validation through cardiovascular mortality gradient (IHD deaths 0.65%→1.76% across LDL deciles; OR = 1.036 per decile, p = 0.011) and T2DM ascertainment sensitivity using three independent definitions with poor inter-definition concordance (κ = 0.28–0.36) that each independently confirm Trig_Filter attenuation (β = −0.48 to −0.66), with HbA1c dose-response (TRG 2.74→2.31→1.82 across glycaemic strata) confirming a mechanistic gradient rather than coding artefact.</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Critically, TUDOR achieves this discrimination through interpretable clinical feature engineering rather than algorithmic complexity: logistic regression with TUDOR-engineered features achieves equivalent performance to gradient-boosted decision trees (XGBoost AUC 0.778 vs ENET AUC 0.781; DeLong p = 0.72), meaning a fully transparent equation computable in standard spreadsheet software can be deployed in any electronic health record system without machine learning infrastructure. This aligns directly with your journal’s mission of translating lipid science into implementable clinical practice.</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Optional apolipoprotein B augmentation incorporating the ApoB/LDL-C ratio improves discrimination to AUC 0.771 (ΔAUC +0.019; DeLong p = 3.99 × 10⁻⁵) where serum ApoB is available, though grey zone analysis demonstrates that sequential ApoB measurement after intermediate TUDOR probability does not resolve diagnostic uncertainty (AUC 0.513 within grey zone), indicating that polygenic risk scores or functional assays may be more productive avenues for future investigation.</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The manuscript has not been published previously and is not under consideration elsewhere. Both authors have approved the submitted version. UK Biobank analyses were conducted under Application Number 1002450. We confirm that all data were fully anonymised and the study complies with the Declaration of Helsinki. We declare no competing interests. No specific funding was received for this research.</w:t>
      </w:r>
    </w:p>
    <w:p>
      <w:pPr>
        <w:pStyle w:val="Normal"/>
        <w:jc w:val="both"/>
        <w:pBdr>
          <w:bottom w:val="none" w:sz="0" w:space="0" w:color="000000"/>
          <w:top w:val="none" w:sz="0" w:space="0" w:color="000000"/>
          <w:left w:val="none" w:sz="0" w:space="0" w:color="000000"/>
          <w:right w:val="none" w:sz="0" w:space="0" w:color="000000"/>
        </w:pBdr>
        <w:spacing w:after="8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suggest the following reviewers with expertise in FH diagnostics and lipidology:</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1.  Prof Steve Humphries — University College London (FH genetics, FAMCAT developer)</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2.  Prof Gerald Watts — University of Western Australia (International FH Foundation)</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3.  Prof Alberico Catapano — University of Milan (EAS lipid guidelines)</w:t>
      </w:r>
    </w:p>
    <w:p>
      <w:pPr>
        <w:pStyle w:val="Normal"/>
        <w:jc w:val="left"/>
        <w:pBdr>
          <w:bottom w:val="none" w:sz="0" w:space="0" w:color="000000"/>
          <w:top w:val="none" w:sz="0" w:space="0" w:color="000000"/>
          <w:left w:val="none" w:sz="0" w:space="0" w:color="000000"/>
          <w:right w:val="none" w:sz="0" w:space="0" w:color="000000"/>
        </w:pBdr>
        <w:spacing w:after="2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4.  Prof Kausik Ray — Imperial College London (lipid-lowering trials)</w:t>
      </w:r>
    </w:p>
    <w:p>
      <w:pPr>
        <w:pStyle w:val="Normal"/>
        <w:jc w:val="both"/>
        <w:pBdr>
          <w:bottom w:val="none" w:sz="0" w:space="0" w:color="000000"/>
          <w:top w:val="none" w:sz="0" w:space="0" w:color="000000"/>
          <w:left w:val="none" w:sz="0" w:space="0" w:color="000000"/>
          <w:right w:val="none" w:sz="0" w:space="0" w:color="000000"/>
        </w:pBdr>
        <w:spacing w:after="16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We thank you for considering this manuscript and look forward to your decision.</w:t>
      </w:r>
    </w:p>
    <w:p>
      <w:pPr>
        <w:pStyle w:val="Normal"/>
        <w:jc w:val="both"/>
        <w:pBdr>
          <w:bottom w:val="none" w:sz="0" w:space="0" w:color="000000"/>
          <w:top w:val="none" w:sz="0" w:space="0" w:color="000000"/>
          <w:left w:val="none" w:sz="0" w:space="0" w:color="000000"/>
          <w:right w:val="none" w:sz="0" w:space="0" w:color="000000"/>
        </w:pBdr>
        <w:spacing w:after="480" w:before="32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Yours sincerely,</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true"/>
          <w:u w:val="none"/>
          <w:strike w:val="false"/>
          <w:sz w:val="24"/>
          <w:szCs w:val="24"/>
          <w:color w:val="000000"/>
        </w:rPr>
        <w:t xml:space="preserve">Dr Nader Genedy</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true"/>
          <w:b w:val="false"/>
          <w:u w:val="none"/>
          <w:strike w:val="false"/>
          <w:sz w:val="24"/>
          <w:szCs w:val="24"/>
          <w:color w:val="000000"/>
        </w:rPr>
        <w:t xml:space="preserve">Corresponding author</w:t>
      </w:r>
    </w:p>
    <w:p>
      <w:pPr>
        <w:pStyle w:val="Normal"/>
        <w:jc w:val="left"/>
        <w:pBdr>
          <w:bottom w:val="none" w:sz="0" w:space="0" w:color="000000"/>
          <w:top w:val="none" w:sz="0" w:space="0" w:color="000000"/>
          <w:left w:val="none" w:sz="0" w:space="0" w:color="000000"/>
          <w:right w:val="none" w:sz="0" w:space="0" w:color="000000"/>
        </w:pBdr>
        <w:spacing w:after="40" w:before="0" w:line="360"/>
        <w:ind w:left="0" w:right="0" w:firstLine="0" w:firstLineChars="0"/>
      </w:pPr>
      <w:r>
        <w:rPr>
          <w:rFonts w:ascii="Times New Roman" w:hAnsi="Times New Roman" w:eastAsia="Times New Roman" w:cs="Times New Roman"/>
          <w:i w:val="false"/>
          <w:b w:val="false"/>
          <w:u w:val="none"/>
          <w:strike w:val="false"/>
          <w:sz w:val="24"/>
          <w:szCs w:val="24"/>
          <w:color w:val="000000"/>
        </w:rPr>
        <w:t xml:space="preserve">Department of Metabolic Medicine, Cardiff and Vale University Health Board</w:t>
      </w:r>
    </w:p>
    <w:sectPr>
      <w:pgMar w:header="706" w:bottom="1411" w:top="1699" w:right="1411" w:left="1699" w:footer="706"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2026-04-04T23:42:51Z</dcterms:modified>
  <cp:category/>
</cp:coreProperties>
</file>