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Dr Nader Genedy, MBBCh, MRCPUK, MRCPI, SCE(AIM), MRCGPUK, PgD</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Metabolic Medicine</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Cardiff and Vale University Health Board</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Heath Park, Cardiff, CF14 4XW, Wales, United Kingdom</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Email: genedyn1@cardiff.ac.uk</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04 April 2026</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The Editor</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Journal of Clinical Lipidology</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Elsevier / National Lipid Association</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 Revised Manuscript Resubmission — </w:t>
      </w:r>
      <w:r>
        <w:rPr>
          <w:rFonts w:ascii="Times New Roman" w:hAnsi="Times New Roman" w:eastAsia="Times New Roman" w:cs="Times New Roman"/>
          <w:i w:val="true"/>
          <w:b w:val="true"/>
          <w:u w:val="none"/>
          <w:strike w:val="false"/>
          <w:sz w:val="24"/>
          <w:szCs w:val="24"/>
          <w:color w:val="000000"/>
        </w:rPr>
        <w:t xml:space="preserve">TUDOR: Development and Dual External Validation of a Treatment-Adjusted Diagnostic Algorithm for Familial Hypercholesterolaemia in 4,028 Genetically Confirmed Cases</w:t>
      </w:r>
    </w:p>
    <w:p>
      <w:pPr>
        <w:pStyle w:val="Normal"/>
        <w:jc w:val="left"/>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Dear Editor,</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are pleased to resubmit our revised manuscript for consideration as an Original Research Article in Journal of Clinical Lipidology. We are grateful to the reviewers for their constructive feedback, which has substantially strengthened the work. We have undertaken a comprehensive revision addressing every concern raised.</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wish to bring to the Editor’s attention that the TUDOR abstract was selected as the third-place winner of the 2026 National Lipid Association (NLA) Young Investigator Awards (letter from NLA Abstract Review Committee Chair, Prof Carol F. Kirkpatrick, dated 31 March 2026, enclosed). The abstract will be presented on the main stage at the NLA 2026 Scientific Sessions (June 11–14, 2026) and recognised in a supplemental issue of the Journal of Clinical Lipidology. This independent peer recognition by the NLA’s own review committee underscores the clinical relevance and novelty of the TUDOR algorithm for the lipidology community.</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principal changes in this revision are:</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 </w:t>
      </w:r>
      <w:r>
        <w:rPr>
          <w:rFonts w:ascii="Times New Roman" w:hAnsi="Times New Roman" w:eastAsia="Times New Roman" w:cs="Times New Roman"/>
          <w:i w:val="false"/>
          <w:b w:val="false"/>
          <w:u w:val="none"/>
          <w:strike w:val="false"/>
          <w:sz w:val="24"/>
          <w:szCs w:val="24"/>
          <w:color w:val="000000"/>
        </w:rPr>
        <w:t xml:space="preserve">Dual external validation replacing single-centre holdout testing. The study now encompasses 65,274 participants across two independent cohorts: the All Wales FH Registry (n = 7,253; AUC 0.842; TRIPOD Type 2b) and a UK Biobank lipid clinic-mimicking cohort (n = 58,021; AUC 0.750; TRIPOD Type 4). The total genetically confirmed FH cohort comprises 4,028 cases across six causative genes—to our knowledge, the largest dual-validated genetically confirmed FH diagnostic study reported to date.</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 </w:t>
      </w:r>
      <w:r>
        <w:rPr>
          <w:rFonts w:ascii="Times New Roman" w:hAnsi="Times New Roman" w:eastAsia="Times New Roman" w:cs="Times New Roman"/>
          <w:i w:val="false"/>
          <w:b w:val="false"/>
          <w:u w:val="none"/>
          <w:strike w:val="false"/>
          <w:sz w:val="24"/>
          <w:szCs w:val="24"/>
          <w:color w:val="000000"/>
        </w:rPr>
        <w:t xml:space="preserve">Transition from XGBoost to Elastic Net logistic regression, achieving equivalent discrimination (AUC 0.781 vs 0.778; DeLong p = 0.72) while providing a fully interpretable equation deployable in standard electronic health record systems without machine learning infrastructure.</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(3) </w:t>
      </w:r>
      <w:r>
        <w:rPr>
          <w:rFonts w:ascii="Times New Roman" w:hAnsi="Times New Roman" w:eastAsia="Times New Roman" w:cs="Times New Roman"/>
          <w:i w:val="false"/>
          <w:b w:val="false"/>
          <w:u w:val="none"/>
          <w:strike w:val="false"/>
          <w:sz w:val="24"/>
          <w:szCs w:val="24"/>
          <w:color w:val="000000"/>
        </w:rPr>
        <w:t xml:space="preserve">Gene-specific validation revealing that APOB carriers achieve significantly higher discrimination (AUC 0.830) than LDLR carriers (AUC 0.717; p = 1.88 × 10⁻⁴), a finding not previously reported in any FH diagnostic study.</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(4) </w:t>
      </w:r>
      <w:r>
        <w:rPr>
          <w:rFonts w:ascii="Times New Roman" w:hAnsi="Times New Roman" w:eastAsia="Times New Roman" w:cs="Times New Roman"/>
          <w:i w:val="false"/>
          <w:b w:val="false"/>
          <w:u w:val="none"/>
          <w:strike w:val="false"/>
          <w:sz w:val="24"/>
          <w:szCs w:val="24"/>
          <w:color w:val="000000"/>
        </w:rPr>
        <w:t xml:space="preserve">Comprehensive biological validation: NMR metabolomics in 421,122 participants confirming that 53 molecular measurements add nothing beyond the Trig_Filter; cardiovascular mortality gradient (IHD deaths 0.65%→1.76%, OR = 1.036, p = 0.011); and T2DM ascertainment sensitivity using three independent definitions with HbA1c dose-response confirming a biological gradient.</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(5) </w:t>
      </w:r>
      <w:r>
        <w:rPr>
          <w:rFonts w:ascii="Times New Roman" w:hAnsi="Times New Roman" w:eastAsia="Times New Roman" w:cs="Times New Roman"/>
          <w:i w:val="false"/>
          <w:b w:val="false"/>
          <w:u w:val="none"/>
          <w:strike w:val="false"/>
          <w:sz w:val="24"/>
          <w:szCs w:val="24"/>
          <w:color w:val="000000"/>
        </w:rPr>
        <w:t xml:space="preserve">Bayesian recalibration framework and three empirically derived clinical operating thresholds (population screening, lipid clinic triage, cascade confirmation) with explicit PPV/NPV at each threshold.</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(6) </w:t>
      </w:r>
      <w:r>
        <w:rPr>
          <w:rFonts w:ascii="Times New Roman" w:hAnsi="Times New Roman" w:eastAsia="Times New Roman" w:cs="Times New Roman"/>
          <w:i w:val="false"/>
          <w:b w:val="false"/>
          <w:u w:val="none"/>
          <w:strike w:val="false"/>
          <w:sz w:val="24"/>
          <w:szCs w:val="24"/>
          <w:color w:val="000000"/>
        </w:rPr>
        <w:t xml:space="preserve">Expanded reference list from 40 to 55 citations, incorporating TRIPOD 2024, recent UK Biobank genomics, and contemporary FH machine learning literature.</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detailed point-by-point Response to Reviewers is enclosed. The revised manuscript is provided in both clean (unmarked) and marked-up versions, with new or substantially revised content identified in red text. An updated Highlights document is also enclosed.</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manuscript has not been published previously and is not under consideration elsewhere. Both authors have approved the submitted version. UK Biobank analyses were conducted under Application Number 1002450. We confirm compliance with the Declaration of Helsinki and declare no competing interests.</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suggest the following reviewers with expertise in FH diagnostics and lipidology:</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Prof Steve Humphries — University College London (FH genetics, FAMCAT developer)</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Prof Gerald Watts — University of Western Australia (International FH Foundation)</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Prof Alberico Catapano — University of Milan (EAS lipid guidelines)</w:t>
      </w:r>
    </w:p>
    <w:p>
      <w:pPr>
        <w:pStyle w:val="Normal"/>
        <w:jc w:val="left"/>
        <w:pBdr>
          <w:bottom w:val="none" w:sz="0" w:space="0" w:color="000000"/>
          <w:top w:val="none" w:sz="0" w:space="0" w:color="000000"/>
          <w:left w:val="none" w:sz="0" w:space="0" w:color="000000"/>
          <w:right w:val="none" w:sz="0" w:space="0" w:color="000000"/>
        </w:pBdr>
        <w:spacing w:after="2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Prof Kausik Ray — Imperial College London (lipid-lowering trials)</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you for the opportunity to revise this manuscript and look forward to your decision.</w:t>
      </w:r>
    </w:p>
    <w:p>
      <w:pPr>
        <w:pStyle w:val="Normal"/>
        <w:jc w:val="both"/>
        <w:pBdr>
          <w:bottom w:val="none" w:sz="0" w:space="0" w:color="000000"/>
          <w:top w:val="none" w:sz="0" w:space="0" w:color="000000"/>
          <w:left w:val="none" w:sz="0" w:space="0" w:color="000000"/>
          <w:right w:val="none" w:sz="0" w:space="0" w:color="000000"/>
        </w:pBdr>
        <w:spacing w:after="480" w:before="32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Yours sincerely,</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Dr Nader Genedy</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Corresponding author</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Metabolic Medicine, Cardiff and Vale University Health Board</w:t>
      </w:r>
    </w:p>
    <w:sectPr>
      <w:pgMar w:header="706" w:bottom="1411" w:top="1699" w:right="1411" w:left="1699" w:footer="70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2026-04-04T23:42:57Z</dcterms:modified>
  <cp:category/>
</cp:coreProperties>
</file>