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center"/>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Times New Roman" w:cs="Times New Roman"/>
          <w:i w:val="false"/>
          <w:b w:val="true"/>
          <w:u w:val="none"/>
          <w:strike w:val="false"/>
          <w:sz w:val="32"/>
          <w:szCs w:val="32"/>
          <w:color w:val="000000"/>
        </w:rPr>
        <w:t xml:space="preserve">HIGHLIGHTS</w:t>
      </w:r>
    </w:p>
    <w:p>
      <w:pPr>
        <w:pStyle w:val="Normal"/>
        <w:jc w:val="center"/>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Times New Roman" w:cs="Times New Roman"/>
          <w:i w:val="true"/>
          <w:b w:val="false"/>
          <w:u w:val="none"/>
          <w:strike w:val="false"/>
          <w:sz w:val="22"/>
          <w:szCs w:val="22"/>
          <w:color w:val="000000"/>
        </w:rPr>
        <w:t xml:space="preserve">TUDOR: Development and Dual External Validation of a Treatment-Adjusted Diagnostic Algorithm for Familial Hypercholesterolaemia in 4,028 Genetically Confirmed Cases</w:t>
      </w:r>
    </w:p>
    <w:p>
      <w:pPr>
        <w:pStyle w:val="Normal"/>
        <w:jc w:val="center"/>
        <w:pBdr>
          <w:bottom w:val="none" w:sz="0" w:space="0" w:color="000000"/>
          <w:top w:val="none" w:sz="0" w:space="0" w:color="000000"/>
          <w:left w:val="none" w:sz="0" w:space="0" w:color="000000"/>
          <w:right w:val="none" w:sz="0" w:space="0" w:color="000000"/>
        </w:pBdr>
        <w:spacing w:after="320" w:before="0" w:line="360"/>
        <w:ind w:left="0" w:right="0" w:firstLine="0" w:firstLineChars="0"/>
      </w:pPr>
      <w:r>
        <w:rPr>
          <w:rFonts w:ascii="Times New Roman" w:hAnsi="Times New Roman" w:eastAsia="Times New Roman" w:cs="Times New Roman"/>
          <w:i w:val="false"/>
          <w:b w:val="false"/>
          <w:u w:val="none"/>
          <w:strike w:val="false"/>
          <w:sz w:val="22"/>
          <w:szCs w:val="22"/>
          <w:color w:val="000000"/>
        </w:rPr>
        <w:t xml:space="preserve">Genedy N, Zouwail S</w:t>
      </w:r>
    </w:p>
    <w:p>
      <w:pPr>
        <w:pStyle w:val="Normal"/>
        <w:jc w:val="both"/>
        <w:pBdr>
          <w:bottom w:val="none" w:sz="0" w:space="0" w:color="000000"/>
          <w:top w:val="none" w:sz="0" w:space="0" w:color="000000"/>
          <w:left w:val="none" w:sz="0" w:space="0" w:color="000000"/>
          <w:right w:val="none" w:sz="0" w:space="0" w:color="000000"/>
        </w:pBdr>
        <w:spacing w:after="200" w:before="0" w:line="360"/>
        <w:ind w:left="0" w:right="0" w:firstLine="0" w:firstLineChars="0"/>
      </w:pPr>
      <w:r>
        <w:rPr>
          <w:rFonts w:ascii="Times New Roman" w:hAnsi="Times New Roman" w:eastAsia="Times New Roman" w:cs="Times New Roman"/>
          <w:i w:val="false"/>
          <w:b w:val="true"/>
          <w:u w:val="none"/>
          <w:strike w:val="false"/>
          <w:sz w:val="24"/>
          <w:szCs w:val="24"/>
          <w:color w:val="0072B2"/>
        </w:rPr>
        <w:t xml:space="preserve">1.  </w:t>
      </w:r>
      <w:r>
        <w:rPr>
          <w:rFonts w:ascii="Times New Roman" w:hAnsi="Times New Roman" w:eastAsia="Times New Roman" w:cs="Times New Roman"/>
          <w:i w:val="false"/>
          <w:b w:val="false"/>
          <w:u w:val="none"/>
          <w:strike w:val="false"/>
          <w:sz w:val="24"/>
          <w:szCs w:val="24"/>
          <w:color w:val="000000"/>
        </w:rPr>
        <w:t xml:space="preserve">TUDOR achieves AUC 0.842 (95% CI: 0.822–0.863) in the All Wales FH Registry and AUC 0.750 (0.731–0.770) in an independent UK Biobank lipid clinic-mimicking cohort (n = 58,021; TRIPOD Type 4), significantly outperforming estimated Dutch Lipid Clinic Network criteria (AUC 0.636; DeLong Z = 10.08, p = 6.73 × 10⁻²⁴).</w:t>
      </w:r>
    </w:p>
    <w:p>
      <w:pPr>
        <w:pStyle w:val="Normal"/>
        <w:jc w:val="both"/>
        <w:pBdr>
          <w:bottom w:val="none" w:sz="0" w:space="0" w:color="000000"/>
          <w:top w:val="none" w:sz="0" w:space="0" w:color="000000"/>
          <w:left w:val="none" w:sz="0" w:space="0" w:color="000000"/>
          <w:right w:val="none" w:sz="0" w:space="0" w:color="000000"/>
        </w:pBdr>
        <w:spacing w:after="200" w:before="0" w:line="360"/>
        <w:ind w:left="0" w:right="0" w:firstLine="0" w:firstLineChars="0"/>
      </w:pPr>
      <w:r>
        <w:rPr>
          <w:rFonts w:ascii="Times New Roman" w:hAnsi="Times New Roman" w:eastAsia="Times New Roman" w:cs="Times New Roman"/>
          <w:i w:val="false"/>
          <w:b w:val="true"/>
          <w:u w:val="none"/>
          <w:strike w:val="false"/>
          <w:sz w:val="24"/>
          <w:szCs w:val="24"/>
          <w:color w:val="0072B2"/>
        </w:rPr>
        <w:t xml:space="preserve">2.  </w:t>
      </w:r>
      <w:r>
        <w:rPr>
          <w:rFonts w:ascii="Times New Roman" w:hAnsi="Times New Roman" w:eastAsia="Times New Roman" w:cs="Times New Roman"/>
          <w:i w:val="false"/>
          <w:b w:val="false"/>
          <w:u w:val="none"/>
          <w:strike w:val="false"/>
          <w:sz w:val="24"/>
          <w:szCs w:val="24"/>
          <w:color w:val="000000"/>
        </w:rPr>
        <w:t xml:space="preserve">This is the largest dual-validated genetically confirmed FH diagnostic study to date: 4,028 cases across six causative genes (LDLR, APOB, PCSK9, APOE, LDLRAP1, LDLR copy number variants) from two independent cohorts spanning specialist registry and population-based biobank settings.</w:t>
      </w:r>
    </w:p>
    <w:p>
      <w:pPr>
        <w:pStyle w:val="Normal"/>
        <w:jc w:val="both"/>
        <w:pBdr>
          <w:bottom w:val="none" w:sz="0" w:space="0" w:color="000000"/>
          <w:top w:val="none" w:sz="0" w:space="0" w:color="000000"/>
          <w:left w:val="none" w:sz="0" w:space="0" w:color="000000"/>
          <w:right w:val="none" w:sz="0" w:space="0" w:color="000000"/>
        </w:pBdr>
        <w:spacing w:after="200" w:before="0" w:line="360"/>
        <w:ind w:left="0" w:right="0" w:firstLine="0" w:firstLineChars="0"/>
      </w:pPr>
      <w:r>
        <w:rPr>
          <w:rFonts w:ascii="Times New Roman" w:hAnsi="Times New Roman" w:eastAsia="Times New Roman" w:cs="Times New Roman"/>
          <w:i w:val="false"/>
          <w:b w:val="true"/>
          <w:u w:val="none"/>
          <w:strike w:val="false"/>
          <w:sz w:val="24"/>
          <w:szCs w:val="24"/>
          <w:color w:val="0072B2"/>
        </w:rPr>
        <w:t xml:space="preserve">3.  </w:t>
      </w:r>
      <w:r>
        <w:rPr>
          <w:rFonts w:ascii="Times New Roman" w:hAnsi="Times New Roman" w:eastAsia="Times New Roman" w:cs="Times New Roman"/>
          <w:i w:val="false"/>
          <w:b w:val="false"/>
          <w:u w:val="none"/>
          <w:strike w:val="false"/>
          <w:sz w:val="24"/>
          <w:szCs w:val="24"/>
          <w:color w:val="000000"/>
        </w:rPr>
        <w:t xml:space="preserve">DLCN criteria identify only 1.5% of FH-positive cascade-screened relatives, versus TUDOR’s 89.4% — an 87-percentage-point sensitivity improvement in the population where accurate diagnosis carries the greatest public health significance for cardiovascular disease prevention.</w:t>
      </w:r>
    </w:p>
    <w:p>
      <w:pPr>
        <w:pStyle w:val="Normal"/>
        <w:jc w:val="both"/>
        <w:pBdr>
          <w:bottom w:val="none" w:sz="0" w:space="0" w:color="000000"/>
          <w:top w:val="none" w:sz="0" w:space="0" w:color="000000"/>
          <w:left w:val="none" w:sz="0" w:space="0" w:color="000000"/>
          <w:right w:val="none" w:sz="0" w:space="0" w:color="000000"/>
        </w:pBdr>
        <w:spacing w:after="200" w:before="0" w:line="360"/>
        <w:ind w:left="0" w:right="0" w:firstLine="0" w:firstLineChars="0"/>
      </w:pPr>
      <w:r>
        <w:rPr>
          <w:rFonts w:ascii="Times New Roman" w:hAnsi="Times New Roman" w:eastAsia="Times New Roman" w:cs="Times New Roman"/>
          <w:i w:val="false"/>
          <w:b w:val="true"/>
          <w:u w:val="none"/>
          <w:strike w:val="false"/>
          <w:sz w:val="24"/>
          <w:szCs w:val="24"/>
          <w:color w:val="0072B2"/>
        </w:rPr>
        <w:t xml:space="preserve">4.  </w:t>
      </w:r>
      <w:r>
        <w:rPr>
          <w:rFonts w:ascii="Times New Roman" w:hAnsi="Times New Roman" w:eastAsia="Times New Roman" w:cs="Times New Roman"/>
          <w:i w:val="false"/>
          <w:b w:val="false"/>
          <w:u w:val="none"/>
          <w:strike w:val="false"/>
          <w:sz w:val="24"/>
          <w:szCs w:val="24"/>
          <w:color w:val="000000"/>
        </w:rPr>
        <w:t xml:space="preserve">Gene-specific validation reveals that APOB variant carriers achieve significantly higher TUDOR discrimination (AUC 0.830) than LDLR carriers (AUC 0.717; DeLong p = 1.88 × 10⁻⁴), explained by the molecular homogeneity of APOB gain-of-function mutations versus the profound allelic heterogeneity of LDLR loss-of-function variants.</w:t>
      </w:r>
    </w:p>
    <w:p>
      <w:pPr>
        <w:pStyle w:val="Normal"/>
        <w:jc w:val="both"/>
        <w:pBdr>
          <w:bottom w:val="none" w:sz="0" w:space="0" w:color="000000"/>
          <w:top w:val="none" w:sz="0" w:space="0" w:color="000000"/>
          <w:left w:val="none" w:sz="0" w:space="0" w:color="000000"/>
          <w:right w:val="none" w:sz="0" w:space="0" w:color="000000"/>
        </w:pBdr>
        <w:spacing w:after="200" w:before="0" w:line="360"/>
        <w:ind w:left="0" w:right="0" w:firstLine="0" w:firstLineChars="0"/>
      </w:pPr>
      <w:r>
        <w:rPr>
          <w:rFonts w:ascii="Times New Roman" w:hAnsi="Times New Roman" w:eastAsia="Times New Roman" w:cs="Times New Roman"/>
          <w:i w:val="false"/>
          <w:b w:val="true"/>
          <w:u w:val="none"/>
          <w:strike w:val="false"/>
          <w:sz w:val="24"/>
          <w:szCs w:val="24"/>
          <w:color w:val="0072B2"/>
        </w:rPr>
        <w:t xml:space="preserve">5.  </w:t>
      </w:r>
      <w:r>
        <w:rPr>
          <w:rFonts w:ascii="Times New Roman" w:hAnsi="Times New Roman" w:eastAsia="Times New Roman" w:cs="Times New Roman"/>
          <w:i w:val="false"/>
          <w:b w:val="false"/>
          <w:u w:val="none"/>
          <w:strike w:val="false"/>
          <w:sz w:val="24"/>
          <w:szCs w:val="24"/>
          <w:color w:val="000000"/>
        </w:rPr>
        <w:t xml:space="preserve">The Triglyceride Metabolic Filter is independent of BMI, diabetes, and ApoB (OR stable 1.87→1.94 across sequential adjustment), and NMR metabolomics in 421,122 participants confirms that 53 molecular measurements add nothing beyond what this single clinical ratio captures (DeLong p = 0.278).</w:t>
      </w:r>
    </w:p>
    <w:p>
      <w:pPr>
        <w:pStyle w:val="Normal"/>
        <w:jc w:val="both"/>
        <w:pBdr>
          <w:bottom w:val="none" w:sz="0" w:space="0" w:color="000000"/>
          <w:top w:val="none" w:sz="0" w:space="0" w:color="000000"/>
          <w:left w:val="none" w:sz="0" w:space="0" w:color="000000"/>
          <w:right w:val="none" w:sz="0" w:space="0" w:color="000000"/>
        </w:pBdr>
        <w:spacing w:after="200" w:before="0" w:line="360"/>
        <w:ind w:left="0" w:right="0" w:firstLine="0" w:firstLineChars="0"/>
      </w:pPr>
      <w:r>
        <w:rPr>
          <w:rFonts w:ascii="Times New Roman" w:hAnsi="Times New Roman" w:eastAsia="Times New Roman" w:cs="Times New Roman"/>
          <w:i w:val="false"/>
          <w:b w:val="true"/>
          <w:u w:val="none"/>
          <w:strike w:val="false"/>
          <w:sz w:val="24"/>
          <w:szCs w:val="24"/>
          <w:color w:val="0072B2"/>
        </w:rPr>
        <w:t xml:space="preserve">6.  </w:t>
      </w:r>
      <w:r>
        <w:rPr>
          <w:rFonts w:ascii="Times New Roman" w:hAnsi="Times New Roman" w:eastAsia="Times New Roman" w:cs="Times New Roman"/>
          <w:i w:val="false"/>
          <w:b w:val="false"/>
          <w:u w:val="none"/>
          <w:strike w:val="false"/>
          <w:sz w:val="24"/>
          <w:szCs w:val="24"/>
          <w:color w:val="000000"/>
        </w:rPr>
        <w:t xml:space="preserve">Optional ApoB/LDL-C ratio augmentation improves discrimination to AUC 0.771 (ΔAUC +0.019; p = 3.99 × 10⁻⁵), reflecting cholesterol-enriched LDL particles from prolonged circulatory residence time in receptor-deficient states. The ApoB/LDL-C ratio &lt;0.31 independently predicts ASCVD events in confirmed FH (27.6% vs 11.8%; p = 0.0022).</w:t>
      </w:r>
    </w:p>
    <w:p>
      <w:pPr>
        <w:pStyle w:val="Normal"/>
        <w:jc w:val="both"/>
        <w:pBdr>
          <w:bottom w:val="none" w:sz="0" w:space="0" w:color="000000"/>
          <w:top w:val="none" w:sz="0" w:space="0" w:color="000000"/>
          <w:left w:val="none" w:sz="0" w:space="0" w:color="000000"/>
          <w:right w:val="none" w:sz="0" w:space="0" w:color="000000"/>
        </w:pBdr>
        <w:spacing w:after="200" w:before="0" w:line="360"/>
        <w:ind w:left="0" w:right="0" w:firstLine="0" w:firstLineChars="0"/>
      </w:pPr>
      <w:r>
        <w:rPr>
          <w:rFonts w:ascii="Times New Roman" w:hAnsi="Times New Roman" w:eastAsia="Times New Roman" w:cs="Times New Roman"/>
          <w:i w:val="false"/>
          <w:b w:val="true"/>
          <w:u w:val="none"/>
          <w:strike w:val="false"/>
          <w:sz w:val="24"/>
          <w:szCs w:val="24"/>
          <w:color w:val="0072B2"/>
        </w:rPr>
        <w:t xml:space="preserve">7.  </w:t>
      </w:r>
      <w:r>
        <w:rPr>
          <w:rFonts w:ascii="Times New Roman" w:hAnsi="Times New Roman" w:eastAsia="Times New Roman" w:cs="Times New Roman"/>
          <w:i w:val="false"/>
          <w:b w:val="false"/>
          <w:u w:val="none"/>
          <w:strike w:val="false"/>
          <w:sz w:val="24"/>
          <w:szCs w:val="24"/>
          <w:color w:val="000000"/>
        </w:rPr>
        <w:t xml:space="preserve">Cardiovascular mortality gradient confirmed: IHD deaths rise from 0.65% to 1.76% across LDL-C deciles (OR = 1.036 per decile, p = 0.011), independently validating LDL-C as a continuous mortality risk determinant within a high-risk lipid clinic cohort.</w:t>
      </w:r>
    </w:p>
    <w:p>
      <w:pPr>
        <w:pStyle w:val="Normal"/>
        <w:jc w:val="both"/>
        <w:pBdr>
          <w:bottom w:val="none" w:sz="0" w:space="0" w:color="000000"/>
          <w:top w:val="none" w:sz="0" w:space="0" w:color="000000"/>
          <w:left w:val="none" w:sz="0" w:space="0" w:color="000000"/>
          <w:right w:val="none" w:sz="0" w:space="0" w:color="000000"/>
        </w:pBdr>
        <w:spacing w:after="200" w:before="0" w:line="360"/>
        <w:ind w:left="0" w:right="0" w:firstLine="0" w:firstLineChars="0"/>
      </w:pPr>
      <w:r>
        <w:rPr>
          <w:rFonts w:ascii="Times New Roman" w:hAnsi="Times New Roman" w:eastAsia="Times New Roman" w:cs="Times New Roman"/>
          <w:i w:val="false"/>
          <w:b w:val="true"/>
          <w:u w:val="none"/>
          <w:strike w:val="false"/>
          <w:sz w:val="24"/>
          <w:szCs w:val="24"/>
          <w:color w:val="0072B2"/>
        </w:rPr>
        <w:t xml:space="preserve">8.  </w:t>
      </w:r>
      <w:r>
        <w:rPr>
          <w:rFonts w:ascii="Times New Roman" w:hAnsi="Times New Roman" w:eastAsia="Times New Roman" w:cs="Times New Roman"/>
          <w:i w:val="false"/>
          <w:b w:val="false"/>
          <w:u w:val="none"/>
          <w:strike w:val="false"/>
          <w:sz w:val="24"/>
          <w:szCs w:val="24"/>
          <w:color w:val="000000"/>
        </w:rPr>
        <w:t xml:space="preserve">T2DM ascertainment sensitivity: three independent definitions (self-report, ICD-10, HbA1c ≥48 mmol/mol) with poor inter-definition concordance (κ = 0.28–0.36) each confirm Trig_Filter attenuation (β = −0.48 to −0.66), with HbA1c dose-response (TRG 2.74→2.31→1.82) confirming a biological gradient, not a coding artefact.</w:t>
      </w:r>
    </w:p>
    <w:p>
      <w:pPr>
        <w:pStyle w:val="Normal"/>
        <w:jc w:val="both"/>
        <w:pBdr>
          <w:bottom w:val="none" w:sz="0" w:space="0" w:color="000000"/>
          <w:top w:val="none" w:sz="0" w:space="0" w:color="000000"/>
          <w:left w:val="none" w:sz="0" w:space="0" w:color="000000"/>
          <w:right w:val="none" w:sz="0" w:space="0" w:color="000000"/>
        </w:pBdr>
        <w:spacing w:after="200" w:before="0" w:line="360"/>
        <w:ind w:left="0" w:right="0" w:firstLine="0" w:firstLineChars="0"/>
      </w:pPr>
      <w:r>
        <w:rPr>
          <w:rFonts w:ascii="Times New Roman" w:hAnsi="Times New Roman" w:eastAsia="Times New Roman" w:cs="Times New Roman"/>
          <w:i w:val="false"/>
          <w:b w:val="true"/>
          <w:u w:val="none"/>
          <w:strike w:val="false"/>
          <w:sz w:val="24"/>
          <w:szCs w:val="24"/>
          <w:color w:val="0072B2"/>
        </w:rPr>
        <w:t xml:space="preserve">9.  </w:t>
      </w:r>
      <w:r>
        <w:rPr>
          <w:rFonts w:ascii="Times New Roman" w:hAnsi="Times New Roman" w:eastAsia="Times New Roman" w:cs="Times New Roman"/>
          <w:i w:val="false"/>
          <w:b w:val="false"/>
          <w:u w:val="none"/>
          <w:strike w:val="false"/>
          <w:sz w:val="24"/>
          <w:szCs w:val="24"/>
          <w:color w:val="000000"/>
        </w:rPr>
        <w:t xml:space="preserve">TUDOR is fully interpretable: Elastic Net logistic regression achieves equivalent performance to gradient-boosted decision trees (XGBoost AUC 0.778 vs ENET 0.781; DeLong p = 0.72), deployable as a simple equation in standard electronic health record systems without machine learning infrastructure.</w:t>
      </w:r>
    </w:p>
    <w:p>
      <w:pPr>
        <w:pStyle w:val="Normal"/>
        <w:jc w:val="both"/>
        <w:pBdr>
          <w:bottom w:val="none" w:sz="0" w:space="0" w:color="000000"/>
          <w:top w:val="none" w:sz="0" w:space="0" w:color="000000"/>
          <w:left w:val="none" w:sz="0" w:space="0" w:color="000000"/>
          <w:right w:val="none" w:sz="0" w:space="0" w:color="000000"/>
        </w:pBdr>
        <w:spacing w:after="200" w:before="0" w:line="360"/>
        <w:ind w:left="0" w:right="0" w:firstLine="0" w:firstLineChars="0"/>
      </w:pPr>
      <w:r>
        <w:rPr>
          <w:rFonts w:ascii="Times New Roman" w:hAnsi="Times New Roman" w:eastAsia="Times New Roman" w:cs="Times New Roman"/>
          <w:i w:val="false"/>
          <w:b w:val="true"/>
          <w:u w:val="none"/>
          <w:strike w:val="false"/>
          <w:sz w:val="24"/>
          <w:szCs w:val="24"/>
          <w:color w:val="0072B2"/>
        </w:rPr>
        <w:t xml:space="preserve">10.  </w:t>
      </w:r>
      <w:r>
        <w:rPr>
          <w:rFonts w:ascii="Times New Roman" w:hAnsi="Times New Roman" w:eastAsia="Times New Roman" w:cs="Times New Roman"/>
          <w:i w:val="false"/>
          <w:b w:val="false"/>
          <w:u w:val="none"/>
          <w:strike w:val="false"/>
          <w:sz w:val="24"/>
          <w:szCs w:val="24"/>
          <w:color w:val="000000"/>
        </w:rPr>
        <w:t xml:space="preserve">The TUDOR abstract was awarded third place in the 2026 National Lipid Association (NLA) Young Investigator Awards, selected by the NLA Abstract Review Committee for presentation on the main stage at the NLA 2026 Scientific Sessions (June 11–14, 2026) and recognition in a supplemental issue of the Journal of Clinical Lipidology.</w:t>
      </w:r>
    </w:p>
    <w:p>
      <w:pPr>
        <w:pStyle w:val="Normal"/>
        <w:jc w:val="both"/>
        <w:pBdr>
          <w:bottom w:val="none" w:sz="0" w:space="0" w:color="000000"/>
          <w:top w:val="none" w:sz="0" w:space="0" w:color="000000"/>
          <w:left w:val="none" w:sz="0" w:space="0" w:color="000000"/>
          <w:right w:val="none" w:sz="0" w:space="0" w:color="000000"/>
        </w:pBdr>
        <w:spacing w:after="24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
      </w:r>
    </w:p>
    <w:p>
      <w:pPr>
        <w:pStyle w:val="Normal"/>
        <w:jc w:val="left"/>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Times New Roman" w:cs="Times New Roman"/>
          <w:i w:val="false"/>
          <w:b w:val="true"/>
          <w:u w:val="none"/>
          <w:strike w:val="false"/>
          <w:sz w:val="22"/>
          <w:szCs w:val="22"/>
          <w:color w:val="000000"/>
        </w:rPr>
        <w:t xml:space="preserve">MANUSCRIPT SUMMARY</w:t>
      </w:r>
    </w:p>
    <w:p>
      <w:pPr>
        <w:pStyle w:val="Normal"/>
        <w:jc w:val="left"/>
        <w:pBdr>
          <w:bottom w:val="none" w:sz="0" w:space="0" w:color="000000"/>
          <w:top w:val="none" w:sz="0" w:space="0" w:color="000000"/>
          <w:left w:val="none" w:sz="0" w:space="0" w:color="000000"/>
          <w:right w:val="none" w:sz="0" w:space="0" w:color="000000"/>
        </w:pBdr>
        <w:spacing w:after="60" w:before="0" w:line="336"/>
        <w:ind w:left="0" w:right="0" w:firstLine="0" w:firstLineChars="0"/>
      </w:pPr>
      <w:r>
        <w:rPr>
          <w:rFonts w:ascii="Times New Roman" w:hAnsi="Times New Roman" w:eastAsia="Times New Roman" w:cs="Times New Roman"/>
          <w:i w:val="false"/>
          <w:b w:val="true"/>
          <w:u w:val="none"/>
          <w:strike w:val="false"/>
          <w:sz w:val="22"/>
          <w:szCs w:val="22"/>
          <w:color w:val="0072B2"/>
        </w:rPr>
        <w:t xml:space="preserve">•  </w:t>
      </w:r>
      <w:r>
        <w:rPr>
          <w:rFonts w:ascii="Times New Roman" w:hAnsi="Times New Roman" w:eastAsia="Times New Roman" w:cs="Times New Roman"/>
          <w:i w:val="false"/>
          <w:b w:val="false"/>
          <w:u w:val="none"/>
          <w:strike w:val="false"/>
          <w:sz w:val="22"/>
          <w:szCs w:val="22"/>
          <w:color w:val="000000"/>
        </w:rPr>
        <w:t xml:space="preserve">Word count (main text): ~7,200</w:t>
      </w:r>
    </w:p>
    <w:p>
      <w:pPr>
        <w:pStyle w:val="Normal"/>
        <w:jc w:val="left"/>
        <w:pBdr>
          <w:bottom w:val="none" w:sz="0" w:space="0" w:color="000000"/>
          <w:top w:val="none" w:sz="0" w:space="0" w:color="000000"/>
          <w:left w:val="none" w:sz="0" w:space="0" w:color="000000"/>
          <w:right w:val="none" w:sz="0" w:space="0" w:color="000000"/>
        </w:pBdr>
        <w:spacing w:after="60" w:before="0" w:line="336"/>
        <w:ind w:left="0" w:right="0" w:firstLine="0" w:firstLineChars="0"/>
      </w:pPr>
      <w:r>
        <w:rPr>
          <w:rFonts w:ascii="Times New Roman" w:hAnsi="Times New Roman" w:eastAsia="Times New Roman" w:cs="Times New Roman"/>
          <w:i w:val="false"/>
          <w:b w:val="true"/>
          <w:u w:val="none"/>
          <w:strike w:val="false"/>
          <w:sz w:val="22"/>
          <w:szCs w:val="22"/>
          <w:color w:val="0072B2"/>
        </w:rPr>
        <w:t xml:space="preserve">•  </w:t>
      </w:r>
      <w:r>
        <w:rPr>
          <w:rFonts w:ascii="Times New Roman" w:hAnsi="Times New Roman" w:eastAsia="Times New Roman" w:cs="Times New Roman"/>
          <w:i w:val="false"/>
          <w:b w:val="false"/>
          <w:u w:val="none"/>
          <w:strike w:val="false"/>
          <w:sz w:val="22"/>
          <w:szCs w:val="22"/>
          <w:color w:val="000000"/>
        </w:rPr>
        <w:t xml:space="preserve">References: 55</w:t>
      </w:r>
    </w:p>
    <w:p>
      <w:pPr>
        <w:pStyle w:val="Normal"/>
        <w:jc w:val="left"/>
        <w:pBdr>
          <w:bottom w:val="none" w:sz="0" w:space="0" w:color="000000"/>
          <w:top w:val="none" w:sz="0" w:space="0" w:color="000000"/>
          <w:left w:val="none" w:sz="0" w:space="0" w:color="000000"/>
          <w:right w:val="none" w:sz="0" w:space="0" w:color="000000"/>
        </w:pBdr>
        <w:spacing w:after="60" w:before="0" w:line="336"/>
        <w:ind w:left="0" w:right="0" w:firstLine="0" w:firstLineChars="0"/>
      </w:pPr>
      <w:r>
        <w:rPr>
          <w:rFonts w:ascii="Times New Roman" w:hAnsi="Times New Roman" w:eastAsia="Times New Roman" w:cs="Times New Roman"/>
          <w:i w:val="false"/>
          <w:b w:val="true"/>
          <w:u w:val="none"/>
          <w:strike w:val="false"/>
          <w:sz w:val="22"/>
          <w:szCs w:val="22"/>
          <w:color w:val="0072B2"/>
        </w:rPr>
        <w:t xml:space="preserve">•  </w:t>
      </w:r>
      <w:r>
        <w:rPr>
          <w:rFonts w:ascii="Times New Roman" w:hAnsi="Times New Roman" w:eastAsia="Times New Roman" w:cs="Times New Roman"/>
          <w:i w:val="false"/>
          <w:b w:val="false"/>
          <w:u w:val="none"/>
          <w:strike w:val="false"/>
          <w:sz w:val="22"/>
          <w:szCs w:val="22"/>
          <w:color w:val="000000"/>
        </w:rPr>
        <w:t xml:space="preserve">Tables: 4 (Tables 1a, 1b, 2, 3, 4 plus supplementary tables S1–S7)</w:t>
      </w:r>
    </w:p>
    <w:p>
      <w:pPr>
        <w:pStyle w:val="Normal"/>
        <w:jc w:val="left"/>
        <w:pBdr>
          <w:bottom w:val="none" w:sz="0" w:space="0" w:color="000000"/>
          <w:top w:val="none" w:sz="0" w:space="0" w:color="000000"/>
          <w:left w:val="none" w:sz="0" w:space="0" w:color="000000"/>
          <w:right w:val="none" w:sz="0" w:space="0" w:color="000000"/>
        </w:pBdr>
        <w:spacing w:after="60" w:before="0" w:line="336"/>
        <w:ind w:left="0" w:right="0" w:firstLine="0" w:firstLineChars="0"/>
      </w:pPr>
      <w:r>
        <w:rPr>
          <w:rFonts w:ascii="Times New Roman" w:hAnsi="Times New Roman" w:eastAsia="Times New Roman" w:cs="Times New Roman"/>
          <w:i w:val="false"/>
          <w:b w:val="true"/>
          <w:u w:val="none"/>
          <w:strike w:val="false"/>
          <w:sz w:val="22"/>
          <w:szCs w:val="22"/>
          <w:color w:val="0072B2"/>
        </w:rPr>
        <w:t xml:space="preserve">•  </w:t>
      </w:r>
      <w:r>
        <w:rPr>
          <w:rFonts w:ascii="Times New Roman" w:hAnsi="Times New Roman" w:eastAsia="Times New Roman" w:cs="Times New Roman"/>
          <w:i w:val="false"/>
          <w:b w:val="false"/>
          <w:u w:val="none"/>
          <w:strike w:val="false"/>
          <w:sz w:val="22"/>
          <w:szCs w:val="22"/>
          <w:color w:val="000000"/>
        </w:rPr>
        <w:t xml:space="preserve">Figures: 5 main + 2 supplementary (CV mortality, T2DM sensitivity)</w:t>
      </w:r>
    </w:p>
    <w:p>
      <w:pPr>
        <w:pStyle w:val="Normal"/>
        <w:jc w:val="left"/>
        <w:pBdr>
          <w:bottom w:val="none" w:sz="0" w:space="0" w:color="000000"/>
          <w:top w:val="none" w:sz="0" w:space="0" w:color="000000"/>
          <w:left w:val="none" w:sz="0" w:space="0" w:color="000000"/>
          <w:right w:val="none" w:sz="0" w:space="0" w:color="000000"/>
        </w:pBdr>
        <w:spacing w:after="60" w:before="0" w:line="336"/>
        <w:ind w:left="0" w:right="0" w:firstLine="0" w:firstLineChars="0"/>
      </w:pPr>
      <w:r>
        <w:rPr>
          <w:rFonts w:ascii="Times New Roman" w:hAnsi="Times New Roman" w:eastAsia="Times New Roman" w:cs="Times New Roman"/>
          <w:i w:val="false"/>
          <w:b w:val="true"/>
          <w:u w:val="none"/>
          <w:strike w:val="false"/>
          <w:sz w:val="22"/>
          <w:szCs w:val="22"/>
          <w:color w:val="0072B2"/>
        </w:rPr>
        <w:t xml:space="preserve">•  </w:t>
      </w:r>
      <w:r>
        <w:rPr>
          <w:rFonts w:ascii="Times New Roman" w:hAnsi="Times New Roman" w:eastAsia="Times New Roman" w:cs="Times New Roman"/>
          <w:i w:val="false"/>
          <w:b w:val="false"/>
          <w:u w:val="none"/>
          <w:strike w:val="false"/>
          <w:sz w:val="22"/>
          <w:szCs w:val="22"/>
          <w:color w:val="000000"/>
        </w:rPr>
        <w:t xml:space="preserve">Supplementary material: 7 tables, 5 figures</w:t>
      </w:r>
    </w:p>
    <w:p>
      <w:pPr>
        <w:pStyle w:val="Normal"/>
        <w:jc w:val="left"/>
        <w:pBdr>
          <w:bottom w:val="none" w:sz="0" w:space="0" w:color="000000"/>
          <w:top w:val="none" w:sz="0" w:space="0" w:color="000000"/>
          <w:left w:val="none" w:sz="0" w:space="0" w:color="000000"/>
          <w:right w:val="none" w:sz="0" w:space="0" w:color="000000"/>
        </w:pBdr>
        <w:spacing w:after="60" w:before="0" w:line="336"/>
        <w:ind w:left="0" w:right="0" w:firstLine="0" w:firstLineChars="0"/>
      </w:pPr>
      <w:r>
        <w:rPr>
          <w:rFonts w:ascii="Times New Roman" w:hAnsi="Times New Roman" w:eastAsia="Times New Roman" w:cs="Times New Roman"/>
          <w:i w:val="false"/>
          <w:b w:val="true"/>
          <w:u w:val="none"/>
          <w:strike w:val="false"/>
          <w:sz w:val="22"/>
          <w:szCs w:val="22"/>
          <w:color w:val="0072B2"/>
        </w:rPr>
        <w:t xml:space="preserve">•  </w:t>
      </w:r>
      <w:r>
        <w:rPr>
          <w:rFonts w:ascii="Times New Roman" w:hAnsi="Times New Roman" w:eastAsia="Times New Roman" w:cs="Times New Roman"/>
          <w:i w:val="false"/>
          <w:b w:val="false"/>
          <w:u w:val="none"/>
          <w:strike w:val="false"/>
          <w:sz w:val="22"/>
          <w:szCs w:val="22"/>
          <w:color w:val="000000"/>
        </w:rPr>
        <w:t xml:space="preserve">Study registration: UK Biobank Application 1002450</w:t>
      </w:r>
    </w:p>
    <w:p>
      <w:pPr>
        <w:pStyle w:val="Normal"/>
        <w:jc w:val="left"/>
        <w:pBdr>
          <w:bottom w:val="none" w:sz="0" w:space="0" w:color="000000"/>
          <w:top w:val="none" w:sz="0" w:space="0" w:color="000000"/>
          <w:left w:val="none" w:sz="0" w:space="0" w:color="000000"/>
          <w:right w:val="none" w:sz="0" w:space="0" w:color="000000"/>
        </w:pBdr>
        <w:spacing w:after="60" w:before="0" w:line="336"/>
        <w:ind w:left="0" w:right="0" w:firstLine="0" w:firstLineChars="0"/>
      </w:pPr>
      <w:r>
        <w:rPr>
          <w:rFonts w:ascii="Times New Roman" w:hAnsi="Times New Roman" w:eastAsia="Times New Roman" w:cs="Times New Roman"/>
          <w:i w:val="false"/>
          <w:b w:val="true"/>
          <w:u w:val="none"/>
          <w:strike w:val="false"/>
          <w:sz w:val="22"/>
          <w:szCs w:val="22"/>
          <w:color w:val="0072B2"/>
        </w:rPr>
        <w:t xml:space="preserve">•  </w:t>
      </w:r>
      <w:r>
        <w:rPr>
          <w:rFonts w:ascii="Times New Roman" w:hAnsi="Times New Roman" w:eastAsia="Times New Roman" w:cs="Times New Roman"/>
          <w:i w:val="false"/>
          <w:b w:val="false"/>
          <w:u w:val="none"/>
          <w:strike w:val="false"/>
          <w:sz w:val="22"/>
          <w:szCs w:val="22"/>
          <w:color w:val="000000"/>
        </w:rPr>
        <w:t xml:space="preserve">Reporting guidelines: TRIPOD (Types 2b and 4), STROBE</w:t>
      </w:r>
    </w:p>
    <w:p>
      <w:pPr>
        <w:pStyle w:val="Normal"/>
        <w:jc w:val="left"/>
        <w:pBdr>
          <w:bottom w:val="none" w:sz="0" w:space="0" w:color="000000"/>
          <w:top w:val="none" w:sz="0" w:space="0" w:color="000000"/>
          <w:left w:val="none" w:sz="0" w:space="0" w:color="000000"/>
          <w:right w:val="none" w:sz="0" w:space="0" w:color="000000"/>
        </w:pBdr>
        <w:spacing w:after="60" w:before="0" w:line="336"/>
        <w:ind w:left="0" w:right="0" w:firstLine="0" w:firstLineChars="0"/>
      </w:pPr>
      <w:r>
        <w:rPr>
          <w:rFonts w:ascii="Times New Roman" w:hAnsi="Times New Roman" w:eastAsia="Times New Roman" w:cs="Times New Roman"/>
          <w:i w:val="false"/>
          <w:b w:val="true"/>
          <w:u w:val="none"/>
          <w:strike w:val="false"/>
          <w:sz w:val="22"/>
          <w:szCs w:val="22"/>
          <w:color w:val="0072B2"/>
        </w:rPr>
        <w:t xml:space="preserve">•  </w:t>
      </w:r>
      <w:r>
        <w:rPr>
          <w:rFonts w:ascii="Times New Roman" w:hAnsi="Times New Roman" w:eastAsia="Times New Roman" w:cs="Times New Roman"/>
          <w:i w:val="false"/>
          <w:b w:val="false"/>
          <w:u w:val="none"/>
          <w:strike w:val="false"/>
          <w:sz w:val="22"/>
          <w:szCs w:val="22"/>
          <w:color w:val="000000"/>
        </w:rPr>
        <w:t xml:space="preserve">Conflicts of interest: None declared</w:t>
      </w:r>
    </w:p>
    <w:p>
      <w:pPr>
        <w:pStyle w:val="Normal"/>
        <w:jc w:val="left"/>
        <w:pBdr>
          <w:bottom w:val="none" w:sz="0" w:space="0" w:color="000000"/>
          <w:top w:val="none" w:sz="0" w:space="0" w:color="000000"/>
          <w:left w:val="none" w:sz="0" w:space="0" w:color="000000"/>
          <w:right w:val="none" w:sz="0" w:space="0" w:color="000000"/>
        </w:pBdr>
        <w:spacing w:after="60" w:before="0" w:line="336"/>
        <w:ind w:left="0" w:right="0" w:firstLine="0" w:firstLineChars="0"/>
      </w:pPr>
      <w:r>
        <w:rPr>
          <w:rFonts w:ascii="Times New Roman" w:hAnsi="Times New Roman" w:eastAsia="Times New Roman" w:cs="Times New Roman"/>
          <w:i w:val="false"/>
          <w:b w:val="true"/>
          <w:u w:val="none"/>
          <w:strike w:val="false"/>
          <w:sz w:val="22"/>
          <w:szCs w:val="22"/>
          <w:color w:val="0072B2"/>
        </w:rPr>
        <w:t xml:space="preserve">•  </w:t>
      </w:r>
      <w:r>
        <w:rPr>
          <w:rFonts w:ascii="Times New Roman" w:hAnsi="Times New Roman" w:eastAsia="Times New Roman" w:cs="Times New Roman"/>
          <w:i w:val="false"/>
          <w:b w:val="false"/>
          <w:u w:val="none"/>
          <w:strike w:val="false"/>
          <w:sz w:val="22"/>
          <w:szCs w:val="22"/>
          <w:color w:val="000000"/>
        </w:rPr>
        <w:t xml:space="preserve">Funding: None</w:t>
      </w:r>
    </w:p>
    <w:sectPr>
      <w:pgMar w:header="706" w:bottom="1411" w:top="1699" w:right="1411" w:left="1699" w:footer="706"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2026-04-04T23:42:52Z</dcterms:modified>
  <cp:category/>
</cp:coreProperties>
</file>