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F6F"/>
        </w:rPr>
        <w:t>TUDOR — Highlights</w:t>
      </w:r>
    </w:p>
    <w:p>
      <w:pPr>
        <w:pStyle w:val="ListBullet"/>
      </w:pPr>
      <w:r>
        <w:t>TUDOR diagnoses FH in statin-treated patients missed by DLCN and MEDPED.</w:t>
      </w:r>
    </w:p>
    <w:p>
      <w:pPr>
        <w:pStyle w:val="ListBullet"/>
      </w:pPr>
      <w:r>
        <w:t>Externally validated in &gt;4,000 genetically confirmed FH cases (Wales+UKB).</w:t>
      </w:r>
    </w:p>
    <w:p>
      <w:pPr>
        <w:pStyle w:val="ListBullet"/>
      </w:pPr>
      <w:r>
        <w:t>Three-tier decision pathway guides genetic testing and clinical referral.</w:t>
      </w:r>
    </w:p>
    <w:p>
      <w:pPr>
        <w:pStyle w:val="ListBullet"/>
      </w:pPr>
      <w:r>
        <w:t>Statin-corrected lipid features outperform pre-statin-era diagnostic rules.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