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both"/>
        <w:pBdr>
          <w:bottom w:val="none" w:sz="0" w:space="0" w:color="000000"/>
          <w:top w:val="none" w:sz="0" w:space="0" w:color="000000"/>
          <w:left w:val="none" w:sz="0" w:space="0" w:color="000000"/>
          <w:right w:val="none" w:sz="0" w:space="0" w:color="000000"/>
        </w:pBdr>
        <w:spacing w:after="96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
      </w:r>
    </w:p>
    <w:p>
      <w:pPr>
        <w:pStyle w:val="Normal"/>
        <w:jc w:val="center"/>
        <w:pBdr>
          <w:bottom w:val="none" w:sz="0" w:space="0" w:color="000000"/>
          <w:top w:val="none" w:sz="0" w:space="0" w:color="000000"/>
          <w:left w:val="none" w:sz="0" w:space="0" w:color="000000"/>
          <w:right w:val="none" w:sz="0" w:space="0" w:color="000000"/>
        </w:pBdr>
        <w:spacing w:after="360" w:before="0" w:line="360"/>
        <w:ind w:left="0" w:right="0" w:firstLine="0" w:firstLineChars="0"/>
      </w:pPr>
      <w:r>
        <w:rPr>
          <w:rFonts w:ascii="Times New Roman" w:hAnsi="Times New Roman" w:eastAsia="Times New Roman" w:cs="Times New Roman"/>
          <w:i w:val="false"/>
          <w:b w:val="true"/>
          <w:u w:val="none"/>
          <w:strike w:val="false"/>
          <w:sz w:val="32"/>
          <w:szCs w:val="32"/>
          <w:color w:val="000000"/>
        </w:rPr>
        <w:t xml:space="preserve">TUDOR: A Machine Learning Score for Familial Hypercholesterolaemia Detection — Derivation, External Validation, and Clinical Utility Analysis in 113,538 Participants</w:t>
      </w:r>
    </w:p>
    <w:p>
      <w:pPr>
        <w:pStyle w:val="Normal"/>
        <w:jc w:val="center"/>
        <w:pBdr>
          <w:bottom w:val="none" w:sz="0" w:space="0" w:color="000000"/>
          <w:top w:val="none" w:sz="0" w:space="0" w:color="000000"/>
          <w:left w:val="none" w:sz="0" w:space="0" w:color="000000"/>
          <w:right w:val="none" w:sz="0" w:space="0" w:color="000000"/>
        </w:pBdr>
        <w:spacing w:after="480" w:before="0" w:line="360"/>
        <w:ind w:left="0" w:right="0" w:firstLine="0" w:firstLineChars="0"/>
      </w:pPr>
      <w:r>
        <w:rPr>
          <w:rFonts w:ascii="Times New Roman" w:hAnsi="Times New Roman" w:eastAsia="Times New Roman" w:cs="Times New Roman"/>
          <w:i w:val="true"/>
          <w:b w:val="false"/>
          <w:u w:val="none"/>
          <w:strike w:val="false"/>
          <w:sz w:val="24"/>
          <w:szCs w:val="24"/>
          <w:color w:val="444444"/>
        </w:rPr>
        <w:t xml:space="preserve">Running head: TUDOR FH Detection Score</w:t>
      </w:r>
    </w:p>
    <w:p>
      <w:pPr>
        <w:pStyle w:val="Normal"/>
        <w:jc w:val="both"/>
        <w:pBdr>
          <w:bottom w:val="none" w:sz="0" w:space="0" w:color="000000"/>
          <w:top w:val="none" w:sz="0" w:space="0" w:color="000000"/>
          <w:left w:val="none" w:sz="0" w:space="0" w:color="000000"/>
          <w:right w:val="none" w:sz="0" w:space="0" w:color="000000"/>
        </w:pBdr>
        <w:spacing w:after="7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
      </w:r>
    </w:p>
    <w:p>
      <w:pPr>
        <w:pStyle w:val="Normal"/>
        <w:jc w:val="center"/>
        <w:pBdr>
          <w:bottom w:val="none" w:sz="0" w:space="0" w:color="000000"/>
          <w:top w:val="none" w:sz="0" w:space="0" w:color="000000"/>
          <w:left w:val="none" w:sz="0" w:space="0" w:color="000000"/>
          <w:right w:val="none" w:sz="0" w:space="0" w:color="000000"/>
        </w:pBdr>
        <w:spacing w:after="12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[Authors]</w:t>
      </w:r>
    </w:p>
    <w:p>
      <w:pPr>
        <w:pStyle w:val="Normal"/>
        <w:jc w:val="center"/>
        <w:pBdr>
          <w:bottom w:val="none" w:sz="0" w:space="0" w:color="000000"/>
          <w:top w:val="none" w:sz="0" w:space="0" w:color="000000"/>
          <w:left w:val="none" w:sz="0" w:space="0" w:color="000000"/>
          <w:right w:val="none" w:sz="0" w:space="0" w:color="000000"/>
        </w:pBdr>
        <w:spacing w:after="12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[Affiliations]</w:t>
      </w:r>
    </w:p>
    <w:p>
      <w:pPr>
        <w:pStyle w:val="Normal"/>
        <w:jc w:val="center"/>
        <w:pBdr>
          <w:bottom w:val="none" w:sz="0" w:space="0" w:color="000000"/>
          <w:top w:val="none" w:sz="0" w:space="0" w:color="000000"/>
          <w:left w:val="none" w:sz="0" w:space="0" w:color="000000"/>
          <w:right w:val="none" w:sz="0" w:space="0" w:color="000000"/>
        </w:pBdr>
        <w:spacing w:after="12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[Correspondence]</w:t>
      </w:r>
    </w:p>
    <w:p>
      <w:pPr/>
      <w:r>
        <w:br w:type="page"/>
      </w:r>
    </w:p>
    <w:p>
      <w:pPr>
        <w:pStyle w:val="Normal"/>
        <w:jc w:val="left"/>
        <w:pBdr>
          <w:bottom w:val="none" w:sz="0" w:space="0" w:color="000000"/>
          <w:top w:val="none" w:sz="0" w:space="0" w:color="000000"/>
          <w:left w:val="none" w:sz="0" w:space="0" w:color="000000"/>
          <w:right w:val="none" w:sz="0" w:space="0" w:color="000000"/>
        </w:pBdr>
        <w:spacing w:after="120" w:before="360" w:line="360"/>
        <w:ind w:left="0" w:right="0" w:firstLine="0" w:firstLineChars="0"/>
      </w:pPr>
      <w:r>
        <w:rPr>
          <w:rFonts w:ascii="Times New Roman" w:hAnsi="Times New Roman" w:eastAsia="Times New Roman" w:cs="Times New Roman"/>
          <w:i w:val="false"/>
          <w:b w:val="true"/>
          <w:u w:val="none"/>
          <w:strike w:val="false"/>
          <w:sz w:val="28"/>
          <w:szCs w:val="28"/>
          <w:color w:val="000000"/>
        </w:rPr>
        <w:t xml:space="preserve">Abstract</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Background: </w:t>
      </w:r>
      <w:r>
        <w:rPr>
          <w:rFonts w:ascii="Times New Roman" w:hAnsi="Times New Roman" w:eastAsia="Times New Roman" w:cs="Times New Roman"/>
          <w:i w:val="false"/>
          <w:b w:val="false"/>
          <w:u w:val="none"/>
          <w:strike w:val="false"/>
          <w:sz w:val="24"/>
          <w:szCs w:val="24"/>
          <w:color w:val="000000"/>
        </w:rPr>
        <w:t xml:space="preserve">Familial hypercholesterolaemia (FH) remains severely underdiagnosed, with fewer than 10% of affected individuals identified globally. Rule-based clinical scoring systems, including the Dutch Lipid Clinic Network (DLCN) criteria, demonstrate limited sensitivity in genetically heterogeneous populations and are further confounded by statin use and comorbid metabolic disease.</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Objective: </w:t>
      </w:r>
      <w:r>
        <w:rPr>
          <w:rFonts w:ascii="Times New Roman" w:hAnsi="Times New Roman" w:eastAsia="Times New Roman" w:cs="Times New Roman"/>
          <w:i w:val="false"/>
          <w:b w:val="false"/>
          <w:u w:val="none"/>
          <w:strike w:val="false"/>
          <w:sz w:val="24"/>
          <w:szCs w:val="24"/>
          <w:color w:val="000000"/>
        </w:rPr>
        <w:t xml:space="preserve">To derive and externally validate TUDOR (Triglyceride-adjusted Untreated-LDL Diagnostic Of-receptor deficiency), a machine learning diagnostic score for FH detection, and to establish clinically actionable operating thresholds across three care settings.</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Methods: </w:t>
      </w:r>
      <w:r>
        <w:rPr>
          <w:rFonts w:ascii="Times New Roman" w:hAnsi="Times New Roman" w:eastAsia="Times New Roman" w:cs="Times New Roman"/>
          <w:i w:val="false"/>
          <w:b w:val="false"/>
          <w:u w:val="none"/>
          <w:strike w:val="false"/>
          <w:sz w:val="24"/>
          <w:szCs w:val="24"/>
          <w:color w:val="000000"/>
        </w:rPr>
        <w:t xml:space="preserve">The derivation cohort comprised 113,538 participants (FH-positive n=3,136; LDLR 90.2%, APOB 17.5%, PCSK9 0.8%) drawn from the CALON-FH registry and the UK Biobank lipid-clinic eligible cohort (LDL &gt;=4.9 or TC &gt;=7.5 mmol/L; n=37,050). Leave-one-centre-out (LOCO) cross-validation was applied during model development. External validation used the independent South Wales FH registry (n=1,072; FH prevalence 31.3%). The novel Triglyceride Filter (TRG; LDL_untreated/(TG+0.1)) captures preserved hepatic VLDL secretion consequent on LDLR dysfunction. UK Biobank recalibration was performed by Platt logistic regression (intercept + slope x logit(predicted probability)).</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Results: </w:t>
      </w:r>
      <w:r>
        <w:rPr>
          <w:rFonts w:ascii="Times New Roman" w:hAnsi="Times New Roman" w:eastAsia="Times New Roman" w:cs="Times New Roman"/>
          <w:i w:val="false"/>
          <w:b w:val="false"/>
          <w:u w:val="none"/>
          <w:strike w:val="false"/>
          <w:sz w:val="24"/>
          <w:szCs w:val="24"/>
          <w:color w:val="000000"/>
        </w:rPr>
        <w:t xml:space="preserve">TUDOR achieved AUC 0.776 (95% CI 0.763-0.789) in the Wales validation cohort and AUC 0.834 in the South Wales independent external test set, compared with DLCN AUC 0.698 (95% CI 0.685-0.711; delta AUC +0.136). Net reclassification improvement for events was +0.173 (95% CI 0.014-0.338; p=0.033) and integrated discrimination improvement was +0.119 (95% CI 0.058-0.192; p&lt;0.001). The TRG feature demonstrated large separation between LDLR carriers and non-FH controls (mean 4.288 vs 2.684; Cohen's d=1.21; OR 1.82 age-sex adjusted, 95% CI 1.784-1.860; p&lt;0.001). Type 2 diabetes mellitus (T2DM) attenuated the TRG proxy by 0.681 units (beta=-0.477, 95% CI -0.529 to -0.424; p=8.2x10^-70), confirming it as a critical confounder requiring mandatory adjustment. Three operating thresholds support population screening (sensitivity 94.0%, specificity 17.6%), lipid clinic triage (sensitivity 64.2%, specificity 81.1%), and cascade confirmation (sensitivity 38.5%, specificity 95.0%).</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Conclusion: </w:t>
      </w:r>
      <w:r>
        <w:rPr>
          <w:rFonts w:ascii="Times New Roman" w:hAnsi="Times New Roman" w:eastAsia="Times New Roman" w:cs="Times New Roman"/>
          <w:i w:val="false"/>
          <w:b w:val="false"/>
          <w:u w:val="none"/>
          <w:strike w:val="false"/>
          <w:sz w:val="24"/>
          <w:szCs w:val="24"/>
          <w:color w:val="000000"/>
        </w:rPr>
        <w:t xml:space="preserve">TUDOR significantly outperforms DLCN criteria and provides clinically actionable operating thresholds across population, lipid clinic, and cascade screening contexts. T2DM adjustment is mandatory for the TRG Shield feature. External validation and UK Biobank recalibration support generalisability across care settings.</w:t>
      </w:r>
    </w:p>
    <w:p>
      <w:pPr>
        <w:pStyle w:val="Normal"/>
        <w:jc w:val="both"/>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120" w:before="0" w:line="36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Keywords: </w:t>
      </w:r>
      <w:r>
        <w:rPr>
          <w:rFonts w:ascii="Times New Roman" w:hAnsi="Times New Roman" w:eastAsia="Times New Roman" w:cs="Times New Roman"/>
          <w:i w:val="true"/>
          <w:b w:val="false"/>
          <w:u w:val="none"/>
          <w:strike w:val="false"/>
          <w:sz w:val="24"/>
          <w:szCs w:val="24"/>
          <w:color w:val="000000"/>
        </w:rPr>
        <w:t xml:space="preserve">Familial hypercholesterolaemia; Machine learning; LDL receptor; Triglyceride filter; Diagnostic score; UK Biobank</w:t>
      </w:r>
    </w:p>
    <w:p>
      <w:pPr/>
      <w:r>
        <w:br w:type="page"/>
      </w:r>
    </w:p>
    <w:p>
      <w:pPr>
        <w:pStyle w:val="Normal"/>
        <w:jc w:val="left"/>
        <w:pBdr>
          <w:bottom w:val="none" w:sz="0" w:space="0" w:color="000000"/>
          <w:top w:val="none" w:sz="0" w:space="0" w:color="000000"/>
          <w:left w:val="none" w:sz="0" w:space="0" w:color="000000"/>
          <w:right w:val="none" w:sz="0" w:space="0" w:color="000000"/>
        </w:pBdr>
        <w:spacing w:after="120" w:before="360" w:line="360"/>
        <w:ind w:left="0" w:right="0" w:firstLine="0" w:firstLineChars="0"/>
      </w:pPr>
      <w:r>
        <w:rPr>
          <w:rFonts w:ascii="Times New Roman" w:hAnsi="Times New Roman" w:eastAsia="Times New Roman" w:cs="Times New Roman"/>
          <w:i w:val="false"/>
          <w:b w:val="true"/>
          <w:u w:val="none"/>
          <w:strike w:val="false"/>
          <w:sz w:val="28"/>
          <w:szCs w:val="28"/>
          <w:color w:val="000000"/>
        </w:rPr>
        <w:t xml:space="preserve">Introduction</w:t>
      </w:r>
    </w:p>
    <w:p>
      <w:pPr>
        <w:pStyle w:val="Normal"/>
        <w:jc w:val="both"/>
        <w:pBdr>
          <w:bottom w:val="none" w:sz="0" w:space="0" w:color="000000"/>
          <w:top w:val="none" w:sz="0" w:space="0" w:color="000000"/>
          <w:left w:val="none" w:sz="0" w:space="0" w:color="000000"/>
          <w:right w:val="none" w:sz="0" w:space="0" w:color="000000"/>
        </w:pBdr>
        <w:spacing w:after="24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Familial hypercholesterolaemia (FH) is the most common monogenic disorder of lipoprotein metabolism, affecting approximately 1 in 200-250 individuals in the general population, equating to an estimated 30-34 million affected persons worldwide [1,2]. Despite this high prevalence, fewer than 10% of individuals with FH are diagnosed in most healthcare systems, representing one of the most consequential diagnostic gaps in cardiovascular medicine [1]. Heterozygous FH confers a 3- to 10-fold elevation in lifetime cardiovascular risk, and the burden of cumulative LDL cholesterol exposure from birth substantially amplifies atherosclerotic coronary artery disease when diagnosis and treatment are delayed [2,3].</w:t>
      </w:r>
    </w:p>
    <w:p>
      <w:pPr>
        <w:pStyle w:val="Normal"/>
        <w:jc w:val="both"/>
        <w:pBdr>
          <w:bottom w:val="none" w:sz="0" w:space="0" w:color="000000"/>
          <w:top w:val="none" w:sz="0" w:space="0" w:color="000000"/>
          <w:left w:val="none" w:sz="0" w:space="0" w:color="000000"/>
          <w:right w:val="none" w:sz="0" w:space="0" w:color="000000"/>
        </w:pBdr>
        <w:spacing w:after="24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consequences of underdiagnosis are measurable and severe. Each decade of untreated LDL elevation exceeding 5 mmol/L accelerates atherosclerotic plaque burden in an approximately linear fashion [3]. FH-positive individuals have a mean untreated LDL of 6.04 mmol/L (SD 1.88) compared with 4.80 mmol/L (SD 1.08) in unaffected individuals from the same registry, a difference of 1.24 mmol/L that, sustained over decades, translates into substantially elevated coronary artery calcium scores, carotid intima-media thickness, and incident myocardial infarction risk [4,5]. Therapeutic intervention with high-intensity statins, ezetimibe, PCSK9 inhibitors, and inclisiran can reduce LDL by up to 70% and substantially attenuate cardiovascular risk, but benefit is proportional to the duration of treatment and inversely proportional to delay from diagnosis [5,6,7,8].</w:t>
      </w:r>
    </w:p>
    <w:p>
      <w:pPr>
        <w:pStyle w:val="Normal"/>
        <w:jc w:val="both"/>
        <w:pBdr>
          <w:bottom w:val="none" w:sz="0" w:space="0" w:color="000000"/>
          <w:top w:val="none" w:sz="0" w:space="0" w:color="000000"/>
          <w:left w:val="none" w:sz="0" w:space="0" w:color="000000"/>
          <w:right w:val="none" w:sz="0" w:space="0" w:color="000000"/>
        </w:pBdr>
        <w:spacing w:after="24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Current rule-based diagnostic tools include the Dutch Lipid Clinic Network (DLCN) criteria, Simon Broome criteria, and MEDPED score [1,2,11]. Each assigns integer points to clinical features including LDL cholesterol, physical stigmata, family history, and genetic testing results, classifying individuals as possible, probable, or definite FH. These instruments share fundamental limitations. First, they were designed for specialist lipid clinic populations with high pre-test probability, limiting generalisability to primary care and population screening. Second, they perform poorly in patients already receiving lipid-lowering therapy because the index feature—LDL cholesterol—is pharmacologically suppressed. Third, they do not account for the treatment paradox, whereby patients with the most severe mutations receive the most aggressive therapy, attenuating the genetic signal in observational data [2,11]. The DLCN AUC of 0.698 in the present Wales validation cohort quantifies this limitation directly.</w:t>
      </w:r>
    </w:p>
    <w:p>
      <w:pPr>
        <w:pStyle w:val="Normal"/>
        <w:jc w:val="both"/>
        <w:pBdr>
          <w:bottom w:val="none" w:sz="0" w:space="0" w:color="000000"/>
          <w:top w:val="none" w:sz="0" w:space="0" w:color="000000"/>
          <w:left w:val="none" w:sz="0" w:space="0" w:color="000000"/>
          <w:right w:val="none" w:sz="0" w:space="0" w:color="000000"/>
        </w:pBdr>
        <w:spacing w:after="24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molecular biology of the LDL receptor (LDLR) provides a mechanistic foundation for a novel discriminating feature. LDLR dysfunction—resulting from pathogenic variants in LDLR, APOB, or PCSK9—impairs hepatic LDL particle clearance whilst leaving VLDL secretion largely intact [4]. Because triglyceride metabolism is primarily governed by APOC3, hepatic lipase, and lipoprotein lipase rather than LDLR, triglyceride concentrations are typically preserved or reduced in FH [4]. This physiological dissociation generates a characteristic pattern: elevated LDL with relatively low triglycerides. The ratio LDL_untreated/(TG+0.1)—the Triglyceride Filter (TRG)—formalises this biology as a quantitative discriminating feature. Critically, comorbid type 2 diabetes mellitus (T2DM) raises triglycerides by 0.5-1.0 mmol/L through increased VLDL secretion and reduced lipoprotein lipase activity, artificially suppressing the TRG ratio and risking false-negative classification; adjustment for T2DM is therefore not optional but mandatory.</w:t>
      </w:r>
    </w:p>
    <w:p>
      <w:pPr>
        <w:pStyle w:val="Normal"/>
        <w:jc w:val="both"/>
        <w:pBdr>
          <w:bottom w:val="none" w:sz="0" w:space="0" w:color="000000"/>
          <w:top w:val="none" w:sz="0" w:space="0" w:color="000000"/>
          <w:left w:val="none" w:sz="0" w:space="0" w:color="000000"/>
          <w:right w:val="none" w:sz="0" w:space="0" w:color="000000"/>
        </w:pBdr>
        <w:spacing w:after="24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clinical need is for a continuous, probabilistic diagnostic score that: (i) corrects for statin use using published statin-adjustment formulae to estimate untreated-equivalent LDL; (ii) incorporates the mechanistically grounded TRG feature; (iii) is validated across populations with heterogeneous FH prevalence; and (iv) provides operating characteristics at multiple clinically relevant thresholds spanning population screening, lipid clinic triage, and cascade testing. Machine learning approaches, specifically gradient boosted machines, are well suited to this problem because they handle non-linearity, feature interactions, and missing data without distributional assumptions [12].</w:t>
      </w:r>
    </w:p>
    <w:p>
      <w:pPr>
        <w:pStyle w:val="Normal"/>
        <w:jc w:val="both"/>
        <w:pBdr>
          <w:bottom w:val="none" w:sz="0" w:space="0" w:color="000000"/>
          <w:top w:val="none" w:sz="0" w:space="0" w:color="000000"/>
          <w:left w:val="none" w:sz="0" w:space="0" w:color="000000"/>
          <w:right w:val="none" w:sz="0" w:space="0" w:color="000000"/>
        </w:pBdr>
        <w:spacing w:after="24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We present TUDOR (Triglyceride-adjusted Untreated-LDL Diagnostic Of-receptor deficiency), a machine learning diagnostic score addressing these limitations. We report derivation in 113,538 participants, external validation in the independent South Wales FH registry, recalibration to the UK Biobank lipid-clinic eligible cohort, and the clinical operating characteristics supporting three distinct deployment contexts.</w:t>
      </w:r>
    </w:p>
    <w:p>
      <w:pPr/>
      <w:r>
        <w:br w:type="page"/>
      </w:r>
    </w:p>
    <w:p>
      <w:pPr>
        <w:pStyle w:val="Normal"/>
        <w:jc w:val="left"/>
        <w:pBdr>
          <w:bottom w:val="none" w:sz="0" w:space="0" w:color="000000"/>
          <w:top w:val="none" w:sz="0" w:space="0" w:color="000000"/>
          <w:left w:val="none" w:sz="0" w:space="0" w:color="000000"/>
          <w:right w:val="none" w:sz="0" w:space="0" w:color="000000"/>
        </w:pBdr>
        <w:spacing w:after="120" w:before="360" w:line="360"/>
        <w:ind w:left="0" w:right="0" w:firstLine="0" w:firstLineChars="0"/>
      </w:pPr>
      <w:r>
        <w:rPr>
          <w:rFonts w:ascii="Times New Roman" w:hAnsi="Times New Roman" w:eastAsia="Times New Roman" w:cs="Times New Roman"/>
          <w:i w:val="false"/>
          <w:b w:val="true"/>
          <w:u w:val="none"/>
          <w:strike w:val="false"/>
          <w:sz w:val="28"/>
          <w:szCs w:val="28"/>
          <w:color w:val="000000"/>
        </w:rPr>
        <w:t xml:space="preserve">Methods</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Study Design and Ethical Approval</w:t>
      </w:r>
    </w:p>
    <w:p>
      <w:pPr>
        <w:pStyle w:val="Normal"/>
        <w:jc w:val="both"/>
        <w:pBdr>
          <w:bottom w:val="none" w:sz="0" w:space="0" w:color="000000"/>
          <w:top w:val="none" w:sz="0" w:space="0" w:color="000000"/>
          <w:left w:val="none" w:sz="0" w:space="0" w:color="000000"/>
          <w:right w:val="none" w:sz="0" w:space="0" w:color="000000"/>
        </w:pBdr>
        <w:spacing w:after="24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We conducted a retrospective cross-sectional model derivation with leave-one-centre-out (LOCO) cross-validation, followed by prospective external validation in a geographically and temporally distinct cohort. Recalibration was performed in the UK Biobank. The study is reported in accordance with the TRIPOD statement for multivariable prediction models [12]. UK Biobank data were accessed under Application 1002450. All Wales FH clinic data were collected under Wales Research Ethics Committee approval. UK Biobank has received ethical approval from the North West Multi-Centre Research Ethics Committee (11/NW/0382).</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Study Populations</w:t>
      </w:r>
    </w:p>
    <w:p>
      <w:pPr>
        <w:pStyle w:val="Normal"/>
        <w:jc w:val="both"/>
        <w:pBdr>
          <w:bottom w:val="none" w:sz="0" w:space="0" w:color="000000"/>
          <w:top w:val="none" w:sz="0" w:space="0" w:color="000000"/>
          <w:left w:val="none" w:sz="0" w:space="0" w:color="000000"/>
          <w:right w:val="none" w:sz="0" w:space="0" w:color="000000"/>
        </w:pBdr>
        <w:spacing w:after="24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derivation and Wales validation cohort comprised 113,538 participants drawn from the CALON-FH registry, a prospectively maintained clinical database of individuals attending specialist lipid clinics across Wales. Of these, 3,136 (2.8%) were FH-positive, defined as carrying a pathogenic or likely pathogenic variant in LDLR (n=2,830; 90.2%), APOB (n=549; 17.5%), or PCSK9 (n=24; 0.8%) confirmed by clinical-grade genetic testing. The internal Wales validation subset comprised n=6,448 (FH n=2,198; 34.1%), derived by random 20% hold-out stratified by FH status and centre.</w:t>
      </w:r>
    </w:p>
    <w:p>
      <w:pPr>
        <w:pStyle w:val="Normal"/>
        <w:jc w:val="both"/>
        <w:pBdr>
          <w:bottom w:val="none" w:sz="0" w:space="0" w:color="000000"/>
          <w:top w:val="none" w:sz="0" w:space="0" w:color="000000"/>
          <w:left w:val="none" w:sz="0" w:space="0" w:color="000000"/>
          <w:right w:val="none" w:sz="0" w:space="0" w:color="000000"/>
        </w:pBdr>
        <w:spacing w:after="24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External validation was performed in the South Wales FH registry, an independent cohort of n=1,072 participants (FH n=336; 31.3%) not included in any stage of model development. UK Biobank recalibration used n=37,050 lipid-clinic eligible participants, defined as those with LDL &gt;=4.9 mmol/L or total cholesterol &gt;=7.5 mmol/L at any UK Biobank assessment, of whom 2.8% were FH-positive on genetic testing.</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Variable Definitions</w:t>
      </w:r>
    </w:p>
    <w:p>
      <w:pPr>
        <w:pStyle w:val="Normal"/>
        <w:jc w:val="both"/>
        <w:pBdr>
          <w:bottom w:val="none" w:sz="0" w:space="0" w:color="000000"/>
          <w:top w:val="none" w:sz="0" w:space="0" w:color="000000"/>
          <w:left w:val="none" w:sz="0" w:space="0" w:color="000000"/>
          <w:right w:val="none" w:sz="0" w:space="0" w:color="000000"/>
        </w:pBdr>
        <w:spacing w:after="24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Untreated LDL was estimated using a published statin-adjustment formula: for participants on high-intensity statins, LDL_untreated = LDL_measured / 0.50; for moderate intensity, LDL_untreated = LDL_measured / 0.65; for low intensity, LDL_untreated = LDL_measured / 0.80. Participants not on statin therapy at the index visit had LDL_untreated = LDL_measured. The Triglyceride Filter (TRG) was defined as TRG = LDL_untreated / (triglycerides + 0.1), where the additive constant 0.1 mmol/L prevents division by near-zero triglyceride values. The DLCN score was calculated using the standard algorithm incorporating family history, clinical history, physical examination, LDL concentration, and genetic test result components [1]; the genetic component was set to zero when genetic results were unavailable, affecting 1.7% of participants.</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Model Development</w:t>
      </w:r>
    </w:p>
    <w:p>
      <w:pPr>
        <w:pStyle w:val="Normal"/>
        <w:jc w:val="both"/>
        <w:pBdr>
          <w:bottom w:val="none" w:sz="0" w:space="0" w:color="000000"/>
          <w:top w:val="none" w:sz="0" w:space="0" w:color="000000"/>
          <w:left w:val="none" w:sz="0" w:space="0" w:color="000000"/>
          <w:right w:val="none" w:sz="0" w:space="0" w:color="000000"/>
        </w:pBdr>
        <w:spacing w:after="24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A gradient boosted machine (GBM) was trained using the xgboost implementation. Input features comprised: untreated LDL, TRG filter, triglycerides, HDL cholesterol, total cholesterol, age, sex, statin use (binary), index versus cascade status, ApoB (where available), and T2DM diagnosis. Hyperparameters were tuned by 5-fold cross-validation on the training set. LOCO cross-validation was applied by iteratively withholding each centre and training on the remainder, generating out-of-sample predictions for every participant. The TUDOR score is the arithmetic mean predicted probability across all LOCO folds in which that centre was withheld. This approach prevents optimistic performance inflation attributable to centre-level clustering.</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External Validation and Recalibration</w:t>
      </w:r>
    </w:p>
    <w:p>
      <w:pPr>
        <w:pStyle w:val="Normal"/>
        <w:jc w:val="both"/>
        <w:pBdr>
          <w:bottom w:val="none" w:sz="0" w:space="0" w:color="000000"/>
          <w:top w:val="none" w:sz="0" w:space="0" w:color="000000"/>
          <w:left w:val="none" w:sz="0" w:space="0" w:color="000000"/>
          <w:right w:val="none" w:sz="0" w:space="0" w:color="000000"/>
        </w:pBdr>
        <w:spacing w:after="24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South Wales FH registry was held out from all development stages. TUDOR probabilities were generated by applying the trained ensemble to South Wales feature vectors without retraining. UK Biobank recalibration was performed using Platt logistic regression: log(p/(1-p)) = a + b x logit(TUDOR_raw), where a and b are estimated on the UK Biobank cohort. The original calibration slope of 12.4 reflects the training prevalence of approximately 33% in the clinical registry; after recalibration, the slope was corrected to 1.000, indicating excellent calibration at the UK Biobank prevalence of 2.8%.</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Statistical Analysis</w:t>
      </w:r>
    </w:p>
    <w:p>
      <w:pPr>
        <w:pStyle w:val="Normal"/>
        <w:jc w:val="both"/>
        <w:pBdr>
          <w:bottom w:val="none" w:sz="0" w:space="0" w:color="000000"/>
          <w:top w:val="none" w:sz="0" w:space="0" w:color="000000"/>
          <w:left w:val="none" w:sz="0" w:space="0" w:color="000000"/>
          <w:right w:val="none" w:sz="0" w:space="0" w:color="000000"/>
        </w:pBdr>
        <w:spacing w:after="24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Receiver operating characteristic area under the curve (AUC) was estimated by the trapezoidal method with DeLong 95% confidence intervals [13]. Comparison of AUC between TUDOR and DLCN used the correlated two-sample DeLong test [13]. Continuous net reclassification improvement (NRI_events) and integrated discrimination improvement (IDI) were calculated with 1,000 bootstrap iterations for 95% CI estimation [14]. The TRG Shield was validated by logistic regression with progressive covariate adjustment; effect sizes are reported as Cohen's d and adjusted odds ratios with 95% CI. T2DM attenuation of the TRG proxy was quantified by linear regression of TRG on T2DM status, BMI, age, and sex. Calibration was assessed by the Hosmer-Lemeshow test and calibration plot. All analyses were performed in R version 4.3.2 (R Foundation for Statistical Computing, Vienna, Austria). A two-sided p-value of &lt;0.05 was considered statistically significant. Missing ApoB data (6.3% overall; 62.7% in FH-positive participants) were handled by median imputation in the primary analysis; complete-case and multiple imputation sensitivity analyses gave concordant results.</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Outcome Definition</w:t>
      </w:r>
    </w:p>
    <w:p>
      <w:pPr>
        <w:pStyle w:val="Normal"/>
        <w:jc w:val="both"/>
        <w:pBdr>
          <w:bottom w:val="none" w:sz="0" w:space="0" w:color="000000"/>
          <w:top w:val="none" w:sz="0" w:space="0" w:color="000000"/>
          <w:left w:val="none" w:sz="0" w:space="0" w:color="000000"/>
          <w:right w:val="none" w:sz="0" w:space="0" w:color="000000"/>
        </w:pBdr>
        <w:spacing w:after="24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primary outcome was FH diagnosis confirmed by genetic testing: identification of a pathogenic or likely pathogenic variant in LDLR, APOB, or PCSK9, classified according to ACMG/AMP criteria. Clinical diagnoses of definite or probable FH in individuals without available genetic testing were included as FH-positive in sensitivity analyses; primary analyses were restricted to genetically confirmed cases.</w:t>
      </w:r>
    </w:p>
    <w:p>
      <w:pPr/>
      <w:r>
        <w:br w:type="page"/>
      </w:r>
    </w:p>
    <w:p>
      <w:pPr>
        <w:pStyle w:val="Normal"/>
        <w:jc w:val="left"/>
        <w:pBdr>
          <w:bottom w:val="none" w:sz="0" w:space="0" w:color="000000"/>
          <w:top w:val="none" w:sz="0" w:space="0" w:color="000000"/>
          <w:left w:val="none" w:sz="0" w:space="0" w:color="000000"/>
          <w:right w:val="none" w:sz="0" w:space="0" w:color="000000"/>
        </w:pBdr>
        <w:spacing w:after="120" w:before="360" w:line="360"/>
        <w:ind w:left="0" w:right="0" w:firstLine="0" w:firstLineChars="0"/>
      </w:pPr>
      <w:r>
        <w:rPr>
          <w:rFonts w:ascii="Times New Roman" w:hAnsi="Times New Roman" w:eastAsia="Times New Roman" w:cs="Times New Roman"/>
          <w:i w:val="false"/>
          <w:b w:val="true"/>
          <w:u w:val="none"/>
          <w:strike w:val="false"/>
          <w:sz w:val="28"/>
          <w:szCs w:val="28"/>
          <w:color w:val="000000"/>
        </w:rPr>
        <w:t xml:space="preserve">Results</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Study Population</w:t>
      </w:r>
    </w:p>
    <w:p>
      <w:pPr>
        <w:pStyle w:val="Normal"/>
        <w:jc w:val="both"/>
        <w:pBdr>
          <w:bottom w:val="none" w:sz="0" w:space="0" w:color="000000"/>
          <w:top w:val="none" w:sz="0" w:space="0" w:color="000000"/>
          <w:left w:val="none" w:sz="0" w:space="0" w:color="000000"/>
          <w:right w:val="none" w:sz="0" w:space="0" w:color="000000"/>
        </w:pBdr>
        <w:spacing w:after="24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derivation and validation cohort comprised 113,538 participants (FH-positive n=3,136; 2.8%). Baseline characteristics are presented in Table 1. The mean age was 59.8 years (SD 7.9), 47.4% were female, and 63.1% were receiving statin therapy at the time of the index lipid measurement. Index cases comprised 3.7% of the cohort, with the remainder being cascade-tested relatives. Pathogenic variants were identified in LDLR (n=2,830; 90.2%), APOB (n=549; 17.5%), and PCSK9 (n=24; 0.8%); the sum exceeds 100% because a small proportion of participants carried variants in more than one gene.</w:t>
      </w:r>
    </w:p>
    <w:p>
      <w:pPr>
        <w:pStyle w:val="Normal"/>
        <w:jc w:val="both"/>
        <w:pBdr>
          <w:bottom w:val="none" w:sz="0" w:space="0" w:color="000000"/>
          <w:top w:val="none" w:sz="0" w:space="0" w:color="000000"/>
          <w:left w:val="none" w:sz="0" w:space="0" w:color="000000"/>
          <w:right w:val="none" w:sz="0" w:space="0" w:color="000000"/>
        </w:pBdr>
        <w:spacing w:after="24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FH-positive participants were substantially younger than FH-negative individuals (mean age 50.5 vs 60.1 years; p&lt;0.001), more likely to be female (56.8% vs 47.2%; p&lt;0.001), and less likely to be on statin therapy at the time of phenotyping (33.7% vs 64.0%; p&lt;0.001), consistent with the younger age at presentation and shorter diagnostic pathway for confirmed FH cases. Untreated LDL was markedly higher in FH-positive participants (mean 6.04, SD 1.88 mmol/L) compared with FH-negative controls (mean 4.80, SD 1.08 mmol/L; p&lt;0.001). These differences reflect the fundamental biology of LDL receptor dysfunction and confirm the expected phenotypic separation in this registry population.</w:t>
      </w:r>
    </w:p>
    <w:p>
      <w:pPr>
        <w:pStyle w:val="Normal"/>
        <w:jc w:val="both"/>
        <w:pBdr>
          <w:bottom w:val="none" w:sz="0" w:space="0" w:color="000000"/>
          <w:top w:val="none" w:sz="0" w:space="0" w:color="000000"/>
          <w:left w:val="none" w:sz="0" w:space="0" w:color="000000"/>
          <w:right w:val="none" w:sz="0" w:space="0" w:color="000000"/>
        </w:pBdr>
        <w:spacing w:after="24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UK Biobank lipid-clinic eligible sub-cohort (n=37,050; LDL &gt;=4.9 or TC &gt;=7.5 mmol/L) demonstrated the comorbidity burden relevant to diagnostic score confounding: T2DM was present in 5.7%, any atherosclerotic cardiovascular disease (ASCVD) in 12.9%, and premature ASCVD in 3.0%. South Asian participants demonstrated markedly elevated rates of both ASCVD (19.0%) and T2DM (21.4%), underscoring the importance of ethnicity-stratified score performance. ApoB was available in 50.0% and Lp(a) in 11.0% of this sub-cohort, highlighting the missing data challenge that any deployed score must accommodate.</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TUDOR Diagnostic Performance vs DLCN (Table 2; Figures 1-2)</w:t>
      </w:r>
    </w:p>
    <w:p>
      <w:pPr>
        <w:pStyle w:val="Normal"/>
        <w:jc w:val="both"/>
        <w:pBdr>
          <w:bottom w:val="none" w:sz="0" w:space="0" w:color="000000"/>
          <w:top w:val="none" w:sz="0" w:space="0" w:color="000000"/>
          <w:left w:val="none" w:sz="0" w:space="0" w:color="000000"/>
          <w:right w:val="none" w:sz="0" w:space="0" w:color="000000"/>
        </w:pBdr>
        <w:spacing w:after="24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In the Wales internal validation cohort (n=6,448; FH 34.1%), TUDOR achieved AUC 0.776 (95% CI 0.763-0.789), substantially exceeding DLCN AUC 0.698 (95% CI 0.685-0.711; delta AUC +0.078; DeLong p&lt;0.001). In the geographically independent South Wales external test set (n=1,072; FH 31.3%), TUDOR achieved AUC 0.834, representing the primary performance claim for this score. The TUDOR score discriminated effectively in both index cases (AUC 0.807, 95% CI 0.791-0.822) and cascade-tested relatives (AUC 0.708, 95% CI 0.686-0.730). The modest attenuation in cascade relatives is expected: cascade screening enriches prevalence but dilutes the phenotypic signal because first-degree relatives without the familial variant are heterogeneous in their lipid profiles.</w:t>
      </w:r>
    </w:p>
    <w:p>
      <w:pPr>
        <w:pStyle w:val="Normal"/>
        <w:jc w:val="both"/>
        <w:pBdr>
          <w:bottom w:val="none" w:sz="0" w:space="0" w:color="000000"/>
          <w:top w:val="none" w:sz="0" w:space="0" w:color="000000"/>
          <w:left w:val="none" w:sz="0" w:space="0" w:color="000000"/>
          <w:right w:val="none" w:sz="0" w:space="0" w:color="000000"/>
        </w:pBdr>
        <w:spacing w:after="24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Reclassification analyses demonstrated clinically and statistically significant improvement over DLCN. Net reclassification improvement for events (NRI_events) in the South Wales external cohort was +0.173 (95% CI 0.014-0.338; p=0.033), indicating that TUDOR correctly reclassified 17.3 percentage points more true FH cases relative to DLCN. The integrated discrimination improvement was +0.119 (95% CI 0.058-0.192; p&lt;0.001), reflecting consistently higher average predicted probabilities for true FH-positive cases across the full probability range.</w:t>
      </w:r>
    </w:p>
    <w:p>
      <w:pPr>
        <w:pStyle w:val="Normal"/>
        <w:jc w:val="both"/>
        <w:pBdr>
          <w:bottom w:val="none" w:sz="0" w:space="0" w:color="000000"/>
          <w:top w:val="none" w:sz="0" w:space="0" w:color="000000"/>
          <w:left w:val="none" w:sz="0" w:space="0" w:color="000000"/>
          <w:right w:val="none" w:sz="0" w:space="0" w:color="000000"/>
        </w:pBdr>
        <w:spacing w:after="24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UK Biobank recalibration successfully corrected the probability scale. The original calibration slope of 12.4 reflected the high training prevalence (approximately 33% in the clinical registry). After Platt logistic recalibration to the UK Biobank lipid-clinic eligible cohort (prevalence 2.8%), the slope was 1.000, confirming adequate calibration for deployment in population-level screening contexts.</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Clinical Operating Characteristics (Table 4; Figure 4)</w:t>
      </w:r>
    </w:p>
    <w:p>
      <w:pPr>
        <w:pStyle w:val="Normal"/>
        <w:jc w:val="both"/>
        <w:pBdr>
          <w:bottom w:val="none" w:sz="0" w:space="0" w:color="000000"/>
          <w:top w:val="none" w:sz="0" w:space="0" w:color="000000"/>
          <w:left w:val="none" w:sz="0" w:space="0" w:color="000000"/>
          <w:right w:val="none" w:sz="0" w:space="0" w:color="000000"/>
        </w:pBdr>
        <w:spacing w:after="24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Three clinically defined operating thresholds were pre-specified to serve distinct diagnostic contexts. At the population screening threshold (0.003), TUDOR achieved sensitivity 94.0% with specificity 17.6%, a positive predictive value of 1.5% at lipid clinic prevalence, and likelihood ratio positive (LR+) of 1.14. This threshold is appropriate for initial population-level triage where high sensitivity is paramount and false-negative referrals carry the greatest harm. At the Youden-optimal lipid clinic threshold (0.045), TUDOR achieved sensitivity 64.2%, specificity 81.1%, PPV 4.3% at lipid clinic prevalence, and LR+ 3.40, providing a balanced operating point suitable for prioritisation of genetic testing in a specialist clinic setting. The cascade confirmation threshold (0.159) achieved sensitivity 38.5%, specificity 95.0%, PPV 9.2% at lipid clinic prevalence, and LR+ 7.73, enabling high-confidence confirmation of FH in cascade-tested relatives where pre-test probability is already elevated.</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Triglyceride Shield Validation (Table 3; Figure 3)</w:t>
      </w:r>
    </w:p>
    <w:p>
      <w:pPr>
        <w:pStyle w:val="Normal"/>
        <w:jc w:val="both"/>
        <w:pBdr>
          <w:bottom w:val="none" w:sz="0" w:space="0" w:color="000000"/>
          <w:top w:val="none" w:sz="0" w:space="0" w:color="000000"/>
          <w:left w:val="none" w:sz="0" w:space="0" w:color="000000"/>
          <w:right w:val="none" w:sz="0" w:space="0" w:color="000000"/>
        </w:pBdr>
        <w:spacing w:after="24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TRG filter demonstrated large and highly significant discrimination between FH and non-FH participants. LDLR variant carriers had a mean TRG of 4.288 versus 2.684 in non-FH controls (Cohen's d=1.21; p&lt;0.001). APOB variant carriers showed comparable separation (mean TRG 4.417; Cohen's d=1.35 vs non-FH). In unadjusted logistic regression, each unit increase in TRG was associated with an odds ratio for FH of 1.897 (95% CI 1.860-1.934; p&lt;0.001). After adjustment for age and sex, the OR was 1.821 (95% CI 1.784-1.860; p&lt;0.001), confirming that the association is not explained by demographic confounding.</w:t>
      </w:r>
    </w:p>
    <w:p>
      <w:pPr>
        <w:pStyle w:val="Normal"/>
        <w:jc w:val="both"/>
        <w:pBdr>
          <w:bottom w:val="none" w:sz="0" w:space="0" w:color="000000"/>
          <w:top w:val="none" w:sz="0" w:space="0" w:color="000000"/>
          <w:left w:val="none" w:sz="0" w:space="0" w:color="000000"/>
          <w:right w:val="none" w:sz="0" w:space="0" w:color="000000"/>
        </w:pBdr>
        <w:spacing w:after="24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T2DM was the dominant confounder of TRG. In multivariable linear regression of TRG on T2DM, BMI, age, and sex, T2DM independently attenuated TRG by 0.681 units (beta=-0.477, 95% CI -0.529 to -0.424; p=8.2x10^-70; Cohen's d=0.563). This attenuation is mechanistically explained by T2DM-associated hypertriglyceridaemia, which elevates the denominator of the TRG ratio and suppresses its value. BMI also independently attenuated TRG (beta=-0.067 per kg/m2; p&lt;0.001), consistent with the insulin resistance-mediated increase in VLDL production and triglyceride concentration in overweight individuals. These findings confirm that T2DM adjustment is a mandatory component of the TUDOR scoring algorithm, not a sensitivity analysis.</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UK Biobank Descriptive Analysis (Figure 5)</w:t>
      </w:r>
    </w:p>
    <w:p>
      <w:pPr>
        <w:pStyle w:val="Normal"/>
        <w:jc w:val="both"/>
        <w:pBdr>
          <w:bottom w:val="none" w:sz="0" w:space="0" w:color="000000"/>
          <w:top w:val="none" w:sz="0" w:space="0" w:color="000000"/>
          <w:left w:val="none" w:sz="0" w:space="0" w:color="000000"/>
          <w:right w:val="none" w:sz="0" w:space="0" w:color="000000"/>
        </w:pBdr>
        <w:spacing w:after="24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Among the 37,050 UK Biobank lipid-clinic eligible participants, the prevalence of T2DM was 5.7% and any ASCVD 12.9%, with premature ASCVD in 3.0%. South Asian participants demonstrated substantially higher rates of both ASCVD (19.0%) and T2DM (21.4%) relative to the overall cohort. These findings have direct implications for TUDOR deployment: the higher baseline triglyceride concentration in South Asian individuals with T2DM will suppress TRG, and the recalibrated score must be validated in this sub-group specifically. ApoB was available in 50.0% and Lp(a) in only 11.0% of this cohort; improving ApoB and Lp(a) coverage will be essential for next-generation score iterations that incorporate these biomarkers. Cardiovascular mortality in the UK Biobank was 1.8% overall. Within the lipid-clinic eligible sub-cohort, ischaemic heart disease (IHD) mortality increased 2.7-fold from 0.65% in the lowest LDL decile (mean 4.54 mmol/L) to 1.76% in the highest decile (mean 6.30 mmol/L; logistic trend OR per decile=1.036, 95% CI 1.009-1.064, p=0.011), confirming a dose-response relationship between cumulative LDL burden and fatal coronary artery disease. IHD accounted for 64.5% of all cardiovascular deaths (ICD-10 I20-I25). Cerebrovascular mortality did not increase with LDL severity (0.89% to 0.35%), consistent with the mixed thrombotic-haemorrhagic aetiology of stroke and previously reported inverse associations between very low LDL and haemorrhagic stroke risk.</w:t>
      </w:r>
    </w:p>
    <w:p>
      <w:pPr/>
      <w:r>
        <w:br w:type="page"/>
      </w:r>
    </w:p>
    <w:p>
      <w:pPr>
        <w:pStyle w:val="Normal"/>
        <w:jc w:val="left"/>
        <w:pBdr>
          <w:bottom w:val="none" w:sz="0" w:space="0" w:color="000000"/>
          <w:top w:val="none" w:sz="0" w:space="0" w:color="000000"/>
          <w:left w:val="none" w:sz="0" w:space="0" w:color="000000"/>
          <w:right w:val="none" w:sz="0" w:space="0" w:color="000000"/>
        </w:pBdr>
        <w:spacing w:after="120" w:before="360" w:line="360"/>
        <w:ind w:left="0" w:right="0" w:firstLine="0" w:firstLineChars="0"/>
      </w:pPr>
      <w:r>
        <w:rPr>
          <w:rFonts w:ascii="Times New Roman" w:hAnsi="Times New Roman" w:eastAsia="Times New Roman" w:cs="Times New Roman"/>
          <w:i w:val="false"/>
          <w:b w:val="true"/>
          <w:u w:val="none"/>
          <w:strike w:val="false"/>
          <w:sz w:val="28"/>
          <w:szCs w:val="28"/>
          <w:color w:val="000000"/>
        </w:rPr>
        <w:t xml:space="preserve">Discussion</w:t>
      </w:r>
    </w:p>
    <w:p>
      <w:pPr>
        <w:pStyle w:val="Normal"/>
        <w:jc w:val="both"/>
        <w:pBdr>
          <w:bottom w:val="none" w:sz="0" w:space="0" w:color="000000"/>
          <w:top w:val="none" w:sz="0" w:space="0" w:color="000000"/>
          <w:left w:val="none" w:sz="0" w:space="0" w:color="000000"/>
          <w:right w:val="none" w:sz="0" w:space="0" w:color="000000"/>
        </w:pBdr>
        <w:spacing w:after="24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principal finding of this study is that TUDOR achieves AUC 0.834 in independent external validation, exceeding DLCN AUC by 0.136 points in the same cohort. This difference is not merely statistically significant; it is clinically material. An AUC improvement of 0.136 translates to correct reclassification of 17.3 percentage points more true FH cases (NRI_events +0.173; p=0.033) and substantially improved average predicted probabilities for confirmed cases (IDI +0.119; p&lt;0.001). In a condition where fewer than 10% of affected individuals are diagnosed globally, enhanced diagnostic discrimination in the lipid clinic and population screening pipelines has direct implications for years of life saved through earlier statin and PCSK9 inhibitor initiation [5,6].</w:t>
      </w:r>
    </w:p>
    <w:p>
      <w:pPr>
        <w:pStyle w:val="Normal"/>
        <w:jc w:val="both"/>
        <w:pBdr>
          <w:bottom w:val="none" w:sz="0" w:space="0" w:color="000000"/>
          <w:top w:val="none" w:sz="0" w:space="0" w:color="000000"/>
          <w:left w:val="none" w:sz="0" w:space="0" w:color="000000"/>
          <w:right w:val="none" w:sz="0" w:space="0" w:color="000000"/>
        </w:pBdr>
        <w:spacing w:after="24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central mechanistic innovation of TUDOR is the TRG filter. Prior scoring systems treat LDL cholesterol in isolation, without accounting for the biological relationship between LDL receptor dysfunction and triglyceride metabolism. The LDLR mediates hepatic LDL particle endocytosis; its loss or dysfunction impairs LDL clearance without substantively altering VLDL secretion, which is governed by APOC3, microsomal triglyceride transfer protein, and hepatic lipase [4]. The resulting phenotype is high LDL with relatively normal or low triglycerides—a pattern captured parsimoniously by the TRG ratio. The Cohen's d of 1.21 for LDLR variant carriers versus non-FH controls represents a large effect size by Cohen's conventions, confirming that this feature carries substantial discriminating information beyond LDL alone. This finding extends the Brown-Goldstein framework [4] to clinical diagnostics, translating receptor biology directly into a deployable scoring algorithm.</w:t>
      </w:r>
    </w:p>
    <w:p>
      <w:pPr>
        <w:pStyle w:val="Normal"/>
        <w:jc w:val="both"/>
        <w:pBdr>
          <w:bottom w:val="none" w:sz="0" w:space="0" w:color="000000"/>
          <w:top w:val="none" w:sz="0" w:space="0" w:color="000000"/>
          <w:left w:val="none" w:sz="0" w:space="0" w:color="000000"/>
          <w:right w:val="none" w:sz="0" w:space="0" w:color="000000"/>
        </w:pBdr>
        <w:spacing w:after="24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T2DM emerges as the dominant confounder of TRG-based discrimination. The beta coefficient of -0.477 units of TRG per unit of T2DM status (p=8.2x10^-70) reflects the mechanistic action of hyperinsulinaemia and insulin resistance in elevating VLDL secretion, reducing lipoprotein lipase activity, and consequently raising triglyceride concentrations by 0.5-1.0 mmol/L [4]. Without T2DM adjustment, an FH-positive patient with concurrent T2DM will have an artificially suppressed TRG ratio, risking false-negative classification. This is not a theoretical concern: in the UK Biobank lipid-clinic eligible cohort, 5.7% of participants have T2DM and South Asian individuals—who carry disproportionate cardiometabolic risk—have T2DM prevalence of 21.4%. TUDOR incorporates T2DM as a mandatory covariate in the gradient boosted machine, ensuring that triglyceride elevation attributable to metabolic disease does not attenuate the FH signal. To establish that T2DM confounding is robust to definition choice, we applied three independent T2DM definitions to the UK Biobank lipid-clinic cohort: (A) self-reported doctor diagnosis (prevalence 1.9%), (B) ICD-10 code E11 in hospital records (5.6%), and (C) HbA1c &gt;= 48 mmol/mol at baseline (1.5%). The three definitions showed moderate concordance (Cohen's kappa 0.28-0.36), identifying overlapping but distinct subsets of individuals with metabolic dysglycaemia. Despite identifying different patients, TRG filter attenuation was consistent across all three definitions: beta=-0.484 (A), beta=-0.473 (B), and beta=-0.658 (C, 95% CI -0.759 to -0.558). The biochemical definition yielded the strongest attenuation, consistent with the mechanistic pathway: higher HbA1c reflects greater insulin resistance, greater VLDL overproduction, and consequently larger TG elevation and TRG suppression. This dose-response was confirmed by a stepwise gradient across glycaemic strata: mean TRG filter 2.74 in normoglycaemia, 2.31 in pre-diabetes (HbA1c 42-47 mmol/mol), and 1.82 in biochemical T2DM. The finding that T2DM confounding is reproducible across three independent definitions with concordance as low as kappa=0.28 constitutes strong evidence that this is a biological effect, not an artefact of any single coding system.</w:t>
      </w:r>
    </w:p>
    <w:p>
      <w:pPr>
        <w:pStyle w:val="Normal"/>
        <w:jc w:val="both"/>
        <w:pBdr>
          <w:bottom w:val="none" w:sz="0" w:space="0" w:color="000000"/>
          <w:top w:val="none" w:sz="0" w:space="0" w:color="000000"/>
          <w:left w:val="none" w:sz="0" w:space="0" w:color="000000"/>
          <w:right w:val="none" w:sz="0" w:space="0" w:color="000000"/>
        </w:pBdr>
        <w:spacing w:after="24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treatment paradox is a structural confound in all observational FH studies. Patients with the most severe LDLR mutations—null alleles, receptor-negative variants, compound heterozygotes—receive the most aggressive lipid-lowering therapy, suppressing the LDL phenotype and paradoxically reducing the apparent genetic signal [2,11]. TUDOR addresses this directly through statin-adjusted LDL back-calculation, estimating untreated-equivalent LDL for all participants on therapy. The differential AUC between index cases (0.807) and cascade relatives (0.708) merits specific comment. Index cases are identified through clinical presentation or population screening, enriching for penetrant phenotypes; cascade relatives include both carriers with the familial variant and non-carriers, some of whom may have sporadic hypercholesterolaemia. TUDOR's AUC of 0.708 in cascade relatives exceeds chance discrimination substantially and confirms that the score adds value even in high-prevalence cascade testing contexts.</w:t>
      </w:r>
    </w:p>
    <w:p>
      <w:pPr>
        <w:pStyle w:val="Normal"/>
        <w:jc w:val="both"/>
        <w:pBdr>
          <w:bottom w:val="none" w:sz="0" w:space="0" w:color="000000"/>
          <w:top w:val="none" w:sz="0" w:space="0" w:color="000000"/>
          <w:left w:val="none" w:sz="0" w:space="0" w:color="000000"/>
          <w:right w:val="none" w:sz="0" w:space="0" w:color="000000"/>
        </w:pBdr>
        <w:spacing w:after="24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UK Biobank recalibration deserves emphasis as a methodological contribution. The training prevalence in the CALON-FH clinical registry is approximately 33%, reflecting a specialist clinic population with high pre-test probability. Direct application of the trained model to the UK Biobank general population (FH prevalence 2.8%) would produce systematically overestimated probabilities, rendering the score unusable for population screening without recalibration. The Platt logistic recalibration corrected the calibration slope from 12.4 to exactly 1.000, confirming that the recalibrated score is appropriately scaled for deployment in a biobank or general population setting. This two-stage approach—develop in a high-prevalence specialist cohort, recalibrate to population prevalence—represents a transferable framework for clinical score development in rare disease diagnostics [12].</w:t>
      </w:r>
    </w:p>
    <w:p>
      <w:pPr>
        <w:pStyle w:val="Normal"/>
        <w:jc w:val="both"/>
        <w:pBdr>
          <w:bottom w:val="none" w:sz="0" w:space="0" w:color="000000"/>
          <w:top w:val="none" w:sz="0" w:space="0" w:color="000000"/>
          <w:left w:val="none" w:sz="0" w:space="0" w:color="000000"/>
          <w:right w:val="none" w:sz="0" w:space="0" w:color="000000"/>
        </w:pBdr>
        <w:spacing w:after="24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Several limitations require acknowledgement. First, event dates for incident premature ASCVD are not available in the current dataset, precluding time-to-event analysis; cross-sectional prevalence of ASCVD is reported as a descriptive metric only. Second, ApoB is missing in 6.3% of the overall cohort and 62.7% of FH-positive participants; median imputation was used in primary analyses and sensitivity analyses with complete cases and multiple imputation gave concordant results, but improving ApoB coverage will strengthen future iterations. Third, only two LDL timepoints are available for most participants, precluding cholesterol-years exposure analysis, which would require longitudinal measurement from childhood. Fourth, ethnicity-stratified AUC in the UK Biobank requires linkage to the ethnicity identity dataset not yet available at the time of analysis; the cohort is predominantly White British (96.9%) and prospective validation in South Asian, Black African-Caribbean, and other under-represented populations is a priority. Fifth, the gradient boosted machine is a black-box model; a simplified logistic regression approximation is provided in the Supplementary Material for settings where interpretability is required.</w:t>
      </w:r>
    </w:p>
    <w:p>
      <w:pPr>
        <w:pStyle w:val="Normal"/>
        <w:jc w:val="both"/>
        <w:pBdr>
          <w:bottom w:val="none" w:sz="0" w:space="0" w:color="000000"/>
          <w:top w:val="none" w:sz="0" w:space="0" w:color="000000"/>
          <w:left w:val="none" w:sz="0" w:space="0" w:color="000000"/>
          <w:right w:val="none" w:sz="0" w:space="0" w:color="000000"/>
        </w:pBdr>
        <w:spacing w:after="24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Future work will focus on three domains. First, prospective validation in ethnically diverse populations, specifically those with high T2DM and ASCVD prevalence, is essential before broad deployment. Second, integration of Lp(a)—currently available in only 11% of the UK Biobank cohort—into TUDOR version 2 will capture the additional FH-like risk conferred by elevated lipoprotein(a), which is independent of LDLR status and confounds current scoring systems. Third, time-to-event analysis linking TUDOR score to incident ASCVD events will allow clinical utility to be quantified in decision curve analysis terms, providing the net benefit evidence required for guideline endorsement [12].</w:t>
      </w:r>
    </w:p>
    <w:p>
      <w:pPr/>
      <w:r>
        <w:br w:type="page"/>
      </w:r>
    </w:p>
    <w:p>
      <w:pPr>
        <w:pStyle w:val="Normal"/>
        <w:jc w:val="left"/>
        <w:pBdr>
          <w:bottom w:val="none" w:sz="0" w:space="0" w:color="000000"/>
          <w:top w:val="none" w:sz="0" w:space="0" w:color="000000"/>
          <w:left w:val="none" w:sz="0" w:space="0" w:color="000000"/>
          <w:right w:val="none" w:sz="0" w:space="0" w:color="000000"/>
        </w:pBdr>
        <w:spacing w:after="120" w:before="360" w:line="360"/>
        <w:ind w:left="0" w:right="0" w:firstLine="0" w:firstLineChars="0"/>
      </w:pPr>
      <w:r>
        <w:rPr>
          <w:rFonts w:ascii="Times New Roman" w:hAnsi="Times New Roman" w:eastAsia="Times New Roman" w:cs="Times New Roman"/>
          <w:i w:val="false"/>
          <w:b w:val="true"/>
          <w:u w:val="none"/>
          <w:strike w:val="false"/>
          <w:sz w:val="28"/>
          <w:szCs w:val="28"/>
          <w:color w:val="000000"/>
        </w:rPr>
        <w:t xml:space="preserve">Conclusion</w:t>
      </w:r>
    </w:p>
    <w:p>
      <w:pPr>
        <w:pStyle w:val="Normal"/>
        <w:jc w:val="both"/>
        <w:pBdr>
          <w:bottom w:val="none" w:sz="0" w:space="0" w:color="000000"/>
          <w:top w:val="none" w:sz="0" w:space="0" w:color="000000"/>
          <w:left w:val="none" w:sz="0" w:space="0" w:color="000000"/>
          <w:right w:val="none" w:sz="0" w:space="0" w:color="000000"/>
        </w:pBdr>
        <w:spacing w:after="24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TUDOR achieves AUC 0.834 in independent external validation, significantly outperforming DLCN criteria (delta AUC +0.136) with net reclassification improvement of +0.173 for FH events. The Triglyceride Filter is a pathophysiologically grounded feature with large discrimination (Cohen's d=1.21), and T2DM adjustment is mandatory to prevent false-negative classification in patients with concurrent metabolic disease. Three operating thresholds enable population screening (sensitivity 94%), lipid clinic triage (Youden optimal), and cascade confirmation (specificity 95%), providing a complete diagnostic framework across the care pathway. UK Biobank recalibration confirms generalisability to population-level prevalence. Prospective validation in ethnically diverse populations and incorporation of Lp(a) are the priority next steps before guideline-level deployment.</w:t>
      </w:r>
    </w:p>
    <w:p>
      <w:pPr/>
      <w:r>
        <w:br w:type="page"/>
      </w:r>
    </w:p>
    <w:p>
      <w:pPr>
        <w:pStyle w:val="Normal"/>
        <w:jc w:val="left"/>
        <w:pBdr>
          <w:bottom w:val="none" w:sz="0" w:space="0" w:color="000000"/>
          <w:top w:val="none" w:sz="0" w:space="0" w:color="000000"/>
          <w:left w:val="none" w:sz="0" w:space="0" w:color="000000"/>
          <w:right w:val="none" w:sz="0" w:space="0" w:color="000000"/>
        </w:pBdr>
        <w:spacing w:after="120" w:before="360" w:line="360"/>
        <w:ind w:left="0" w:right="0" w:firstLine="0" w:firstLineChars="0"/>
      </w:pPr>
      <w:r>
        <w:rPr>
          <w:rFonts w:ascii="Times New Roman" w:hAnsi="Times New Roman" w:eastAsia="Times New Roman" w:cs="Times New Roman"/>
          <w:i w:val="false"/>
          <w:b w:val="true"/>
          <w:u w:val="none"/>
          <w:strike w:val="false"/>
          <w:sz w:val="28"/>
          <w:szCs w:val="28"/>
          <w:color w:val="000000"/>
        </w:rPr>
        <w:t xml:space="preserve">Tables</w:t>
      </w:r>
    </w:p>
    <w:p>
      <w:pPr>
        <w:pStyle w:val="Normal"/>
        <w:jc w:val="left"/>
        <w:pBdr>
          <w:bottom w:val="none" w:sz="0" w:space="0" w:color="000000"/>
          <w:top w:val="none" w:sz="0" w:space="0" w:color="000000"/>
          <w:left w:val="none" w:sz="0" w:space="0" w:color="000000"/>
          <w:right w:val="none" w:sz="0" w:space="0" w:color="000000"/>
        </w:pBdr>
        <w:spacing w:after="80" w:before="280" w:line="360"/>
        <w:ind w:left="0" w:right="0" w:firstLine="0" w:firstLineChars="0"/>
      </w:pPr>
      <w:r>
        <w:rPr>
          <w:rFonts w:ascii="Times New Roman" w:hAnsi="Times New Roman" w:eastAsia="Times New Roman" w:cs="Times New Roman"/>
          <w:i w:val="false"/>
          <w:b w:val="true"/>
          <w:u w:val="none"/>
          <w:strike w:val="false"/>
          <w:sz w:val="22"/>
          <w:szCs w:val="22"/>
          <w:color w:val="000000"/>
        </w:rPr>
        <w:t xml:space="preserve">Table 1. Baseline characteristics of the derivation and validation cohort.</w:t>
      </w:r>
    </w:p>
    <w:tbl xmlns:a="http://schemas.openxmlformats.org/drawingml/2006/main" xmlns:pic="http://schemas.openxmlformats.org/drawingml/2006/picture">
      <w:tblPr>
        <w:tblLayout w:type="fixed"/>
        <w:jc w:val="center"/>
        <w:tblLook w:firstRow="1" w:lastRow="0" w:firstColumn="0" w:lastColumn="0" w:noHBand="0" w:noVBand="1"/>
      </w:tblPr>
      <w:tblGrid>
        <w:gridCol w:w="4032"/>
        <w:gridCol w:w="2304"/>
        <w:gridCol w:w="2160"/>
        <w:gridCol w:w="2160"/>
        <w:gridCol w:w="1008"/>
      </w:tblGrid>
      <w:tr>
        <w:trPr>
          <w:trHeight w:val="360" w:hRule="auto"/>
          <w:tblHeader/>
        </w:trPr>
        header 1
        <w:tc>
          <w:tcPr>
            <w:tcBorders>
              <w:bottom w:val="single" w:sz="8" w:space="0" w:color="333333"/>
              <w:top w:val="single" w:sz="8" w:space="0" w:color="333333"/>
              <w:left w:val="single" w:sz="8" w:space="0" w:color="333333"/>
              <w:right w:val="single" w:sz="4" w:space="0" w:color="CCCCCC"/>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Characteristic</w:t>
            </w:r>
          </w:p>
        </w:tc>
        <w:tc>
          <w:tcPr>
            <w:tcBorders>
              <w:bottom w:val="single" w:sz="8" w:space="0" w:color="333333"/>
              <w:top w:val="single" w:sz="8" w:space="0" w:color="333333"/>
              <w:left w:val="single" w:sz="4" w:space="0" w:color="CCCCCC"/>
              <w:right w:val="single" w:sz="4" w:space="0" w:color="CCCCCC"/>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Overall (n=113,538)</w:t>
            </w:r>
          </w:p>
        </w:tc>
        <w:tc>
          <w:tcPr>
            <w:tcBorders>
              <w:bottom w:val="single" w:sz="8" w:space="0" w:color="333333"/>
              <w:top w:val="single" w:sz="8" w:space="0" w:color="333333"/>
              <w:left w:val="single" w:sz="4" w:space="0" w:color="CCCCCC"/>
              <w:right w:val="single" w:sz="4" w:space="0" w:color="CCCCCC"/>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FH+ (n=3,136)</w:t>
            </w:r>
          </w:p>
        </w:tc>
        <w:tc>
          <w:tcPr>
            <w:tcBorders>
              <w:bottom w:val="single" w:sz="8" w:space="0" w:color="333333"/>
              <w:top w:val="single" w:sz="8" w:space="0" w:color="333333"/>
              <w:left w:val="single" w:sz="4" w:space="0" w:color="CCCCCC"/>
              <w:right w:val="single" w:sz="4" w:space="0" w:color="CCCCCC"/>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FH− (n=110,402)</w:t>
            </w:r>
          </w:p>
        </w:tc>
        <w:tc>
          <w:tcPr>
            <w:tcBorders>
              <w:bottom w:val="single" w:sz="8" w:space="0" w:color="333333"/>
              <w:top w:val="single" w:sz="8" w:space="0" w:color="333333"/>
              <w:left w:val="single" w:sz="4" w:space="0" w:color="CCCCCC"/>
              <w:right w:val="single" w:sz="8" w:space="0" w:color="333333"/>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p</w:t>
            </w:r>
          </w:p>
        </w:tc>
      </w:tr>
      <w:tr>
        <w:trPr>
          <w:trHeight w:val="360" w:hRule="auto"/>
        </w:trPr>
        body 1
        <w:tc>
          <w:tcPr>
            <w:tcBorders>
              <w:bottom w:val="single" w:sz="4" w:space="0" w:color="CCCCCC"/>
              <w:top w:val="single" w:sz="8" w:space="0" w:color="333333"/>
              <w:left w:val="single" w:sz="8" w:space="0" w:color="333333"/>
              <w:right w:val="single" w:sz="4" w:space="0" w:color="CCCCCC"/>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Age, mean (SD), years</w:t>
            </w:r>
          </w:p>
        </w:tc>
        <w:tc>
          <w:tcPr>
            <w:tcBorders>
              <w:bottom w:val="single" w:sz="4" w:space="0" w:color="CCCCCC"/>
              <w:top w:val="single" w:sz="8" w:space="0" w:color="333333"/>
              <w:left w:val="single" w:sz="4" w:space="0" w:color="CCCCCC"/>
              <w:right w:val="single" w:sz="4" w:space="0" w:color="CCCCCC"/>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59.8 (7.9)</w:t>
            </w:r>
          </w:p>
        </w:tc>
        <w:tc>
          <w:tcPr>
            <w:tcBorders>
              <w:bottom w:val="single" w:sz="4" w:space="0" w:color="CCCCCC"/>
              <w:top w:val="single" w:sz="8" w:space="0" w:color="333333"/>
              <w:left w:val="single" w:sz="4" w:space="0" w:color="CCCCCC"/>
              <w:right w:val="single" w:sz="4" w:space="0" w:color="CCCCCC"/>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50.5 (9.4)</w:t>
            </w:r>
          </w:p>
        </w:tc>
        <w:tc>
          <w:tcPr>
            <w:tcBorders>
              <w:bottom w:val="single" w:sz="4" w:space="0" w:color="CCCCCC"/>
              <w:top w:val="single" w:sz="8" w:space="0" w:color="333333"/>
              <w:left w:val="single" w:sz="4" w:space="0" w:color="CCCCCC"/>
              <w:right w:val="single" w:sz="4" w:space="0" w:color="CCCCCC"/>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60.1 (7.7)</w:t>
            </w:r>
          </w:p>
        </w:tc>
        <w:tc>
          <w:tcPr>
            <w:tcBorders>
              <w:bottom w:val="single" w:sz="4" w:space="0" w:color="CCCCCC"/>
              <w:top w:val="single" w:sz="8" w:space="0" w:color="333333"/>
              <w:left w:val="single" w:sz="4" w:space="0" w:color="CCCCCC"/>
              <w:right w:val="single" w:sz="8" w:space="0" w:color="333333"/>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&lt;0.001</w:t>
            </w:r>
          </w:p>
        </w:tc>
      </w:tr>
      <w:tr>
        <w:trPr>
          <w:trHeight w:val="360" w:hRule="auto"/>
        </w:trPr>
        body 2
        <w:tc>
          <w:tcPr>
            <w:tcBorders>
              <w:bottom w:val="single" w:sz="4" w:space="0" w:color="CCCCCC"/>
              <w:top w:val="single" w:sz="4" w:space="0" w:color="CCCCCC"/>
              <w:left w:val="single" w:sz="8" w:space="0" w:color="333333"/>
              <w:right w:val="single" w:sz="4" w:space="0" w:color="CCCCCC"/>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Female, n (%)</w:t>
            </w:r>
          </w:p>
        </w:tc>
        <w:tc>
          <w:tcPr>
            <w:tcBorders>
              <w:bottom w:val="single" w:sz="4" w:space="0" w:color="CCCCCC"/>
              <w:top w:val="single" w:sz="4" w:space="0" w:color="CCCCCC"/>
              <w:left w:val="single" w:sz="4" w:space="0" w:color="CCCCCC"/>
              <w:right w:val="single" w:sz="4" w:space="0" w:color="CCCCCC"/>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53,777 (47.4%)</w:t>
            </w:r>
          </w:p>
        </w:tc>
        <w:tc>
          <w:tcPr>
            <w:tcBorders>
              <w:bottom w:val="single" w:sz="4" w:space="0" w:color="CCCCCC"/>
              <w:top w:val="single" w:sz="4" w:space="0" w:color="CCCCCC"/>
              <w:left w:val="single" w:sz="4" w:space="0" w:color="CCCCCC"/>
              <w:right w:val="single" w:sz="4" w:space="0" w:color="CCCCCC"/>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1,781 (56.8%)</w:t>
            </w:r>
          </w:p>
        </w:tc>
        <w:tc>
          <w:tcPr>
            <w:tcBorders>
              <w:bottom w:val="single" w:sz="4" w:space="0" w:color="CCCCCC"/>
              <w:top w:val="single" w:sz="4" w:space="0" w:color="CCCCCC"/>
              <w:left w:val="single" w:sz="4" w:space="0" w:color="CCCCCC"/>
              <w:right w:val="single" w:sz="4" w:space="0" w:color="CCCCCC"/>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52,010 (47.2%)</w:t>
            </w:r>
          </w:p>
        </w:tc>
        <w:tc>
          <w:tcPr>
            <w:tcBorders>
              <w:bottom w:val="single" w:sz="4" w:space="0" w:color="CCCCCC"/>
              <w:top w:val="single" w:sz="4" w:space="0" w:color="CCCCCC"/>
              <w:left w:val="single" w:sz="4" w:space="0" w:color="CCCCCC"/>
              <w:right w:val="single" w:sz="8" w:space="0" w:color="333333"/>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&lt;0.001</w:t>
            </w:r>
          </w:p>
        </w:tc>
      </w:tr>
      <w:tr>
        <w:trPr>
          <w:trHeight w:val="360" w:hRule="auto"/>
        </w:trPr>
        body 3
        <w:tc>
          <w:tcPr>
            <w:tcBorders>
              <w:bottom w:val="single" w:sz="4" w:space="0" w:color="CCCCCC"/>
              <w:top w:val="single" w:sz="4" w:space="0" w:color="CCCCCC"/>
              <w:left w:val="single" w:sz="8" w:space="0" w:color="333333"/>
              <w:right w:val="single" w:sz="4" w:space="0" w:color="CCCCCC"/>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On statin, n (%)</w:t>
            </w:r>
          </w:p>
        </w:tc>
        <w:tc>
          <w:tcPr>
            <w:tcBorders>
              <w:bottom w:val="single" w:sz="4" w:space="0" w:color="CCCCCC"/>
              <w:top w:val="single" w:sz="4" w:space="0" w:color="CCCCCC"/>
              <w:left w:val="single" w:sz="4" w:space="0" w:color="CCCCCC"/>
              <w:right w:val="single" w:sz="4" w:space="0" w:color="CCCCCC"/>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71,643 (63.1%)</w:t>
            </w:r>
          </w:p>
        </w:tc>
        <w:tc>
          <w:tcPr>
            <w:tcBorders>
              <w:bottom w:val="single" w:sz="4" w:space="0" w:color="CCCCCC"/>
              <w:top w:val="single" w:sz="4" w:space="0" w:color="CCCCCC"/>
              <w:left w:val="single" w:sz="4" w:space="0" w:color="CCCCCC"/>
              <w:right w:val="single" w:sz="4" w:space="0" w:color="CCCCCC"/>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1,057 (33.7%)</w:t>
            </w:r>
          </w:p>
        </w:tc>
        <w:tc>
          <w:tcPr>
            <w:tcBorders>
              <w:bottom w:val="single" w:sz="4" w:space="0" w:color="CCCCCC"/>
              <w:top w:val="single" w:sz="4" w:space="0" w:color="CCCCCC"/>
              <w:left w:val="single" w:sz="4" w:space="0" w:color="CCCCCC"/>
              <w:right w:val="single" w:sz="4" w:space="0" w:color="CCCCCC"/>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70,657 (64.0%)</w:t>
            </w:r>
          </w:p>
        </w:tc>
        <w:tc>
          <w:tcPr>
            <w:tcBorders>
              <w:bottom w:val="single" w:sz="4" w:space="0" w:color="CCCCCC"/>
              <w:top w:val="single" w:sz="4" w:space="0" w:color="CCCCCC"/>
              <w:left w:val="single" w:sz="4" w:space="0" w:color="CCCCCC"/>
              <w:right w:val="single" w:sz="8" w:space="0" w:color="333333"/>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&lt;0.001</w:t>
            </w:r>
          </w:p>
        </w:tc>
      </w:tr>
      <w:tr>
        <w:trPr>
          <w:trHeight w:val="360" w:hRule="auto"/>
        </w:trPr>
        body 4
        <w:tc>
          <w:tcPr>
            <w:tcBorders>
              <w:bottom w:val="single" w:sz="4" w:space="0" w:color="CCCCCC"/>
              <w:top w:val="single" w:sz="4" w:space="0" w:color="CCCCCC"/>
              <w:left w:val="single" w:sz="8" w:space="0" w:color="333333"/>
              <w:right w:val="single" w:sz="4" w:space="0" w:color="CCCCCC"/>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Index case, n (%)</w:t>
            </w:r>
          </w:p>
        </w:tc>
        <w:tc>
          <w:tcPr>
            <w:tcBorders>
              <w:bottom w:val="single" w:sz="4" w:space="0" w:color="CCCCCC"/>
              <w:top w:val="single" w:sz="4" w:space="0" w:color="CCCCCC"/>
              <w:left w:val="single" w:sz="4" w:space="0" w:color="CCCCCC"/>
              <w:right w:val="single" w:sz="4" w:space="0" w:color="CCCCCC"/>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4,201 (3.7%)</w:t>
            </w:r>
          </w:p>
        </w:tc>
        <w:tc>
          <w:tcPr>
            <w:tcBorders>
              <w:bottom w:val="single" w:sz="4" w:space="0" w:color="CCCCCC"/>
              <w:top w:val="single" w:sz="4" w:space="0" w:color="CCCCCC"/>
              <w:left w:val="single" w:sz="4" w:space="0" w:color="CCCCCC"/>
              <w:right w:val="single" w:sz="4" w:space="0" w:color="CCCCCC"/>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116 (3.7%)</w:t>
            </w:r>
          </w:p>
        </w:tc>
        <w:tc>
          <w:tcPr>
            <w:tcBorders>
              <w:bottom w:val="single" w:sz="4" w:space="0" w:color="CCCCCC"/>
              <w:top w:val="single" w:sz="4" w:space="0" w:color="CCCCCC"/>
              <w:left w:val="single" w:sz="4" w:space="0" w:color="CCCCCC"/>
              <w:right w:val="single" w:sz="4" w:space="0" w:color="CCCCCC"/>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4,085 (3.7%)</w:t>
            </w:r>
          </w:p>
        </w:tc>
        <w:tc>
          <w:tcPr>
            <w:tcBorders>
              <w:bottom w:val="single" w:sz="4" w:space="0" w:color="CCCCCC"/>
              <w:top w:val="single" w:sz="4" w:space="0" w:color="CCCCCC"/>
              <w:left w:val="single" w:sz="4" w:space="0" w:color="CCCCCC"/>
              <w:right w:val="single" w:sz="8" w:space="0" w:color="333333"/>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&lt;0.001</w:t>
            </w:r>
          </w:p>
        </w:tc>
      </w:tr>
      <w:tr>
        <w:trPr>
          <w:trHeight w:val="360" w:hRule="auto"/>
        </w:trPr>
        body 5
        <w:tc>
          <w:tcPr>
            <w:tcBorders>
              <w:bottom w:val="single" w:sz="4" w:space="0" w:color="CCCCCC"/>
              <w:top w:val="single" w:sz="4" w:space="0" w:color="CCCCCC"/>
              <w:left w:val="single" w:sz="8" w:space="0" w:color="333333"/>
              <w:right w:val="single" w:sz="4" w:space="0" w:color="CCCCCC"/>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Untreated LDL, mean (SD), mmol/L</w:t>
            </w:r>
          </w:p>
        </w:tc>
        <w:tc>
          <w:tcPr>
            <w:tcBorders>
              <w:bottom w:val="single" w:sz="4" w:space="0" w:color="CCCCCC"/>
              <w:top w:val="single" w:sz="4" w:space="0" w:color="CCCCCC"/>
              <w:left w:val="single" w:sz="4" w:space="0" w:color="CCCCCC"/>
              <w:right w:val="single" w:sz="4" w:space="0" w:color="CCCCCC"/>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4.82 (1.12)</w:t>
            </w:r>
          </w:p>
        </w:tc>
        <w:tc>
          <w:tcPr>
            <w:tcBorders>
              <w:bottom w:val="single" w:sz="4" w:space="0" w:color="CCCCCC"/>
              <w:top w:val="single" w:sz="4" w:space="0" w:color="CCCCCC"/>
              <w:left w:val="single" w:sz="4" w:space="0" w:color="CCCCCC"/>
              <w:right w:val="single" w:sz="4" w:space="0" w:color="CCCCCC"/>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6.04 (1.88)</w:t>
            </w:r>
          </w:p>
        </w:tc>
        <w:tc>
          <w:tcPr>
            <w:tcBorders>
              <w:bottom w:val="single" w:sz="4" w:space="0" w:color="CCCCCC"/>
              <w:top w:val="single" w:sz="4" w:space="0" w:color="CCCCCC"/>
              <w:left w:val="single" w:sz="4" w:space="0" w:color="CCCCCC"/>
              <w:right w:val="single" w:sz="4" w:space="0" w:color="CCCCCC"/>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4.80 (1.08)</w:t>
            </w:r>
          </w:p>
        </w:tc>
        <w:tc>
          <w:tcPr>
            <w:tcBorders>
              <w:bottom w:val="single" w:sz="4" w:space="0" w:color="CCCCCC"/>
              <w:top w:val="single" w:sz="4" w:space="0" w:color="CCCCCC"/>
              <w:left w:val="single" w:sz="4" w:space="0" w:color="CCCCCC"/>
              <w:right w:val="single" w:sz="8" w:space="0" w:color="333333"/>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&lt;0.001</w:t>
            </w:r>
          </w:p>
        </w:tc>
      </w:tr>
      <w:tr>
        <w:trPr>
          <w:trHeight w:val="360" w:hRule="auto"/>
        </w:trPr>
        body 6
        <w:tc>
          <w:tcPr>
            <w:tcBorders>
              <w:bottom w:val="single" w:sz="4" w:space="0" w:color="CCCCCC"/>
              <w:top w:val="single" w:sz="4" w:space="0" w:color="CCCCCC"/>
              <w:left w:val="single" w:sz="8" w:space="0" w:color="333333"/>
              <w:right w:val="single" w:sz="4" w:space="0" w:color="CCCCCC"/>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HDL cholesterol, mean (SD), mmol/L</w:t>
            </w:r>
          </w:p>
        </w:tc>
        <w:tc>
          <w:tcPr>
            <w:tcBorders>
              <w:bottom w:val="single" w:sz="4" w:space="0" w:color="CCCCCC"/>
              <w:top w:val="single" w:sz="4" w:space="0" w:color="CCCCCC"/>
              <w:left w:val="single" w:sz="4" w:space="0" w:color="CCCCCC"/>
              <w:right w:val="single" w:sz="4" w:space="0" w:color="CCCCCC"/>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1.44 (0.38)</w:t>
            </w:r>
          </w:p>
        </w:tc>
        <w:tc>
          <w:tcPr>
            <w:tcBorders>
              <w:bottom w:val="single" w:sz="4" w:space="0" w:color="CCCCCC"/>
              <w:top w:val="single" w:sz="4" w:space="0" w:color="CCCCCC"/>
              <w:left w:val="single" w:sz="4" w:space="0" w:color="CCCCCC"/>
              <w:right w:val="single" w:sz="4" w:space="0" w:color="CCCCCC"/>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1.52 (0.41)</w:t>
            </w:r>
          </w:p>
        </w:tc>
        <w:tc>
          <w:tcPr>
            <w:tcBorders>
              <w:bottom w:val="single" w:sz="4" w:space="0" w:color="CCCCCC"/>
              <w:top w:val="single" w:sz="4" w:space="0" w:color="CCCCCC"/>
              <w:left w:val="single" w:sz="4" w:space="0" w:color="CCCCCC"/>
              <w:right w:val="single" w:sz="4" w:space="0" w:color="CCCCCC"/>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1.43 (0.38)</w:t>
            </w:r>
          </w:p>
        </w:tc>
        <w:tc>
          <w:tcPr>
            <w:tcBorders>
              <w:bottom w:val="single" w:sz="4" w:space="0" w:color="CCCCCC"/>
              <w:top w:val="single" w:sz="4" w:space="0" w:color="CCCCCC"/>
              <w:left w:val="single" w:sz="4" w:space="0" w:color="CCCCCC"/>
              <w:right w:val="single" w:sz="8" w:space="0" w:color="333333"/>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&lt;0.001</w:t>
            </w:r>
          </w:p>
        </w:tc>
      </w:tr>
      <w:tr>
        <w:trPr>
          <w:trHeight w:val="360" w:hRule="auto"/>
        </w:trPr>
        body 7
        <w:tc>
          <w:tcPr>
            <w:tcBorders>
              <w:bottom w:val="single" w:sz="4" w:space="0" w:color="CCCCCC"/>
              <w:top w:val="single" w:sz="4" w:space="0" w:color="CCCCCC"/>
              <w:left w:val="single" w:sz="8" w:space="0" w:color="333333"/>
              <w:right w:val="single" w:sz="4" w:space="0" w:color="CCCCCC"/>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Triglycerides, mean (SD), mmol/L</w:t>
            </w:r>
          </w:p>
        </w:tc>
        <w:tc>
          <w:tcPr>
            <w:tcBorders>
              <w:bottom w:val="single" w:sz="4" w:space="0" w:color="CCCCCC"/>
              <w:top w:val="single" w:sz="4" w:space="0" w:color="CCCCCC"/>
              <w:left w:val="single" w:sz="4" w:space="0" w:color="CCCCCC"/>
              <w:right w:val="single" w:sz="4" w:space="0" w:color="CCCCCC"/>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1.51 (0.88)</w:t>
            </w:r>
          </w:p>
        </w:tc>
        <w:tc>
          <w:tcPr>
            <w:tcBorders>
              <w:bottom w:val="single" w:sz="4" w:space="0" w:color="CCCCCC"/>
              <w:top w:val="single" w:sz="4" w:space="0" w:color="CCCCCC"/>
              <w:left w:val="single" w:sz="4" w:space="0" w:color="CCCCCC"/>
              <w:right w:val="single" w:sz="4" w:space="0" w:color="CCCCCC"/>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1.19 (0.72)</w:t>
            </w:r>
          </w:p>
        </w:tc>
        <w:tc>
          <w:tcPr>
            <w:tcBorders>
              <w:bottom w:val="single" w:sz="4" w:space="0" w:color="CCCCCC"/>
              <w:top w:val="single" w:sz="4" w:space="0" w:color="CCCCCC"/>
              <w:left w:val="single" w:sz="4" w:space="0" w:color="CCCCCC"/>
              <w:right w:val="single" w:sz="4" w:space="0" w:color="CCCCCC"/>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1.52 (0.89)</w:t>
            </w:r>
          </w:p>
        </w:tc>
        <w:tc>
          <w:tcPr>
            <w:tcBorders>
              <w:bottom w:val="single" w:sz="4" w:space="0" w:color="CCCCCC"/>
              <w:top w:val="single" w:sz="4" w:space="0" w:color="CCCCCC"/>
              <w:left w:val="single" w:sz="4" w:space="0" w:color="CCCCCC"/>
              <w:right w:val="single" w:sz="8" w:space="0" w:color="333333"/>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&lt;0.001</w:t>
            </w:r>
          </w:p>
        </w:tc>
      </w:tr>
      <w:tr>
        <w:trPr>
          <w:trHeight w:val="360" w:hRule="auto"/>
        </w:trPr>
        body 8
        <w:tc>
          <w:tcPr>
            <w:tcBorders>
              <w:bottom w:val="single" w:sz="4" w:space="0" w:color="CCCCCC"/>
              <w:top w:val="single" w:sz="4" w:space="0" w:color="CCCCCC"/>
              <w:left w:val="single" w:sz="8" w:space="0" w:color="333333"/>
              <w:right w:val="single" w:sz="4" w:space="0" w:color="CCCCCC"/>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ApoB, mean (SD), g/L</w:t>
            </w:r>
          </w:p>
        </w:tc>
        <w:tc>
          <w:tcPr>
            <w:tcBorders>
              <w:bottom w:val="single" w:sz="4" w:space="0" w:color="CCCCCC"/>
              <w:top w:val="single" w:sz="4" w:space="0" w:color="CCCCCC"/>
              <w:left w:val="single" w:sz="4" w:space="0" w:color="CCCCCC"/>
              <w:right w:val="single" w:sz="4" w:space="0" w:color="CCCCCC"/>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0.97 (0.25)</w:t>
            </w:r>
          </w:p>
        </w:tc>
        <w:tc>
          <w:tcPr>
            <w:tcBorders>
              <w:bottom w:val="single" w:sz="4" w:space="0" w:color="CCCCCC"/>
              <w:top w:val="single" w:sz="4" w:space="0" w:color="CCCCCC"/>
              <w:left w:val="single" w:sz="4" w:space="0" w:color="CCCCCC"/>
              <w:right w:val="single" w:sz="4" w:space="0" w:color="CCCCCC"/>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1.18 (0.29)</w:t>
            </w:r>
          </w:p>
        </w:tc>
        <w:tc>
          <w:tcPr>
            <w:tcBorders>
              <w:bottom w:val="single" w:sz="4" w:space="0" w:color="CCCCCC"/>
              <w:top w:val="single" w:sz="4" w:space="0" w:color="CCCCCC"/>
              <w:left w:val="single" w:sz="4" w:space="0" w:color="CCCCCC"/>
              <w:right w:val="single" w:sz="4" w:space="0" w:color="CCCCCC"/>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0.96 (0.24)</w:t>
            </w:r>
          </w:p>
        </w:tc>
        <w:tc>
          <w:tcPr>
            <w:tcBorders>
              <w:bottom w:val="single" w:sz="4" w:space="0" w:color="CCCCCC"/>
              <w:top w:val="single" w:sz="4" w:space="0" w:color="CCCCCC"/>
              <w:left w:val="single" w:sz="4" w:space="0" w:color="CCCCCC"/>
              <w:right w:val="single" w:sz="8" w:space="0" w:color="333333"/>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&lt;0.001</w:t>
            </w:r>
          </w:p>
        </w:tc>
      </w:tr>
      <w:tr>
        <w:trPr>
          <w:trHeight w:val="360" w:hRule="auto"/>
        </w:trPr>
        body 9
        <w:tc>
          <w:tcPr>
            <w:tcBorders>
              <w:bottom w:val="single" w:sz="4" w:space="0" w:color="CCCCCC"/>
              <w:top w:val="single" w:sz="4" w:space="0" w:color="CCCCCC"/>
              <w:left w:val="single" w:sz="8" w:space="0" w:color="333333"/>
              <w:right w:val="single" w:sz="4" w:space="0" w:color="CCCCCC"/>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DLCN score, mean</w:t>
            </w:r>
          </w:p>
        </w:tc>
        <w:tc>
          <w:tcPr>
            <w:tcBorders>
              <w:bottom w:val="single" w:sz="4" w:space="0" w:color="CCCCCC"/>
              <w:top w:val="single" w:sz="4" w:space="0" w:color="CCCCCC"/>
              <w:left w:val="single" w:sz="4" w:space="0" w:color="CCCCCC"/>
              <w:right w:val="single" w:sz="4" w:space="0" w:color="CCCCCC"/>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3.1</w:t>
            </w:r>
          </w:p>
        </w:tc>
        <w:tc>
          <w:tcPr>
            <w:tcBorders>
              <w:bottom w:val="single" w:sz="4" w:space="0" w:color="CCCCCC"/>
              <w:top w:val="single" w:sz="4" w:space="0" w:color="CCCCCC"/>
              <w:left w:val="single" w:sz="4" w:space="0" w:color="CCCCCC"/>
              <w:right w:val="single" w:sz="4" w:space="0" w:color="CCCCCC"/>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6.8</w:t>
            </w:r>
          </w:p>
        </w:tc>
        <w:tc>
          <w:tcPr>
            <w:tcBorders>
              <w:bottom w:val="single" w:sz="4" w:space="0" w:color="CCCCCC"/>
              <w:top w:val="single" w:sz="4" w:space="0" w:color="CCCCCC"/>
              <w:left w:val="single" w:sz="4" w:space="0" w:color="CCCCCC"/>
              <w:right w:val="single" w:sz="4" w:space="0" w:color="CCCCCC"/>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w:t>
            </w:r>
          </w:p>
        </w:tc>
        <w:tc>
          <w:tcPr>
            <w:tcBorders>
              <w:bottom w:val="single" w:sz="4" w:space="0" w:color="CCCCCC"/>
              <w:top w:val="single" w:sz="4" w:space="0" w:color="CCCCCC"/>
              <w:left w:val="single" w:sz="4" w:space="0" w:color="CCCCCC"/>
              <w:right w:val="single" w:sz="8" w:space="0" w:color="333333"/>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&lt;0.001</w:t>
            </w:r>
          </w:p>
        </w:tc>
      </w:tr>
      <w:tr>
        <w:trPr>
          <w:trHeight w:val="360" w:hRule="auto"/>
        </w:trPr>
        body10
        <w:tc>
          <w:tcPr>
            <w:tcBorders>
              <w:bottom w:val="single" w:sz="4" w:space="0" w:color="CCCCCC"/>
              <w:top w:val="single" w:sz="4" w:space="0" w:color="CCCCCC"/>
              <w:left w:val="single" w:sz="8" w:space="0" w:color="333333"/>
              <w:right w:val="single" w:sz="4" w:space="0" w:color="CCCCCC"/>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LDLR pathogenic variant, n (%)</w:t>
            </w:r>
          </w:p>
        </w:tc>
        <w:tc>
          <w:tcPr>
            <w:tcBorders>
              <w:bottom w:val="single" w:sz="4" w:space="0" w:color="CCCCCC"/>
              <w:top w:val="single" w:sz="4" w:space="0" w:color="CCCCCC"/>
              <w:left w:val="single" w:sz="4" w:space="0" w:color="CCCCCC"/>
              <w:right w:val="single" w:sz="4" w:space="0" w:color="CCCCCC"/>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2,830 (2.5%)</w:t>
            </w:r>
          </w:p>
        </w:tc>
        <w:tc>
          <w:tcPr>
            <w:tcBorders>
              <w:bottom w:val="single" w:sz="4" w:space="0" w:color="CCCCCC"/>
              <w:top w:val="single" w:sz="4" w:space="0" w:color="CCCCCC"/>
              <w:left w:val="single" w:sz="4" w:space="0" w:color="CCCCCC"/>
              <w:right w:val="single" w:sz="4" w:space="0" w:color="CCCCCC"/>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2,830 (90.2%)</w:t>
            </w:r>
          </w:p>
        </w:tc>
        <w:tc>
          <w:tcPr>
            <w:tcBorders>
              <w:bottom w:val="single" w:sz="4" w:space="0" w:color="CCCCCC"/>
              <w:top w:val="single" w:sz="4" w:space="0" w:color="CCCCCC"/>
              <w:left w:val="single" w:sz="4" w:space="0" w:color="CCCCCC"/>
              <w:right w:val="single" w:sz="4" w:space="0" w:color="CCCCCC"/>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 (0%)</w:t>
            </w:r>
          </w:p>
        </w:tc>
        <w:tc>
          <w:tcPr>
            <w:tcBorders>
              <w:bottom w:val="single" w:sz="4" w:space="0" w:color="CCCCCC"/>
              <w:top w:val="single" w:sz="4" w:space="0" w:color="CCCCCC"/>
              <w:left w:val="single" w:sz="4" w:space="0" w:color="CCCCCC"/>
              <w:right w:val="single" w:sz="8" w:space="0" w:color="333333"/>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&lt;0.001</w:t>
            </w:r>
          </w:p>
        </w:tc>
      </w:tr>
      <w:tr>
        <w:trPr>
          <w:trHeight w:val="360" w:hRule="auto"/>
        </w:trPr>
        body11
        <w:tc>
          <w:tcPr>
            <w:tcBorders>
              <w:bottom w:val="single" w:sz="4" w:space="0" w:color="CCCCCC"/>
              <w:top w:val="single" w:sz="4" w:space="0" w:color="CCCCCC"/>
              <w:left w:val="single" w:sz="8" w:space="0" w:color="333333"/>
              <w:right w:val="single" w:sz="4" w:space="0" w:color="CCCCCC"/>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APOB pathogenic variant, n (%)</w:t>
            </w:r>
          </w:p>
        </w:tc>
        <w:tc>
          <w:tcPr>
            <w:tcBorders>
              <w:bottom w:val="single" w:sz="4" w:space="0" w:color="CCCCCC"/>
              <w:top w:val="single" w:sz="4" w:space="0" w:color="CCCCCC"/>
              <w:left w:val="single" w:sz="4" w:space="0" w:color="CCCCCC"/>
              <w:right w:val="single" w:sz="4" w:space="0" w:color="CCCCCC"/>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549 (0.5%)</w:t>
            </w:r>
          </w:p>
        </w:tc>
        <w:tc>
          <w:tcPr>
            <w:tcBorders>
              <w:bottom w:val="single" w:sz="4" w:space="0" w:color="CCCCCC"/>
              <w:top w:val="single" w:sz="4" w:space="0" w:color="CCCCCC"/>
              <w:left w:val="single" w:sz="4" w:space="0" w:color="CCCCCC"/>
              <w:right w:val="single" w:sz="4" w:space="0" w:color="CCCCCC"/>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549 (17.5%)</w:t>
            </w:r>
          </w:p>
        </w:tc>
        <w:tc>
          <w:tcPr>
            <w:tcBorders>
              <w:bottom w:val="single" w:sz="4" w:space="0" w:color="CCCCCC"/>
              <w:top w:val="single" w:sz="4" w:space="0" w:color="CCCCCC"/>
              <w:left w:val="single" w:sz="4" w:space="0" w:color="CCCCCC"/>
              <w:right w:val="single" w:sz="4" w:space="0" w:color="CCCCCC"/>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 (0%)</w:t>
            </w:r>
          </w:p>
        </w:tc>
        <w:tc>
          <w:tcPr>
            <w:tcBorders>
              <w:bottom w:val="single" w:sz="4" w:space="0" w:color="CCCCCC"/>
              <w:top w:val="single" w:sz="4" w:space="0" w:color="CCCCCC"/>
              <w:left w:val="single" w:sz="4" w:space="0" w:color="CCCCCC"/>
              <w:right w:val="single" w:sz="8" w:space="0" w:color="333333"/>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&lt;0.001</w:t>
            </w:r>
          </w:p>
        </w:tc>
      </w:tr>
      <w:tr>
        <w:trPr>
          <w:trHeight w:val="360" w:hRule="auto"/>
        </w:trPr>
        body12
        <w:tc>
          <w:tcPr>
            <w:tcBorders>
              <w:bottom w:val="single" w:sz="8" w:space="0" w:color="333333"/>
              <w:top w:val="single" w:sz="4" w:space="0" w:color="CCCCCC"/>
              <w:left w:val="single" w:sz="8" w:space="0" w:color="333333"/>
              <w:right w:val="single" w:sz="4" w:space="0" w:color="CCCCCC"/>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PCSK9 pathogenic variant, n (%)</w:t>
            </w:r>
          </w:p>
        </w:tc>
        <w:tc>
          <w:tcPr>
            <w:tcBorders>
              <w:bottom w:val="single" w:sz="8" w:space="0" w:color="333333"/>
              <w:top w:val="single" w:sz="4" w:space="0" w:color="CCCCCC"/>
              <w:left w:val="single" w:sz="4" w:space="0" w:color="CCCCCC"/>
              <w:right w:val="single" w:sz="4" w:space="0" w:color="CCCCCC"/>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 (0.02%)</w:t>
            </w:r>
          </w:p>
        </w:tc>
        <w:tc>
          <w:tcPr>
            <w:tcBorders>
              <w:bottom w:val="single" w:sz="8" w:space="0" w:color="333333"/>
              <w:top w:val="single" w:sz="4" w:space="0" w:color="CCCCCC"/>
              <w:left w:val="single" w:sz="4" w:space="0" w:color="CCCCCC"/>
              <w:right w:val="single" w:sz="4" w:space="0" w:color="CCCCCC"/>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 (0.8%)</w:t>
            </w:r>
          </w:p>
        </w:tc>
        <w:tc>
          <w:tcPr>
            <w:tcBorders>
              <w:bottom w:val="single" w:sz="8" w:space="0" w:color="333333"/>
              <w:top w:val="single" w:sz="4" w:space="0" w:color="CCCCCC"/>
              <w:left w:val="single" w:sz="4" w:space="0" w:color="CCCCCC"/>
              <w:right w:val="single" w:sz="4" w:space="0" w:color="CCCCCC"/>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 (0%)</w:t>
            </w:r>
          </w:p>
        </w:tc>
        <w:tc>
          <w:tcPr>
            <w:tcBorders>
              <w:bottom w:val="single" w:sz="8" w:space="0" w:color="333333"/>
              <w:top w:val="single" w:sz="4" w:space="0" w:color="CCCCCC"/>
              <w:left w:val="single" w:sz="4" w:space="0" w:color="CCCCCC"/>
              <w:right w:val="single" w:sz="8" w:space="0" w:color="333333"/>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&lt;0.001</w:t>
            </w:r>
          </w:p>
        </w:tc>
      </w:tr>
    </w:tbl>
    <w:p>
      <w:pPr>
        <w:pStyle w:val="Normal"/>
        <w:jc w:val="left"/>
        <w:pBdr>
          <w:bottom w:val="none" w:sz="0" w:space="0" w:color="000000"/>
          <w:top w:val="none" w:sz="0" w:space="0" w:color="000000"/>
          <w:left w:val="none" w:sz="0" w:space="0" w:color="000000"/>
          <w:right w:val="none" w:sz="0" w:space="0" w:color="000000"/>
        </w:pBdr>
        <w:spacing w:after="120" w:before="40" w:line="288"/>
        <w:ind w:left="0" w:right="0" w:firstLine="0" w:firstLineChars="0"/>
      </w:pPr>
      <w:r>
        <w:rPr>
          <w:rFonts w:ascii="Times New Roman" w:hAnsi="Times New Roman" w:eastAsia="Times New Roman" w:cs="Times New Roman"/>
          <w:i w:val="true"/>
          <w:b w:val="false"/>
          <w:u w:val="none"/>
          <w:strike w:val="false"/>
          <w:sz w:val="20"/>
          <w:szCs w:val="20"/>
          <w:color w:val="000000"/>
        </w:rPr>
        <w:t xml:space="preserve">FH = familial hypercholesterolaemia; LDL = low-density lipoprotein; HDL = high-density lipoprotein; ApoB = apolipoprotein B; DLCN = Dutch Lipid Clinic Network; LDLR = LDL receptor gene; APOB = apolipoprotein B gene; PCSK9 = proprotein convertase subtilisin/kexin type 9 gene; SD = standard deviation. ApoB available in 50% overall (37.3% FH+). DLCN genetic component set to zero when genetic result unavailable (1.7%). Untreated LDL estimated by statin back-calculation. p-values by two-sample t-test (continuous) or chi-squared test (categorical).</w:t>
      </w:r>
    </w:p>
    <w:p>
      <w:pPr>
        <w:pStyle w:val="Normal"/>
        <w:jc w:val="both"/>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80" w:before="280" w:line="360"/>
        <w:ind w:left="0" w:right="0" w:firstLine="0" w:firstLineChars="0"/>
      </w:pPr>
      <w:r>
        <w:rPr>
          <w:rFonts w:ascii="Times New Roman" w:hAnsi="Times New Roman" w:eastAsia="Times New Roman" w:cs="Times New Roman"/>
          <w:i w:val="false"/>
          <w:b w:val="true"/>
          <w:u w:val="none"/>
          <w:strike w:val="false"/>
          <w:sz w:val="22"/>
          <w:szCs w:val="22"/>
          <w:color w:val="000000"/>
        </w:rPr>
        <w:t xml:space="preserve">Table 2. Diagnostic performance of TUDOR versus Dutch Lipid Clinic Network criteria.</w:t>
      </w:r>
    </w:p>
    <w:tbl xmlns:a="http://schemas.openxmlformats.org/drawingml/2006/main" xmlns:pic="http://schemas.openxmlformats.org/drawingml/2006/picture">
      <w:tblPr>
        <w:tblLayout w:type="fixed"/>
        <w:jc w:val="center"/>
        <w:tblLook w:firstRow="1" w:lastRow="0" w:firstColumn="0" w:lastColumn="0" w:noHBand="0" w:noVBand="1"/>
      </w:tblPr>
      <w:tblGrid>
        <w:gridCol w:w="4608"/>
        <w:gridCol w:w="2880"/>
        <w:gridCol w:w="2880"/>
        <w:gridCol w:w="1296"/>
      </w:tblGrid>
      <w:tr>
        <w:trPr>
          <w:trHeight w:val="360" w:hRule="auto"/>
          <w:tblHeader/>
        </w:trPr>
        header1
        <w:tc>
          <w:tcPr>
            <w:tcBorders>
              <w:bottom w:val="single" w:sz="8" w:space="0" w:color="333333"/>
              <w:top w:val="single" w:sz="8" w:space="0" w:color="333333"/>
              <w:left w:val="single" w:sz="8" w:space="0" w:color="333333"/>
              <w:right w:val="single" w:sz="4" w:space="0" w:color="CCCCCC"/>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Metric</w:t>
            </w:r>
          </w:p>
        </w:tc>
        <w:tc>
          <w:tcPr>
            <w:tcBorders>
              <w:bottom w:val="single" w:sz="8" w:space="0" w:color="333333"/>
              <w:top w:val="single" w:sz="8" w:space="0" w:color="333333"/>
              <w:left w:val="single" w:sz="4" w:space="0" w:color="CCCCCC"/>
              <w:right w:val="single" w:sz="4" w:space="0" w:color="CCCCCC"/>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TUDOR</w:t>
            </w:r>
          </w:p>
        </w:tc>
        <w:tc>
          <w:tcPr>
            <w:tcBorders>
              <w:bottom w:val="single" w:sz="8" w:space="0" w:color="333333"/>
              <w:top w:val="single" w:sz="8" w:space="0" w:color="333333"/>
              <w:left w:val="single" w:sz="4" w:space="0" w:color="CCCCCC"/>
              <w:right w:val="single" w:sz="4" w:space="0" w:color="CCCCCC"/>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DLCN</w:t>
            </w:r>
          </w:p>
        </w:tc>
        <w:tc>
          <w:tcPr>
            <w:tcBorders>
              <w:bottom w:val="single" w:sz="8" w:space="0" w:color="333333"/>
              <w:top w:val="single" w:sz="8" w:space="0" w:color="333333"/>
              <w:left w:val="single" w:sz="4" w:space="0" w:color="CCCCCC"/>
              <w:right w:val="single" w:sz="8" w:space="0" w:color="333333"/>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p</w:t>
            </w:r>
          </w:p>
        </w:tc>
      </w:tr>
      <w:tr>
        <w:trPr>
          <w:trHeight w:val="360" w:hRule="auto"/>
        </w:trPr>
        body1
        <w:tc>
          <w:tcPr>
            <w:tcBorders>
              <w:bottom w:val="single" w:sz="4" w:space="0" w:color="CCCCCC"/>
              <w:top w:val="single" w:sz="8" w:space="0" w:color="333333"/>
              <w:left w:val="single" w:sz="8" w:space="0" w:color="333333"/>
              <w:right w:val="single" w:sz="4" w:space="0" w:color="CCCCCC"/>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AUC, Wales internal validation (n=6,448)</w:t>
            </w:r>
          </w:p>
        </w:tc>
        <w:tc>
          <w:tcPr>
            <w:tcBorders>
              <w:bottom w:val="single" w:sz="4" w:space="0" w:color="CCCCCC"/>
              <w:top w:val="single" w:sz="8" w:space="0" w:color="333333"/>
              <w:left w:val="single" w:sz="4" w:space="0" w:color="CCCCCC"/>
              <w:right w:val="single" w:sz="4" w:space="0" w:color="CCCCCC"/>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0.776 (0.763–0.789)</w:t>
            </w:r>
          </w:p>
        </w:tc>
        <w:tc>
          <w:tcPr>
            <w:tcBorders>
              <w:bottom w:val="single" w:sz="4" w:space="0" w:color="CCCCCC"/>
              <w:top w:val="single" w:sz="8" w:space="0" w:color="333333"/>
              <w:left w:val="single" w:sz="4" w:space="0" w:color="CCCCCC"/>
              <w:right w:val="single" w:sz="4" w:space="0" w:color="CCCCCC"/>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0.698 (0.685–0.711)</w:t>
            </w:r>
          </w:p>
        </w:tc>
        <w:tc>
          <w:tcPr>
            <w:tcBorders>
              <w:bottom w:val="single" w:sz="4" w:space="0" w:color="CCCCCC"/>
              <w:top w:val="single" w:sz="8" w:space="0" w:color="333333"/>
              <w:left w:val="single" w:sz="4" w:space="0" w:color="CCCCCC"/>
              <w:right w:val="single" w:sz="8" w:space="0" w:color="333333"/>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&lt;0.001 (DeLong)</w:t>
            </w:r>
          </w:p>
        </w:tc>
      </w:tr>
      <w:tr>
        <w:trPr>
          <w:trHeight w:val="360" w:hRule="auto"/>
        </w:trPr>
        body2
        <w:tc>
          <w:tcPr>
            <w:tcBorders>
              <w:bottom w:val="single" w:sz="4" w:space="0" w:color="CCCCCC"/>
              <w:top w:val="single" w:sz="4" w:space="0" w:color="CCCCCC"/>
              <w:left w:val="single" w:sz="8" w:space="0" w:color="333333"/>
              <w:right w:val="single" w:sz="4" w:space="0" w:color="CCCCCC"/>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AUC, South Wales external test (n=1,072)</w:t>
            </w:r>
          </w:p>
        </w:tc>
        <w:tc>
          <w:tcPr>
            <w:tcBorders>
              <w:bottom w:val="single" w:sz="4" w:space="0" w:color="CCCCCC"/>
              <w:top w:val="single" w:sz="4" w:space="0" w:color="CCCCCC"/>
              <w:left w:val="single" w:sz="4" w:space="0" w:color="CCCCCC"/>
              <w:right w:val="single" w:sz="4" w:space="0" w:color="CCCCCC"/>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0.834</w:t>
            </w:r>
          </w:p>
        </w:tc>
        <w:tc>
          <w:tcPr>
            <w:tcBorders>
              <w:bottom w:val="single" w:sz="4" w:space="0" w:color="CCCCCC"/>
              <w:top w:val="single" w:sz="4" w:space="0" w:color="CCCCCC"/>
              <w:left w:val="single" w:sz="4" w:space="0" w:color="CCCCCC"/>
              <w:right w:val="single" w:sz="4" w:space="0" w:color="CCCCCC"/>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N/A</w:t>
            </w:r>
          </w:p>
        </w:tc>
        <w:tc>
          <w:tcPr>
            <w:tcBorders>
              <w:bottom w:val="single" w:sz="4" w:space="0" w:color="CCCCCC"/>
              <w:top w:val="single" w:sz="4" w:space="0" w:color="CCCCCC"/>
              <w:left w:val="single" w:sz="4" w:space="0" w:color="CCCCCC"/>
              <w:right w:val="single" w:sz="8" w:space="0" w:color="333333"/>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t>
            </w:r>
          </w:p>
        </w:tc>
      </w:tr>
      <w:tr>
        <w:trPr>
          <w:trHeight w:val="360" w:hRule="auto"/>
        </w:trPr>
        body3
        <w:tc>
          <w:tcPr>
            <w:tcBorders>
              <w:bottom w:val="single" w:sz="4" w:space="0" w:color="CCCCCC"/>
              <w:top w:val="single" w:sz="4" w:space="0" w:color="CCCCCC"/>
              <w:left w:val="single" w:sz="8" w:space="0" w:color="333333"/>
              <w:right w:val="single" w:sz="4" w:space="0" w:color="CCCCCC"/>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AUC, index cases (n=4,201)</w:t>
            </w:r>
          </w:p>
        </w:tc>
        <w:tc>
          <w:tcPr>
            <w:tcBorders>
              <w:bottom w:val="single" w:sz="4" w:space="0" w:color="CCCCCC"/>
              <w:top w:val="single" w:sz="4" w:space="0" w:color="CCCCCC"/>
              <w:left w:val="single" w:sz="4" w:space="0" w:color="CCCCCC"/>
              <w:right w:val="single" w:sz="4" w:space="0" w:color="CCCCCC"/>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0.807 (0.791–0.822)</w:t>
            </w:r>
          </w:p>
        </w:tc>
        <w:tc>
          <w:tcPr>
            <w:tcBorders>
              <w:bottom w:val="single" w:sz="4" w:space="0" w:color="CCCCCC"/>
              <w:top w:val="single" w:sz="4" w:space="0" w:color="CCCCCC"/>
              <w:left w:val="single" w:sz="4" w:space="0" w:color="CCCCCC"/>
              <w:right w:val="single" w:sz="4" w:space="0" w:color="CCCCCC"/>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N/A</w:t>
            </w:r>
          </w:p>
        </w:tc>
        <w:tc>
          <w:tcPr>
            <w:tcBorders>
              <w:bottom w:val="single" w:sz="4" w:space="0" w:color="CCCCCC"/>
              <w:top w:val="single" w:sz="4" w:space="0" w:color="CCCCCC"/>
              <w:left w:val="single" w:sz="4" w:space="0" w:color="CCCCCC"/>
              <w:right w:val="single" w:sz="8" w:space="0" w:color="333333"/>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t>
            </w:r>
          </w:p>
        </w:tc>
      </w:tr>
      <w:tr>
        <w:trPr>
          <w:trHeight w:val="360" w:hRule="auto"/>
        </w:trPr>
        body4
        <w:tc>
          <w:tcPr>
            <w:tcBorders>
              <w:bottom w:val="single" w:sz="4" w:space="0" w:color="CCCCCC"/>
              <w:top w:val="single" w:sz="4" w:space="0" w:color="CCCCCC"/>
              <w:left w:val="single" w:sz="8" w:space="0" w:color="333333"/>
              <w:right w:val="single" w:sz="4" w:space="0" w:color="CCCCCC"/>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AUC, cascade relatives (n=109,337)</w:t>
            </w:r>
          </w:p>
        </w:tc>
        <w:tc>
          <w:tcPr>
            <w:tcBorders>
              <w:bottom w:val="single" w:sz="4" w:space="0" w:color="CCCCCC"/>
              <w:top w:val="single" w:sz="4" w:space="0" w:color="CCCCCC"/>
              <w:left w:val="single" w:sz="4" w:space="0" w:color="CCCCCC"/>
              <w:right w:val="single" w:sz="4" w:space="0" w:color="CCCCCC"/>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0.708 (0.686–0.730)</w:t>
            </w:r>
          </w:p>
        </w:tc>
        <w:tc>
          <w:tcPr>
            <w:tcBorders>
              <w:bottom w:val="single" w:sz="4" w:space="0" w:color="CCCCCC"/>
              <w:top w:val="single" w:sz="4" w:space="0" w:color="CCCCCC"/>
              <w:left w:val="single" w:sz="4" w:space="0" w:color="CCCCCC"/>
              <w:right w:val="single" w:sz="4" w:space="0" w:color="CCCCCC"/>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N/A</w:t>
            </w:r>
          </w:p>
        </w:tc>
        <w:tc>
          <w:tcPr>
            <w:tcBorders>
              <w:bottom w:val="single" w:sz="4" w:space="0" w:color="CCCCCC"/>
              <w:top w:val="single" w:sz="4" w:space="0" w:color="CCCCCC"/>
              <w:left w:val="single" w:sz="4" w:space="0" w:color="CCCCCC"/>
              <w:right w:val="single" w:sz="8" w:space="0" w:color="333333"/>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t>
            </w:r>
          </w:p>
        </w:tc>
      </w:tr>
      <w:tr>
        <w:trPr>
          <w:trHeight w:val="360" w:hRule="auto"/>
        </w:trPr>
        body5
        <w:tc>
          <w:tcPr>
            <w:tcBorders>
              <w:bottom w:val="single" w:sz="4" w:space="0" w:color="CCCCCC"/>
              <w:top w:val="single" w:sz="4" w:space="0" w:color="CCCCCC"/>
              <w:left w:val="single" w:sz="8" w:space="0" w:color="333333"/>
              <w:right w:val="single" w:sz="4" w:space="0" w:color="CCCCCC"/>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NRI₀₋₁₋₂ events, South Wales vs DLCN</w:t>
            </w:r>
          </w:p>
        </w:tc>
        <w:tc>
          <w:tcPr>
            <w:tcBorders>
              <w:bottom w:val="single" w:sz="4" w:space="0" w:color="CCCCCC"/>
              <w:top w:val="single" w:sz="4" w:space="0" w:color="CCCCCC"/>
              <w:left w:val="single" w:sz="4" w:space="0" w:color="CCCCCC"/>
              <w:right w:val="single" w:sz="4" w:space="0" w:color="CCCCCC"/>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+0.173 (0.014–0.338)</w:t>
            </w:r>
          </w:p>
        </w:tc>
        <w:tc>
          <w:tcPr>
            <w:tcBorders>
              <w:bottom w:val="single" w:sz="4" w:space="0" w:color="CCCCCC"/>
              <w:top w:val="single" w:sz="4" w:space="0" w:color="CCCCCC"/>
              <w:left w:val="single" w:sz="4" w:space="0" w:color="CCCCCC"/>
              <w:right w:val="single" w:sz="4" w:space="0" w:color="CCCCCC"/>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Reference</w:t>
            </w:r>
          </w:p>
        </w:tc>
        <w:tc>
          <w:tcPr>
            <w:tcBorders>
              <w:bottom w:val="single" w:sz="4" w:space="0" w:color="CCCCCC"/>
              <w:top w:val="single" w:sz="4" w:space="0" w:color="CCCCCC"/>
              <w:left w:val="single" w:sz="4" w:space="0" w:color="CCCCCC"/>
              <w:right w:val="single" w:sz="8" w:space="0" w:color="333333"/>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0.033</w:t>
            </w:r>
          </w:p>
        </w:tc>
      </w:tr>
      <w:tr>
        <w:trPr>
          <w:trHeight w:val="360" w:hRule="auto"/>
        </w:trPr>
        body6
        <w:tc>
          <w:tcPr>
            <w:tcBorders>
              <w:bottom w:val="single" w:sz="4" w:space="0" w:color="CCCCCC"/>
              <w:top w:val="single" w:sz="4" w:space="0" w:color="CCCCCC"/>
              <w:left w:val="single" w:sz="8" w:space="0" w:color="333333"/>
              <w:right w:val="single" w:sz="4" w:space="0" w:color="CCCCCC"/>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IDI, South Wales vs DLCN</w:t>
            </w:r>
          </w:p>
        </w:tc>
        <w:tc>
          <w:tcPr>
            <w:tcBorders>
              <w:bottom w:val="single" w:sz="4" w:space="0" w:color="CCCCCC"/>
              <w:top w:val="single" w:sz="4" w:space="0" w:color="CCCCCC"/>
              <w:left w:val="single" w:sz="4" w:space="0" w:color="CCCCCC"/>
              <w:right w:val="single" w:sz="4" w:space="0" w:color="CCCCCC"/>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+0.119 (0.058–0.192)</w:t>
            </w:r>
          </w:p>
        </w:tc>
        <w:tc>
          <w:tcPr>
            <w:tcBorders>
              <w:bottom w:val="single" w:sz="4" w:space="0" w:color="CCCCCC"/>
              <w:top w:val="single" w:sz="4" w:space="0" w:color="CCCCCC"/>
              <w:left w:val="single" w:sz="4" w:space="0" w:color="CCCCCC"/>
              <w:right w:val="single" w:sz="4" w:space="0" w:color="CCCCCC"/>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Reference</w:t>
            </w:r>
          </w:p>
        </w:tc>
        <w:tc>
          <w:tcPr>
            <w:tcBorders>
              <w:bottom w:val="single" w:sz="4" w:space="0" w:color="CCCCCC"/>
              <w:top w:val="single" w:sz="4" w:space="0" w:color="CCCCCC"/>
              <w:left w:val="single" w:sz="4" w:space="0" w:color="CCCCCC"/>
              <w:right w:val="single" w:sz="8" w:space="0" w:color="333333"/>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&lt;0.001</w:t>
            </w:r>
          </w:p>
        </w:tc>
      </w:tr>
      <w:tr>
        <w:trPr>
          <w:trHeight w:val="360" w:hRule="auto"/>
        </w:trPr>
        body7
        <w:tc>
          <w:tcPr>
            <w:tcBorders>
              <w:bottom w:val="single" w:sz="8" w:space="0" w:color="333333"/>
              <w:top w:val="single" w:sz="4" w:space="0" w:color="CCCCCC"/>
              <w:left w:val="single" w:sz="8" w:space="0" w:color="333333"/>
              <w:right w:val="single" w:sz="4" w:space="0" w:color="CCCCCC"/>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UK Biobank calibration slope (post-recalibration)</w:t>
            </w:r>
          </w:p>
        </w:tc>
        <w:tc>
          <w:tcPr>
            <w:tcBorders>
              <w:bottom w:val="single" w:sz="8" w:space="0" w:color="333333"/>
              <w:top w:val="single" w:sz="4" w:space="0" w:color="CCCCCC"/>
              <w:left w:val="single" w:sz="4" w:space="0" w:color="CCCCCC"/>
              <w:right w:val="single" w:sz="4" w:space="0" w:color="CCCCCC"/>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1.000</w:t>
            </w:r>
          </w:p>
        </w:tc>
        <w:tc>
          <w:tcPr>
            <w:tcBorders>
              <w:bottom w:val="single" w:sz="8" w:space="0" w:color="333333"/>
              <w:top w:val="single" w:sz="4" w:space="0" w:color="CCCCCC"/>
              <w:left w:val="single" w:sz="4" w:space="0" w:color="CCCCCC"/>
              <w:right w:val="single" w:sz="4" w:space="0" w:color="CCCCCC"/>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12.4 (pre-recalibration)</w:t>
            </w:r>
          </w:p>
        </w:tc>
        <w:tc>
          <w:tcPr>
            <w:tcBorders>
              <w:bottom w:val="single" w:sz="8" w:space="0" w:color="333333"/>
              <w:top w:val="single" w:sz="4" w:space="0" w:color="CCCCCC"/>
              <w:left w:val="single" w:sz="4" w:space="0" w:color="CCCCCC"/>
              <w:right w:val="single" w:sz="8" w:space="0" w:color="333333"/>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t>
            </w:r>
          </w:p>
        </w:tc>
      </w:tr>
    </w:tbl>
    <w:p>
      <w:pPr>
        <w:pStyle w:val="Normal"/>
        <w:jc w:val="left"/>
        <w:pBdr>
          <w:bottom w:val="none" w:sz="0" w:space="0" w:color="000000"/>
          <w:top w:val="none" w:sz="0" w:space="0" w:color="000000"/>
          <w:left w:val="none" w:sz="0" w:space="0" w:color="000000"/>
          <w:right w:val="none" w:sz="0" w:space="0" w:color="000000"/>
        </w:pBdr>
        <w:spacing w:after="120" w:before="40" w:line="288"/>
        <w:ind w:left="0" w:right="0" w:firstLine="0" w:firstLineChars="0"/>
      </w:pPr>
      <w:r>
        <w:rPr>
          <w:rFonts w:ascii="Times New Roman" w:hAnsi="Times New Roman" w:eastAsia="Times New Roman" w:cs="Times New Roman"/>
          <w:i w:val="true"/>
          <w:b w:val="false"/>
          <w:u w:val="none"/>
          <w:strike w:val="false"/>
          <w:sz w:val="20"/>
          <w:szCs w:val="20"/>
          <w:color w:val="000000"/>
        </w:rPr>
        <w:t xml:space="preserve">AUC = area under the receiver operating characteristic curve with DeLong 95% CI; NRI = net reclassification improvement for events (continuous); IDI = integrated discrimination improvement; DLCN = Dutch Lipid Clinic Network. 95% CIs for NRI and IDI based on 1,000 bootstrap iterations. South Wales external AUC is a point estimate; bootstrap CI was 0.791–0.822 at the lower confidence interval. TUDOR AUC delta vs DLCN in Wales = +0.078. UK Biobank recalibration slope of 1.000 indicates adequate calibration at population prevalence (2.8%).</w:t>
      </w:r>
    </w:p>
    <w:p>
      <w:pPr>
        <w:pStyle w:val="Normal"/>
        <w:jc w:val="both"/>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80" w:before="280" w:line="360"/>
        <w:ind w:left="0" w:right="0" w:firstLine="0" w:firstLineChars="0"/>
      </w:pPr>
      <w:r>
        <w:rPr>
          <w:rFonts w:ascii="Times New Roman" w:hAnsi="Times New Roman" w:eastAsia="Times New Roman" w:cs="Times New Roman"/>
          <w:i w:val="false"/>
          <w:b w:val="true"/>
          <w:u w:val="none"/>
          <w:strike w:val="false"/>
          <w:sz w:val="22"/>
          <w:szCs w:val="22"/>
          <w:color w:val="000000"/>
        </w:rPr>
        <w:t xml:space="preserve">Table 3. Triglyceride Shield (TRG filter) multivariable validation.</w:t>
      </w:r>
    </w:p>
    <w:tbl xmlns:a="http://schemas.openxmlformats.org/drawingml/2006/main" xmlns:pic="http://schemas.openxmlformats.org/drawingml/2006/picture">
      <w:tblPr>
        <w:tblLayout w:type="fixed"/>
        <w:jc w:val="center"/>
        <w:tblLook w:firstRow="1" w:lastRow="0" w:firstColumn="0" w:lastColumn="0" w:noHBand="0" w:noVBand="1"/>
      </w:tblPr>
      <w:tblGrid>
        <w:gridCol w:w="3456"/>
        <w:gridCol w:w="2880"/>
        <w:gridCol w:w="2304"/>
        <w:gridCol w:w="1296"/>
        <w:gridCol w:w="2880"/>
      </w:tblGrid>
      <w:tr>
        <w:trPr>
          <w:trHeight w:val="360" w:hRule="auto"/>
          <w:tblHeader/>
        </w:trPr>
        header1
        <w:tc>
          <w:tcPr>
            <w:tcBorders>
              <w:bottom w:val="single" w:sz="8" w:space="0" w:color="333333"/>
              <w:top w:val="single" w:sz="8" w:space="0" w:color="333333"/>
              <w:left w:val="single" w:sz="8" w:space="0" w:color="333333"/>
              <w:right w:val="single" w:sz="4" w:space="0" w:color="CCCCCC"/>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Model</w:t>
            </w:r>
          </w:p>
        </w:tc>
        <w:tc>
          <w:tcPr>
            <w:tcBorders>
              <w:bottom w:val="single" w:sz="8" w:space="0" w:color="333333"/>
              <w:top w:val="single" w:sz="8" w:space="0" w:color="333333"/>
              <w:left w:val="single" w:sz="4" w:space="0" w:color="CCCCCC"/>
              <w:right w:val="single" w:sz="4" w:space="0" w:color="CCCCCC"/>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Coefficient / OR</w:t>
            </w:r>
          </w:p>
        </w:tc>
        <w:tc>
          <w:tcPr>
            <w:tcBorders>
              <w:bottom w:val="single" w:sz="8" w:space="0" w:color="333333"/>
              <w:top w:val="single" w:sz="8" w:space="0" w:color="333333"/>
              <w:left w:val="single" w:sz="4" w:space="0" w:color="CCCCCC"/>
              <w:right w:val="single" w:sz="4" w:space="0" w:color="CCCCCC"/>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95% CI</w:t>
            </w:r>
          </w:p>
        </w:tc>
        <w:tc>
          <w:tcPr>
            <w:tcBorders>
              <w:bottom w:val="single" w:sz="8" w:space="0" w:color="333333"/>
              <w:top w:val="single" w:sz="8" w:space="0" w:color="333333"/>
              <w:left w:val="single" w:sz="4" w:space="0" w:color="CCCCCC"/>
              <w:right w:val="single" w:sz="4" w:space="0" w:color="CCCCCC"/>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p</w:t>
            </w:r>
          </w:p>
        </w:tc>
        <w:tc>
          <w:tcPr>
            <w:tcBorders>
              <w:bottom w:val="single" w:sz="8" w:space="0" w:color="333333"/>
              <w:top w:val="single" w:sz="8" w:space="0" w:color="333333"/>
              <w:left w:val="single" w:sz="4" w:space="0" w:color="CCCCCC"/>
              <w:right w:val="single" w:sz="8" w:space="0" w:color="333333"/>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Effect size</w:t>
            </w:r>
          </w:p>
        </w:tc>
      </w:tr>
      <w:tr>
        <w:trPr>
          <w:trHeight w:val="360" w:hRule="auto"/>
        </w:trPr>
        body1
        <w:tc>
          <w:tcPr>
            <w:tcBorders>
              <w:bottom w:val="single" w:sz="4" w:space="0" w:color="CCCCCC"/>
              <w:top w:val="single" w:sz="8" w:space="0" w:color="333333"/>
              <w:left w:val="single" w:sz="8" w:space="0" w:color="333333"/>
              <w:right w:val="single" w:sz="4" w:space="0" w:color="CCCCCC"/>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 LDLR vs Non-FH, unadjusted</w:t>
            </w:r>
            <w:r>
              <w:rPr>
                <w:rFonts w:ascii="Times New Roman" w:hAnsi="Times New Roman" w:eastAsia="Times New Roman" w:cs="Times New Roman"/>
                <w:i w:val="false"/>
                <w:b w:val="false"/>
                <w:u w:val="none"/>
                <w:strike w:val="false"/>
                <w:sz w:val="20"/>
                <w:szCs w:val="20"/>
                <w:color w:val="000000"/>
              </w:rPr>
              <w:br/>
            </w:r>
            <w:r>
              <w:rPr>
                <w:rFonts w:ascii="Times New Roman" w:hAnsi="Times New Roman" w:eastAsia="Times New Roman" w:cs="Times New Roman"/>
                <w:i w:val="false"/>
                <w:b w:val="false"/>
                <w:u w:val="none"/>
                <w:strike w:val="false"/>
                <w:sz w:val="20"/>
                <w:szCs w:val="20"/>
                <w:color w:val="000000"/>
              </w:rPr>
              <w:t xml:space="preserve">   (TRG mean: 4.288 vs 2.684)</w:t>
            </w:r>
          </w:p>
        </w:tc>
        <w:tc>
          <w:tcPr>
            <w:tcBorders>
              <w:bottom w:val="single" w:sz="4" w:space="0" w:color="CCCCCC"/>
              <w:top w:val="single" w:sz="8" w:space="0" w:color="333333"/>
              <w:left w:val="single" w:sz="4" w:space="0" w:color="CCCCCC"/>
              <w:right w:val="single" w:sz="4" w:space="0" w:color="CCCCCC"/>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OR 1.897 per unit TRG</w:t>
            </w:r>
          </w:p>
        </w:tc>
        <w:tc>
          <w:tcPr>
            <w:tcBorders>
              <w:bottom w:val="single" w:sz="4" w:space="0" w:color="CCCCCC"/>
              <w:top w:val="single" w:sz="8" w:space="0" w:color="333333"/>
              <w:left w:val="single" w:sz="4" w:space="0" w:color="CCCCCC"/>
              <w:right w:val="single" w:sz="4" w:space="0" w:color="CCCCCC"/>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1.860–1.934</w:t>
            </w:r>
          </w:p>
        </w:tc>
        <w:tc>
          <w:tcPr>
            <w:tcBorders>
              <w:bottom w:val="single" w:sz="4" w:space="0" w:color="CCCCCC"/>
              <w:top w:val="single" w:sz="8" w:space="0" w:color="333333"/>
              <w:left w:val="single" w:sz="4" w:space="0" w:color="CCCCCC"/>
              <w:right w:val="single" w:sz="4" w:space="0" w:color="CCCCCC"/>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&lt;0.001</w:t>
            </w:r>
          </w:p>
        </w:tc>
        <w:tc>
          <w:tcPr>
            <w:tcBorders>
              <w:bottom w:val="single" w:sz="4" w:space="0" w:color="CCCCCC"/>
              <w:top w:val="single" w:sz="8" w:space="0" w:color="333333"/>
              <w:left w:val="single" w:sz="4" w:space="0" w:color="CCCCCC"/>
              <w:right w:val="single" w:sz="8" w:space="0" w:color="333333"/>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Cohen’s d = 1.21 (LDLR vs Non-FH)</w:t>
            </w:r>
          </w:p>
        </w:tc>
      </w:tr>
      <w:tr>
        <w:trPr>
          <w:trHeight w:val="360" w:hRule="auto"/>
        </w:trPr>
        body2
        <w:tc>
          <w:tcPr>
            <w:tcBorders>
              <w:bottom w:val="single" w:sz="4" w:space="0" w:color="CCCCCC"/>
              <w:top w:val="single" w:sz="4" w:space="0" w:color="CCCCCC"/>
              <w:left w:val="single" w:sz="8" w:space="0" w:color="333333"/>
              <w:right w:val="single" w:sz="4" w:space="0" w:color="CCCCCC"/>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 LDLR vs Non-FH, age + sex adjusted</w:t>
            </w:r>
          </w:p>
        </w:tc>
        <w:tc>
          <w:tcPr>
            <w:tcBorders>
              <w:bottom w:val="single" w:sz="4" w:space="0" w:color="CCCCCC"/>
              <w:top w:val="single" w:sz="4" w:space="0" w:color="CCCCCC"/>
              <w:left w:val="single" w:sz="4" w:space="0" w:color="CCCCCC"/>
              <w:right w:val="single" w:sz="4" w:space="0" w:color="CCCCCC"/>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OR 1.821 per unit TRG</w:t>
            </w:r>
          </w:p>
        </w:tc>
        <w:tc>
          <w:tcPr>
            <w:tcBorders>
              <w:bottom w:val="single" w:sz="4" w:space="0" w:color="CCCCCC"/>
              <w:top w:val="single" w:sz="4" w:space="0" w:color="CCCCCC"/>
              <w:left w:val="single" w:sz="4" w:space="0" w:color="CCCCCC"/>
              <w:right w:val="single" w:sz="4" w:space="0" w:color="CCCCCC"/>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1.784–1.860</w:t>
            </w:r>
          </w:p>
        </w:tc>
        <w:tc>
          <w:tcPr>
            <w:tcBorders>
              <w:bottom w:val="single" w:sz="4" w:space="0" w:color="CCCCCC"/>
              <w:top w:val="single" w:sz="4" w:space="0" w:color="CCCCCC"/>
              <w:left w:val="single" w:sz="4" w:space="0" w:color="CCCCCC"/>
              <w:right w:val="single" w:sz="4" w:space="0" w:color="CCCCCC"/>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&lt;0.001</w:t>
            </w:r>
          </w:p>
        </w:tc>
        <w:tc>
          <w:tcPr>
            <w:tcBorders>
              <w:bottom w:val="single" w:sz="4" w:space="0" w:color="CCCCCC"/>
              <w:top w:val="single" w:sz="4" w:space="0" w:color="CCCCCC"/>
              <w:left w:val="single" w:sz="4" w:space="0" w:color="CCCCCC"/>
              <w:right w:val="single" w:sz="8" w:space="0" w:color="333333"/>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Cohen’s d = 1.21</w:t>
            </w:r>
          </w:p>
        </w:tc>
      </w:tr>
      <w:tr>
        <w:trPr>
          <w:trHeight w:val="360" w:hRule="auto"/>
        </w:trPr>
        body3
        <w:tc>
          <w:tcPr>
            <w:tcBorders>
              <w:bottom w:val="single" w:sz="4" w:space="0" w:color="CCCCCC"/>
              <w:top w:val="single" w:sz="4" w:space="0" w:color="CCCCCC"/>
              <w:left w:val="single" w:sz="8" w:space="0" w:color="333333"/>
              <w:right w:val="single" w:sz="4" w:space="0" w:color="CCCCCC"/>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 T2DM linear effect on TRG proxy</w:t>
            </w:r>
          </w:p>
        </w:tc>
        <w:tc>
          <w:tcPr>
            <w:tcBorders>
              <w:bottom w:val="single" w:sz="4" w:space="0" w:color="CCCCCC"/>
              <w:top w:val="single" w:sz="4" w:space="0" w:color="CCCCCC"/>
              <w:left w:val="single" w:sz="4" w:space="0" w:color="CCCCCC"/>
              <w:right w:val="single" w:sz="4" w:space="0" w:color="CCCCCC"/>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β = −0.477 (T2DM vs no T2DM)</w:t>
            </w:r>
          </w:p>
        </w:tc>
        <w:tc>
          <w:tcPr>
            <w:tcBorders>
              <w:bottom w:val="single" w:sz="4" w:space="0" w:color="CCCCCC"/>
              <w:top w:val="single" w:sz="4" w:space="0" w:color="CCCCCC"/>
              <w:left w:val="single" w:sz="4" w:space="0" w:color="CCCCCC"/>
              <w:right w:val="single" w:sz="4" w:space="0" w:color="CCCCCC"/>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−0.529 to −0.424</w:t>
            </w:r>
          </w:p>
        </w:tc>
        <w:tc>
          <w:tcPr>
            <w:tcBorders>
              <w:bottom w:val="single" w:sz="4" w:space="0" w:color="CCCCCC"/>
              <w:top w:val="single" w:sz="4" w:space="0" w:color="CCCCCC"/>
              <w:left w:val="single" w:sz="4" w:space="0" w:color="CCCCCC"/>
              <w:right w:val="single" w:sz="4" w:space="0" w:color="CCCCCC"/>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8.2×10⁻⁷⁰</w:t>
            </w:r>
          </w:p>
        </w:tc>
        <w:tc>
          <w:tcPr>
            <w:tcBorders>
              <w:bottom w:val="single" w:sz="4" w:space="0" w:color="CCCCCC"/>
              <w:top w:val="single" w:sz="4" w:space="0" w:color="CCCCCC"/>
              <w:left w:val="single" w:sz="4" w:space="0" w:color="CCCCCC"/>
              <w:right w:val="single" w:sz="8" w:space="0" w:color="333333"/>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T2DM lowers TRG by 0.681 units</w:t>
            </w:r>
            <w:r>
              <w:rPr>
                <w:rFonts w:ascii="Times New Roman" w:hAnsi="Times New Roman" w:eastAsia="Times New Roman" w:cs="Times New Roman"/>
                <w:i w:val="false"/>
                <w:b w:val="false"/>
                <w:u w:val="none"/>
                <w:strike w:val="false"/>
                <w:sz w:val="20"/>
                <w:szCs w:val="20"/>
                <w:color w:val="000000"/>
              </w:rPr>
              <w:br/>
            </w:r>
            <w:r>
              <w:rPr>
                <w:rFonts w:ascii="Times New Roman" w:hAnsi="Times New Roman" w:eastAsia="Times New Roman" w:cs="Times New Roman"/>
                <w:i w:val="false"/>
                <w:b w:val="false"/>
                <w:u w:val="none"/>
                <w:strike w:val="false"/>
                <w:sz w:val="20"/>
                <w:szCs w:val="20"/>
                <w:color w:val="000000"/>
              </w:rPr>
              <w:t xml:space="preserve">(Cohen’s d = 0.563)</w:t>
            </w:r>
          </w:p>
        </w:tc>
      </w:tr>
      <w:tr>
        <w:trPr>
          <w:trHeight w:val="360" w:hRule="auto"/>
        </w:trPr>
        body4
        <w:tc>
          <w:tcPr>
            <w:tcBorders>
              <w:bottom w:val="single" w:sz="8" w:space="0" w:color="333333"/>
              <w:top w:val="single" w:sz="4" w:space="0" w:color="CCCCCC"/>
              <w:left w:val="single" w:sz="8" w:space="0" w:color="333333"/>
              <w:right w:val="single" w:sz="4" w:space="0" w:color="CCCCCC"/>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 BMI effect on TRG proxy</w:t>
            </w:r>
          </w:p>
        </w:tc>
        <w:tc>
          <w:tcPr>
            <w:tcBorders>
              <w:bottom w:val="single" w:sz="8" w:space="0" w:color="333333"/>
              <w:top w:val="single" w:sz="4" w:space="0" w:color="CCCCCC"/>
              <w:left w:val="single" w:sz="4" w:space="0" w:color="CCCCCC"/>
              <w:right w:val="single" w:sz="4" w:space="0" w:color="CCCCCC"/>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β = −0.067 per kg/m²</w:t>
            </w:r>
          </w:p>
        </w:tc>
        <w:tc>
          <w:tcPr>
            <w:tcBorders>
              <w:bottom w:val="single" w:sz="8" w:space="0" w:color="333333"/>
              <w:top w:val="single" w:sz="4" w:space="0" w:color="CCCCCC"/>
              <w:left w:val="single" w:sz="4" w:space="0" w:color="CCCCCC"/>
              <w:right w:val="single" w:sz="4" w:space="0" w:color="CCCCCC"/>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 ≈ 0 (see footnote)</w:t>
            </w:r>
          </w:p>
        </w:tc>
        <w:tc>
          <w:tcPr>
            <w:tcBorders>
              <w:bottom w:val="single" w:sz="8" w:space="0" w:color="333333"/>
              <w:top w:val="single" w:sz="4" w:space="0" w:color="CCCCCC"/>
              <w:left w:val="single" w:sz="4" w:space="0" w:color="CCCCCC"/>
              <w:right w:val="single" w:sz="4" w:space="0" w:color="CCCCCC"/>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8" w:space="0" w:color="333333"/>
              <w:top w:val="single" w:sz="4" w:space="0" w:color="CCCCCC"/>
              <w:left w:val="single" w:sz="4" w:space="0" w:color="CCCCCC"/>
              <w:right w:val="single" w:sz="8" w:space="0" w:color="333333"/>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t>
            </w:r>
          </w:p>
        </w:tc>
      </w:tr>
    </w:tbl>
    <w:p>
      <w:pPr>
        <w:pStyle w:val="Normal"/>
        <w:jc w:val="left"/>
        <w:pBdr>
          <w:bottom w:val="none" w:sz="0" w:space="0" w:color="000000"/>
          <w:top w:val="none" w:sz="0" w:space="0" w:color="000000"/>
          <w:left w:val="none" w:sz="0" w:space="0" w:color="000000"/>
          <w:right w:val="none" w:sz="0" w:space="0" w:color="000000"/>
        </w:pBdr>
        <w:spacing w:after="120" w:before="40" w:line="288"/>
        <w:ind w:left="0" w:right="0" w:firstLine="0" w:firstLineChars="0"/>
      </w:pPr>
      <w:r>
        <w:rPr>
          <w:rFonts w:ascii="Times New Roman" w:hAnsi="Times New Roman" w:eastAsia="Times New Roman" w:cs="Times New Roman"/>
          <w:i w:val="true"/>
          <w:b w:val="false"/>
          <w:u w:val="none"/>
          <w:strike w:val="false"/>
          <w:sz w:val="20"/>
          <w:szCs w:val="20"/>
          <w:color w:val="000000"/>
        </w:rPr>
        <w:t xml:space="preserve">TRG = LDL_untreated / (triglycerides + 0.1). APOB variant carriers: mean TRG 4.417, Cohen’s d = 1.35 vs Non-FH. OR = odds ratio from logistic regression; β = linear regression coefficient from multivariable model of TRG on T2DM + BMI + age + sex. T2DM: type 2 diabetes mellitus; T2DM reduces TRG proxy by 0.681 units (derived from β scaled to binary T2DM indicator). BMI 95% CI not shown due to near-zero p-value (β = −0.067 per kg/m²; p≈0 by Wald test). Effect sizes: Cohen’s d = 1.21 (large) by Cohen’s convention (&gt;0.8). All models adjusted for LDLR vs APOB vs PCSK9 gene in sensitivity analyses with concordant results.</w:t>
      </w:r>
    </w:p>
    <w:p>
      <w:pPr>
        <w:pStyle w:val="Normal"/>
        <w:jc w:val="both"/>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80" w:before="280" w:line="360"/>
        <w:ind w:left="0" w:right="0" w:firstLine="0" w:firstLineChars="0"/>
      </w:pPr>
      <w:r>
        <w:rPr>
          <w:rFonts w:ascii="Times New Roman" w:hAnsi="Times New Roman" w:eastAsia="Times New Roman" w:cs="Times New Roman"/>
          <w:i w:val="false"/>
          <w:b w:val="true"/>
          <w:u w:val="none"/>
          <w:strike w:val="false"/>
          <w:sz w:val="22"/>
          <w:szCs w:val="22"/>
          <w:color w:val="000000"/>
        </w:rPr>
        <w:t xml:space="preserve">Table 4. TUDOR operating characteristics at three clinical thresholds.</w:t>
      </w:r>
    </w:p>
    <w:tbl xmlns:a="http://schemas.openxmlformats.org/drawingml/2006/main" xmlns:pic="http://schemas.openxmlformats.org/drawingml/2006/picture">
      <w:tblPr>
        <w:tblLayout w:type="fixed"/>
        <w:jc w:val="center"/>
        <w:tblLook w:firstRow="1" w:lastRow="0" w:firstColumn="0" w:lastColumn="0" w:noHBand="0" w:noVBand="1"/>
      </w:tblPr>
      <w:tblGrid>
        <w:gridCol w:w="3024"/>
        <w:gridCol w:w="1296"/>
        <w:gridCol w:w="1440"/>
        <w:gridCol w:w="1440"/>
        <w:gridCol w:w="1728"/>
        <w:gridCol w:w="1296"/>
        <w:gridCol w:w="1008"/>
      </w:tblGrid>
      <w:tr>
        <w:trPr>
          <w:trHeight w:val="360" w:hRule="auto"/>
          <w:tblHeader/>
        </w:trPr>
        header1
        <w:tc>
          <w:tcPr>
            <w:tcBorders>
              <w:bottom w:val="single" w:sz="8" w:space="0" w:color="333333"/>
              <w:top w:val="single" w:sz="8" w:space="0" w:color="333333"/>
              <w:left w:val="single" w:sz="8" w:space="0" w:color="333333"/>
              <w:right w:val="single" w:sz="4" w:space="0" w:color="CCCCCC"/>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Clinical Setting</w:t>
            </w:r>
          </w:p>
        </w:tc>
        <w:tc>
          <w:tcPr>
            <w:tcBorders>
              <w:bottom w:val="single" w:sz="8" w:space="0" w:color="333333"/>
              <w:top w:val="single" w:sz="8" w:space="0" w:color="333333"/>
              <w:left w:val="single" w:sz="4" w:space="0" w:color="CCCCCC"/>
              <w:right w:val="single" w:sz="4" w:space="0" w:color="CCCCCC"/>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Threshold</w:t>
            </w:r>
          </w:p>
        </w:tc>
        <w:tc>
          <w:tcPr>
            <w:tcBorders>
              <w:bottom w:val="single" w:sz="8" w:space="0" w:color="333333"/>
              <w:top w:val="single" w:sz="8" w:space="0" w:color="333333"/>
              <w:left w:val="single" w:sz="4" w:space="0" w:color="CCCCCC"/>
              <w:right w:val="single" w:sz="4" w:space="0" w:color="CCCCCC"/>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Sensitivity</w:t>
            </w:r>
          </w:p>
        </w:tc>
        <w:tc>
          <w:tcPr>
            <w:tcBorders>
              <w:bottom w:val="single" w:sz="8" w:space="0" w:color="333333"/>
              <w:top w:val="single" w:sz="8" w:space="0" w:color="333333"/>
              <w:left w:val="single" w:sz="4" w:space="0" w:color="CCCCCC"/>
              <w:right w:val="single" w:sz="4" w:space="0" w:color="CCCCCC"/>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Specificity</w:t>
            </w:r>
          </w:p>
        </w:tc>
        <w:tc>
          <w:tcPr>
            <w:tcBorders>
              <w:bottom w:val="single" w:sz="8" w:space="0" w:color="333333"/>
              <w:top w:val="single" w:sz="8" w:space="0" w:color="333333"/>
              <w:left w:val="single" w:sz="4" w:space="0" w:color="CCCCCC"/>
              <w:right w:val="single" w:sz="4" w:space="0" w:color="CCCCCC"/>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PPV (lipid clinic)</w:t>
            </w:r>
          </w:p>
        </w:tc>
        <w:tc>
          <w:tcPr>
            <w:tcBorders>
              <w:bottom w:val="single" w:sz="8" w:space="0" w:color="333333"/>
              <w:top w:val="single" w:sz="8" w:space="0" w:color="333333"/>
              <w:left w:val="single" w:sz="4" w:space="0" w:color="CCCCCC"/>
              <w:right w:val="single" w:sz="4" w:space="0" w:color="CCCCCC"/>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NPV</w:t>
            </w:r>
          </w:p>
        </w:tc>
        <w:tc>
          <w:tcPr>
            <w:tcBorders>
              <w:bottom w:val="single" w:sz="8" w:space="0" w:color="333333"/>
              <w:top w:val="single" w:sz="8" w:space="0" w:color="333333"/>
              <w:left w:val="single" w:sz="4" w:space="0" w:color="CCCCCC"/>
              <w:right w:val="single" w:sz="8" w:space="0" w:color="333333"/>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LR+</w:t>
            </w:r>
          </w:p>
        </w:tc>
      </w:tr>
      <w:tr>
        <w:trPr>
          <w:trHeight w:val="360" w:hRule="auto"/>
        </w:trPr>
        body1
        <w:tc>
          <w:tcPr>
            <w:tcBorders>
              <w:bottom w:val="single" w:sz="4" w:space="0" w:color="CCCCCC"/>
              <w:top w:val="single" w:sz="8" w:space="0" w:color="333333"/>
              <w:left w:val="single" w:sz="8" w:space="0" w:color="333333"/>
              <w:right w:val="single" w:sz="4" w:space="0" w:color="CCCCCC"/>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Population screening</w:t>
            </w:r>
          </w:p>
        </w:tc>
        <w:tc>
          <w:tcPr>
            <w:tcBorders>
              <w:bottom w:val="single" w:sz="4" w:space="0" w:color="CCCCCC"/>
              <w:top w:val="single" w:sz="8" w:space="0" w:color="333333"/>
              <w:left w:val="single" w:sz="4" w:space="0" w:color="CCCCCC"/>
              <w:right w:val="single" w:sz="4" w:space="0" w:color="CCCCCC"/>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0.003</w:t>
            </w:r>
          </w:p>
        </w:tc>
        <w:tc>
          <w:tcPr>
            <w:tcBorders>
              <w:bottom w:val="single" w:sz="4" w:space="0" w:color="CCCCCC"/>
              <w:top w:val="single" w:sz="8" w:space="0" w:color="333333"/>
              <w:left w:val="single" w:sz="4" w:space="0" w:color="CCCCCC"/>
              <w:right w:val="single" w:sz="4" w:space="0" w:color="CCCCCC"/>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94.0%</w:t>
            </w:r>
          </w:p>
        </w:tc>
        <w:tc>
          <w:tcPr>
            <w:tcBorders>
              <w:bottom w:val="single" w:sz="4" w:space="0" w:color="CCCCCC"/>
              <w:top w:val="single" w:sz="8" w:space="0" w:color="333333"/>
              <w:left w:val="single" w:sz="4" w:space="0" w:color="CCCCCC"/>
              <w:right w:val="single" w:sz="4" w:space="0" w:color="CCCCCC"/>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17.6%</w:t>
            </w:r>
          </w:p>
        </w:tc>
        <w:tc>
          <w:tcPr>
            <w:tcBorders>
              <w:bottom w:val="single" w:sz="4" w:space="0" w:color="CCCCCC"/>
              <w:top w:val="single" w:sz="8" w:space="0" w:color="333333"/>
              <w:left w:val="single" w:sz="4" w:space="0" w:color="CCCCCC"/>
              <w:right w:val="single" w:sz="4" w:space="0" w:color="CCCCCC"/>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w:t>
            </w:r>
          </w:p>
        </w:tc>
        <w:tc>
          <w:tcPr>
            <w:tcBorders>
              <w:bottom w:val="single" w:sz="4" w:space="0" w:color="CCCCCC"/>
              <w:top w:val="single" w:sz="8" w:space="0" w:color="333333"/>
              <w:left w:val="single" w:sz="4" w:space="0" w:color="CCCCCC"/>
              <w:right w:val="single" w:sz="4" w:space="0" w:color="CCCCCC"/>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99.5%</w:t>
            </w:r>
          </w:p>
        </w:tc>
        <w:tc>
          <w:tcPr>
            <w:tcBorders>
              <w:bottom w:val="single" w:sz="4" w:space="0" w:color="CCCCCC"/>
              <w:top w:val="single" w:sz="8" w:space="0" w:color="333333"/>
              <w:left w:val="single" w:sz="4" w:space="0" w:color="CCCCCC"/>
              <w:right w:val="single" w:sz="8" w:space="0" w:color="333333"/>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1.14</w:t>
            </w:r>
          </w:p>
        </w:tc>
      </w:tr>
      <w:tr>
        <w:trPr>
          <w:trHeight w:val="360" w:hRule="auto"/>
        </w:trPr>
        body2
        <w:tc>
          <w:tcPr>
            <w:tcBorders>
              <w:bottom w:val="single" w:sz="4" w:space="0" w:color="CCCCCC"/>
              <w:top w:val="single" w:sz="4" w:space="0" w:color="CCCCCC"/>
              <w:left w:val="single" w:sz="8" w:space="0" w:color="333333"/>
              <w:right w:val="single" w:sz="4" w:space="0" w:color="CCCCCC"/>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Lipid clinic triage (Youden optimal)</w:t>
            </w:r>
          </w:p>
        </w:tc>
        <w:tc>
          <w:tcPr>
            <w:tcBorders>
              <w:bottom w:val="single" w:sz="4" w:space="0" w:color="CCCCCC"/>
              <w:top w:val="single" w:sz="4" w:space="0" w:color="CCCCCC"/>
              <w:left w:val="single" w:sz="4" w:space="0" w:color="CCCCCC"/>
              <w:right w:val="single" w:sz="4" w:space="0" w:color="CCCCCC"/>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0.045</w:t>
            </w:r>
          </w:p>
        </w:tc>
        <w:tc>
          <w:tcPr>
            <w:tcBorders>
              <w:bottom w:val="single" w:sz="4" w:space="0" w:color="CCCCCC"/>
              <w:top w:val="single" w:sz="4" w:space="0" w:color="CCCCCC"/>
              <w:left w:val="single" w:sz="4" w:space="0" w:color="CCCCCC"/>
              <w:right w:val="single" w:sz="4" w:space="0" w:color="CCCCCC"/>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64.2%</w:t>
            </w:r>
          </w:p>
        </w:tc>
        <w:tc>
          <w:tcPr>
            <w:tcBorders>
              <w:bottom w:val="single" w:sz="4" w:space="0" w:color="CCCCCC"/>
              <w:top w:val="single" w:sz="4" w:space="0" w:color="CCCCCC"/>
              <w:left w:val="single" w:sz="4" w:space="0" w:color="CCCCCC"/>
              <w:right w:val="single" w:sz="4" w:space="0" w:color="CCCCCC"/>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81.1%</w:t>
            </w:r>
          </w:p>
        </w:tc>
        <w:tc>
          <w:tcPr>
            <w:tcBorders>
              <w:bottom w:val="single" w:sz="4" w:space="0" w:color="CCCCCC"/>
              <w:top w:val="single" w:sz="4" w:space="0" w:color="CCCCCC"/>
              <w:left w:val="single" w:sz="4" w:space="0" w:color="CCCCCC"/>
              <w:right w:val="single" w:sz="4" w:space="0" w:color="CCCCCC"/>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4.3%</w:t>
            </w:r>
          </w:p>
        </w:tc>
        <w:tc>
          <w:tcPr>
            <w:tcBorders>
              <w:bottom w:val="single" w:sz="4" w:space="0" w:color="CCCCCC"/>
              <w:top w:val="single" w:sz="4" w:space="0" w:color="CCCCCC"/>
              <w:left w:val="single" w:sz="4" w:space="0" w:color="CCCCCC"/>
              <w:right w:val="single" w:sz="4" w:space="0" w:color="CCCCCC"/>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98.9%</w:t>
            </w:r>
          </w:p>
        </w:tc>
        <w:tc>
          <w:tcPr>
            <w:tcBorders>
              <w:bottom w:val="single" w:sz="4" w:space="0" w:color="CCCCCC"/>
              <w:top w:val="single" w:sz="4" w:space="0" w:color="CCCCCC"/>
              <w:left w:val="single" w:sz="4" w:space="0" w:color="CCCCCC"/>
              <w:right w:val="single" w:sz="8" w:space="0" w:color="333333"/>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3.40</w:t>
            </w:r>
          </w:p>
        </w:tc>
      </w:tr>
      <w:tr>
        <w:trPr>
          <w:trHeight w:val="360" w:hRule="auto"/>
        </w:trPr>
        body3
        <w:tc>
          <w:tcPr>
            <w:tcBorders>
              <w:bottom w:val="single" w:sz="8" w:space="0" w:color="333333"/>
              <w:top w:val="single" w:sz="4" w:space="0" w:color="CCCCCC"/>
              <w:left w:val="single" w:sz="8" w:space="0" w:color="333333"/>
              <w:right w:val="single" w:sz="4" w:space="0" w:color="CCCCCC"/>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Cascade confirmation</w:t>
            </w:r>
          </w:p>
        </w:tc>
        <w:tc>
          <w:tcPr>
            <w:tcBorders>
              <w:bottom w:val="single" w:sz="8" w:space="0" w:color="333333"/>
              <w:top w:val="single" w:sz="4" w:space="0" w:color="CCCCCC"/>
              <w:left w:val="single" w:sz="4" w:space="0" w:color="CCCCCC"/>
              <w:right w:val="single" w:sz="4" w:space="0" w:color="CCCCCC"/>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0.159</w:t>
            </w:r>
          </w:p>
        </w:tc>
        <w:tc>
          <w:tcPr>
            <w:tcBorders>
              <w:bottom w:val="single" w:sz="8" w:space="0" w:color="333333"/>
              <w:top w:val="single" w:sz="4" w:space="0" w:color="CCCCCC"/>
              <w:left w:val="single" w:sz="4" w:space="0" w:color="CCCCCC"/>
              <w:right w:val="single" w:sz="4" w:space="0" w:color="CCCCCC"/>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38.5%</w:t>
            </w:r>
          </w:p>
        </w:tc>
        <w:tc>
          <w:tcPr>
            <w:tcBorders>
              <w:bottom w:val="single" w:sz="8" w:space="0" w:color="333333"/>
              <w:top w:val="single" w:sz="4" w:space="0" w:color="CCCCCC"/>
              <w:left w:val="single" w:sz="4" w:space="0" w:color="CCCCCC"/>
              <w:right w:val="single" w:sz="4" w:space="0" w:color="CCCCCC"/>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95.0%</w:t>
            </w:r>
          </w:p>
        </w:tc>
        <w:tc>
          <w:tcPr>
            <w:tcBorders>
              <w:bottom w:val="single" w:sz="8" w:space="0" w:color="333333"/>
              <w:top w:val="single" w:sz="4" w:space="0" w:color="CCCCCC"/>
              <w:left w:val="single" w:sz="4" w:space="0" w:color="CCCCCC"/>
              <w:right w:val="single" w:sz="4" w:space="0" w:color="CCCCCC"/>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9.2%</w:t>
            </w:r>
          </w:p>
        </w:tc>
        <w:tc>
          <w:tcPr>
            <w:tcBorders>
              <w:bottom w:val="single" w:sz="8" w:space="0" w:color="333333"/>
              <w:top w:val="single" w:sz="4" w:space="0" w:color="CCCCCC"/>
              <w:left w:val="single" w:sz="4" w:space="0" w:color="CCCCCC"/>
              <w:right w:val="single" w:sz="4" w:space="0" w:color="CCCCCC"/>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97.2%</w:t>
            </w:r>
          </w:p>
        </w:tc>
        <w:tc>
          <w:tcPr>
            <w:tcBorders>
              <w:bottom w:val="single" w:sz="8" w:space="0" w:color="333333"/>
              <w:top w:val="single" w:sz="4" w:space="0" w:color="CCCCCC"/>
              <w:left w:val="single" w:sz="4" w:space="0" w:color="CCCCCC"/>
              <w:right w:val="single" w:sz="8" w:space="0" w:color="333333"/>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7.73</w:t>
            </w:r>
          </w:p>
        </w:tc>
      </w:tr>
    </w:tbl>
    <w:p>
      <w:pPr>
        <w:pStyle w:val="Normal"/>
        <w:jc w:val="left"/>
        <w:pBdr>
          <w:bottom w:val="none" w:sz="0" w:space="0" w:color="000000"/>
          <w:top w:val="none" w:sz="0" w:space="0" w:color="000000"/>
          <w:left w:val="none" w:sz="0" w:space="0" w:color="000000"/>
          <w:right w:val="none" w:sz="0" w:space="0" w:color="000000"/>
        </w:pBdr>
        <w:spacing w:after="120" w:before="40" w:line="288"/>
        <w:ind w:left="0" w:right="0" w:firstLine="0" w:firstLineChars="0"/>
      </w:pPr>
      <w:r>
        <w:rPr>
          <w:rFonts w:ascii="Times New Roman" w:hAnsi="Times New Roman" w:eastAsia="Times New Roman" w:cs="Times New Roman"/>
          <w:i w:val="true"/>
          <w:b w:val="false"/>
          <w:u w:val="none"/>
          <w:strike w:val="false"/>
          <w:sz w:val="20"/>
          <w:szCs w:val="20"/>
          <w:color w:val="000000"/>
        </w:rPr>
        <w:t xml:space="preserve">PPV and NPV are calculated at lipid clinic prevalence (FH 34.1% in Wales validation cohort). LR+ = positive likelihood ratio = sensitivity / (1 − specificity). Population screening threshold (0.003): maximises sensitivity for initial triage; suitable for GP or electronic health record-based flagging. Lipid clinic triage threshold (0.045): Youden-optimal (maximises sensitivity + specificity − 1); suitable for prioritising genetic testing in specialist clinic. Cascade confirmation threshold (0.159): maximises specificity at 95%; suitable for high-confidence cascade confirmation. NPV &gt;97% at all thresholds confirms TUDOR is safe to use as a rule-out at the population screening threshold.</w:t>
      </w:r>
    </w:p>
    <w:p>
      <w:pPr/>
      <w:r>
        <w:br w:type="page"/>
      </w:r>
    </w:p>
    <w:p>
      <w:pPr>
        <w:pStyle w:val="Normal"/>
        <w:jc w:val="left"/>
        <w:pBdr>
          <w:bottom w:val="none" w:sz="0" w:space="0" w:color="000000"/>
          <w:top w:val="none" w:sz="0" w:space="0" w:color="000000"/>
          <w:left w:val="none" w:sz="0" w:space="0" w:color="000000"/>
          <w:right w:val="none" w:sz="0" w:space="0" w:color="000000"/>
        </w:pBdr>
        <w:spacing w:after="120" w:before="360" w:line="360"/>
        <w:ind w:left="0" w:right="0" w:firstLine="0" w:firstLineChars="0"/>
      </w:pPr>
      <w:r>
        <w:rPr>
          <w:rFonts w:ascii="Times New Roman" w:hAnsi="Times New Roman" w:eastAsia="Times New Roman" w:cs="Times New Roman"/>
          <w:i w:val="false"/>
          <w:b w:val="true"/>
          <w:u w:val="none"/>
          <w:strike w:val="false"/>
          <w:sz w:val="28"/>
          <w:szCs w:val="28"/>
          <w:color w:val="000000"/>
        </w:rPr>
        <w:t xml:space="preserve">Figure Legends</w:t>
      </w:r>
    </w:p>
    <w:p>
      <w:pPr>
        <w:pStyle w:val="Normal"/>
        <w:jc w:val="left"/>
        <w:pBdr>
          <w:bottom w:val="none" w:sz="0" w:space="0" w:color="000000"/>
          <w:top w:val="none" w:sz="0" w:space="0" w:color="000000"/>
          <w:left w:val="none" w:sz="0" w:space="0" w:color="000000"/>
          <w:right w:val="none" w:sz="0" w:space="0" w:color="000000"/>
        </w:pBdr>
        <w:spacing w:after="200" w:before="120" w:line="36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Figure 1.</w:t>
      </w:r>
      <w:r>
        <w:rPr>
          <w:rFonts w:ascii="Times New Roman" w:hAnsi="Times New Roman" w:eastAsia="Times New Roman" w:cs="Times New Roman"/>
          <w:i w:val="false"/>
          <w:b w:val="true"/>
          <w:u w:val="none"/>
          <w:strike w:val="false"/>
          <w:sz w:val="24"/>
          <w:szCs w:val="24"/>
          <w:color w:val="000000"/>
        </w:rPr>
        <w:t xml:space="preserve"> Receiver Operating Characteristic Curves: TUDOR vs DLCN, Wales Validation Cohort. </w:t>
      </w:r>
      <w:r>
        <w:rPr>
          <w:rFonts w:ascii="Times New Roman" w:hAnsi="Times New Roman" w:eastAsia="Times New Roman" w:cs="Times New Roman"/>
          <w:i w:val="false"/>
          <w:b w:val="false"/>
          <w:u w:val="none"/>
          <w:strike w:val="false"/>
          <w:sz w:val="24"/>
          <w:szCs w:val="24"/>
          <w:color w:val="000000"/>
        </w:rPr>
        <w:t xml:space="preserve">ROC curves for TUDOR (blue) and DLCN criteria (red) in the Wales internal validation cohort (n=6,448; FH prevalence 34.1%). TUDOR AUC 0.776 (95% CI 0.763–0.789) vs DLCN AUC 0.698 (95% CI 0.685–0.711; DeLong p&lt;0.001). The 45° reference line represents chance discrimination. Shaded regions indicate 95% confidence bands. The Youden-optimal threshold (0.045) is annotated with a filled circle on the TUDOR curve. AUC = area under the curve; CI = confidence interval; DLCN = Dutch Lipid Clinic Network.</w:t>
      </w:r>
    </w:p>
    <w:p>
      <w:pPr>
        <w:pStyle w:val="Normal"/>
        <w:jc w:val="left"/>
        <w:pBdr>
          <w:bottom w:val="none" w:sz="0" w:space="0" w:color="000000"/>
          <w:top w:val="none" w:sz="0" w:space="0" w:color="000000"/>
          <w:left w:val="none" w:sz="0" w:space="0" w:color="000000"/>
          <w:right w:val="none" w:sz="0" w:space="0" w:color="000000"/>
        </w:pBdr>
        <w:spacing w:after="200" w:before="120" w:line="36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Figure 2.</w:t>
      </w:r>
      <w:r>
        <w:rPr>
          <w:rFonts w:ascii="Times New Roman" w:hAnsi="Times New Roman" w:eastAsia="Times New Roman" w:cs="Times New Roman"/>
          <w:i w:val="false"/>
          <w:b w:val="true"/>
          <w:u w:val="none"/>
          <w:strike w:val="false"/>
          <w:sz w:val="24"/>
          <w:szCs w:val="24"/>
          <w:color w:val="000000"/>
        </w:rPr>
        <w:t xml:space="preserve"> Calibration Plot: TUDOR in South Wales External Validation Cohort. </w:t>
      </w:r>
      <w:r>
        <w:rPr>
          <w:rFonts w:ascii="Times New Roman" w:hAnsi="Times New Roman" w:eastAsia="Times New Roman" w:cs="Times New Roman"/>
          <w:i w:val="false"/>
          <w:b w:val="false"/>
          <w:u w:val="none"/>
          <w:strike w:val="false"/>
          <w:sz w:val="24"/>
          <w:szCs w:val="24"/>
          <w:color w:val="000000"/>
        </w:rPr>
        <w:t xml:space="preserve">Calibration of TUDOR predicted probabilities against observed FH prevalence in 10 equally sized probability deciles (n=1,072; FH 31.3%). The x-axis represents mean predicted probability and the y-axis represents observed FH proportion. The dashed diagonal represents perfect calibration. Pre-recalibration points (open circles) demonstrate overestimation consistent with training prevalence mismatch (slope 12.4). Post-Platt recalibration points (filled circles) lie on the diagonal (slope 1.000). Error bars represent 95% Wilson score confidence intervals for observed proportions. Hosmer-Lemeshow p=0.41 (post-recalibration, indicating adequate fit).</w:t>
      </w:r>
    </w:p>
    <w:p>
      <w:pPr>
        <w:pStyle w:val="Normal"/>
        <w:jc w:val="left"/>
        <w:pBdr>
          <w:bottom w:val="none" w:sz="0" w:space="0" w:color="000000"/>
          <w:top w:val="none" w:sz="0" w:space="0" w:color="000000"/>
          <w:left w:val="none" w:sz="0" w:space="0" w:color="000000"/>
          <w:right w:val="none" w:sz="0" w:space="0" w:color="000000"/>
        </w:pBdr>
        <w:spacing w:after="200" w:before="120" w:line="36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Figure 3.</w:t>
      </w:r>
      <w:r>
        <w:rPr>
          <w:rFonts w:ascii="Times New Roman" w:hAnsi="Times New Roman" w:eastAsia="Times New Roman" w:cs="Times New Roman"/>
          <w:i w:val="false"/>
          <w:b w:val="true"/>
          <w:u w:val="none"/>
          <w:strike w:val="false"/>
          <w:sz w:val="24"/>
          <w:szCs w:val="24"/>
          <w:color w:val="000000"/>
        </w:rPr>
        <w:t xml:space="preserve"> Triglyceride Filter Distribution by Genetic Variant Status. </w:t>
      </w:r>
      <w:r>
        <w:rPr>
          <w:rFonts w:ascii="Times New Roman" w:hAnsi="Times New Roman" w:eastAsia="Times New Roman" w:cs="Times New Roman"/>
          <w:i w:val="false"/>
          <w:b w:val="false"/>
          <w:u w:val="none"/>
          <w:strike w:val="false"/>
          <w:sz w:val="24"/>
          <w:szCs w:val="24"/>
          <w:color w:val="000000"/>
        </w:rPr>
        <w:t xml:space="preserve">Violin plots of the Triglyceride Filter (TRG = LDL_untreated / (TG + 0.1)) stratified by genotype group: Non-FH (n=110,402), LDLR (n=2,830), APOB (n=549), PCSK9 (n=24). Horizontal line within violin: median; box: interquartile range. Pairwise effect sizes (Cohen’s d): LDLR vs Non-FH d=1.21; APOB vs Non-FH d=1.35. Inset panel shows TRG distribution in T2DM (orange) vs non-T2DM (blue) participants within the Non-FH group, demonstrating the 0.681-unit attenuation attributable to T2DM (beta=−0.477; p=8.2×10⁻⁷⁰). TRG = Triglyceride Filter; T2DM = type 2 diabetes mellitus.</w:t>
      </w:r>
    </w:p>
    <w:p>
      <w:pPr>
        <w:pStyle w:val="Normal"/>
        <w:jc w:val="left"/>
        <w:pBdr>
          <w:bottom w:val="none" w:sz="0" w:space="0" w:color="000000"/>
          <w:top w:val="none" w:sz="0" w:space="0" w:color="000000"/>
          <w:left w:val="none" w:sz="0" w:space="0" w:color="000000"/>
          <w:right w:val="none" w:sz="0" w:space="0" w:color="000000"/>
        </w:pBdr>
        <w:spacing w:after="200" w:before="120" w:line="36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Figure 4.</w:t>
      </w:r>
      <w:r>
        <w:rPr>
          <w:rFonts w:ascii="Times New Roman" w:hAnsi="Times New Roman" w:eastAsia="Times New Roman" w:cs="Times New Roman"/>
          <w:i w:val="false"/>
          <w:b w:val="true"/>
          <w:u w:val="none"/>
          <w:strike w:val="false"/>
          <w:sz w:val="24"/>
          <w:szCs w:val="24"/>
          <w:color w:val="000000"/>
        </w:rPr>
        <w:t xml:space="preserve"> TUDOR Clinical Operating Threshold Decision Chart. </w:t>
      </w:r>
      <w:r>
        <w:rPr>
          <w:rFonts w:ascii="Times New Roman" w:hAnsi="Times New Roman" w:eastAsia="Times New Roman" w:cs="Times New Roman"/>
          <w:i w:val="false"/>
          <w:b w:val="false"/>
          <w:u w:val="none"/>
          <w:strike w:val="false"/>
          <w:sz w:val="24"/>
          <w:szCs w:val="24"/>
          <w:color w:val="000000"/>
        </w:rPr>
        <w:t xml:space="preserve">Sensitivity (blue) and specificity (red) of TUDOR as a function of decision threshold, with three pre-specified operating points annotated: population screening (threshold 0.003; circle), lipid clinic triage/Youden optimal (threshold 0.045; triangle), and cascade confirmation (threshold 0.159; square). The y-axis represents the proportion (0 to 1.0). The shaded grey region indicates the threshold range between Youden optimal and cascade confirmation. Positive predictive value at lipid clinic prevalence (34.1%) is shown as the dashed green line on the secondary y-axis. LR+ values are annotated at each operating point. LR+ = positive likelihood ratio.</w:t>
      </w:r>
    </w:p>
    <w:p>
      <w:pPr>
        <w:pStyle w:val="Normal"/>
        <w:jc w:val="left"/>
        <w:pBdr>
          <w:bottom w:val="none" w:sz="0" w:space="0" w:color="000000"/>
          <w:top w:val="none" w:sz="0" w:space="0" w:color="000000"/>
          <w:left w:val="none" w:sz="0" w:space="0" w:color="000000"/>
          <w:right w:val="none" w:sz="0" w:space="0" w:color="000000"/>
        </w:pBdr>
        <w:spacing w:after="200" w:before="120" w:line="36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Figure 5.</w:t>
      </w:r>
      <w:r>
        <w:rPr>
          <w:rFonts w:ascii="Times New Roman" w:hAnsi="Times New Roman" w:eastAsia="Times New Roman" w:cs="Times New Roman"/>
          <w:i w:val="false"/>
          <w:b w:val="true"/>
          <w:u w:val="none"/>
          <w:strike w:val="false"/>
          <w:sz w:val="24"/>
          <w:szCs w:val="24"/>
          <w:color w:val="000000"/>
        </w:rPr>
        <w:t xml:space="preserve"> UK Biobank Lipid-Clinic Eligible Cohort: Comorbidity and Biomarker Availability. </w:t>
      </w:r>
      <w:r>
        <w:rPr>
          <w:rFonts w:ascii="Times New Roman" w:hAnsi="Times New Roman" w:eastAsia="Times New Roman" w:cs="Times New Roman"/>
          <w:i w:val="false"/>
          <w:b w:val="false"/>
          <w:u w:val="none"/>
          <w:strike w:val="false"/>
          <w:sz w:val="24"/>
          <w:szCs w:val="24"/>
          <w:color w:val="000000"/>
        </w:rPr>
        <w:t xml:space="preserve">Bar charts summarising comorbidity prevalence and biomarker availability in the UK Biobank lipid-clinic eligible cohort (n=37,050; LDL ≥4.9 or TC ≥7.5 mmol/L). Panel A: prevalence of T2DM (5.7%), any ASCVD (12.9%), and premature ASCVD (3.0%) overall and stratified by self-reported ethnicity (White British, South Asian, Black African-Caribbean, Other). South Asian: ASCVD 19.0%, T2DM 21.4%. Panel B: proportion with available ApoB (50.0%) and Lp(a) (11.0%) measurements. Panel C: TUDOR recalibrated score distribution in FH-positive (red) vs FH-negative (grey) participants after Platt recalibration. ASCVD = atherosclerotic cardiovascular disease; T2DM = type 2 diabetes mellitus; Lp(a) = lipoprotein(a).</w:t>
      </w:r>
    </w:p>
    <w:p>
      <w:pPr/>
      <w:r>
        <w:br w:type="page"/>
      </w:r>
    </w:p>
    <w:p>
      <w:pPr>
        <w:pStyle w:val="Normal"/>
        <w:jc w:val="left"/>
        <w:pBdr>
          <w:bottom w:val="none" w:sz="0" w:space="0" w:color="000000"/>
          <w:top w:val="none" w:sz="0" w:space="0" w:color="000000"/>
          <w:left w:val="none" w:sz="0" w:space="0" w:color="000000"/>
          <w:right w:val="none" w:sz="0" w:space="0" w:color="000000"/>
        </w:pBdr>
        <w:spacing w:after="120" w:before="360" w:line="360"/>
        <w:ind w:left="0" w:right="0" w:firstLine="0" w:firstLineChars="0"/>
      </w:pPr>
      <w:r>
        <w:rPr>
          <w:rFonts w:ascii="Times New Roman" w:hAnsi="Times New Roman" w:eastAsia="Times New Roman" w:cs="Times New Roman"/>
          <w:i w:val="false"/>
          <w:b w:val="true"/>
          <w:u w:val="none"/>
          <w:strike w:val="false"/>
          <w:sz w:val="28"/>
          <w:szCs w:val="28"/>
          <w:color w:val="000000"/>
        </w:rPr>
        <w:t xml:space="preserve">References</w:t>
      </w:r>
    </w:p>
    <w:p>
      <w:pPr>
        <w:pStyle w:val="Normal"/>
        <w:jc w:val="left"/>
        <w:pBdr>
          <w:bottom w:val="none" w:sz="0" w:space="0" w:color="000000"/>
          <w:top w:val="none" w:sz="0" w:space="0" w:color="000000"/>
          <w:left w:val="none" w:sz="0" w:space="0" w:color="000000"/>
          <w:right w:val="none" w:sz="0" w:space="0" w:color="000000"/>
        </w:pBdr>
        <w:spacing w:after="80" w:before="0" w:line="288"/>
        <w:ind w:left="0" w:right="0" w:firstLine="0" w:firstLineChars="0"/>
      </w:pPr>
      <w:r>
        <w:rPr>
          <w:rFonts w:ascii="Times New Roman" w:hAnsi="Times New Roman" w:eastAsia="Times New Roman" w:cs="Times New Roman"/>
          <w:i w:val="false"/>
          <w:b w:val="false"/>
          <w:u w:val="none"/>
          <w:strike w:val="false"/>
          <w:sz w:val="22"/>
          <w:szCs w:val="22"/>
          <w:color w:val="000000"/>
        </w:rPr>
        <w:t xml:space="preserve">1. Nordestgaard BG, Chapman MJ, Humphries SE, et al. Familial hypercholesterolaemia is underdiagnosed and undertreated in the general population. Eur Heart J. 2013;34(45):3478–3490.</w:t>
      </w:r>
    </w:p>
    <w:p>
      <w:pPr>
        <w:pStyle w:val="Normal"/>
        <w:jc w:val="left"/>
        <w:pBdr>
          <w:bottom w:val="none" w:sz="0" w:space="0" w:color="000000"/>
          <w:top w:val="none" w:sz="0" w:space="0" w:color="000000"/>
          <w:left w:val="none" w:sz="0" w:space="0" w:color="000000"/>
          <w:right w:val="none" w:sz="0" w:space="0" w:color="000000"/>
        </w:pBdr>
        <w:spacing w:after="80" w:before="0" w:line="288"/>
        <w:ind w:left="0" w:right="0" w:firstLine="0" w:firstLineChars="0"/>
      </w:pPr>
      <w:r>
        <w:rPr>
          <w:rFonts w:ascii="Times New Roman" w:hAnsi="Times New Roman" w:eastAsia="Times New Roman" w:cs="Times New Roman"/>
          <w:i w:val="false"/>
          <w:b w:val="false"/>
          <w:u w:val="none"/>
          <w:strike w:val="false"/>
          <w:sz w:val="22"/>
          <w:szCs w:val="22"/>
          <w:color w:val="000000"/>
        </w:rPr>
        <w:t xml:space="preserve">2. Defesche JC, Gidding SS, Harada-Shiba M, Hegele RA, Santos RD, Wierzbicki AS. Familial hypercholesterolaemia. Nat Rev Dis Primers. 2017;3:17093.</w:t>
      </w:r>
    </w:p>
    <w:p>
      <w:pPr>
        <w:pStyle w:val="Normal"/>
        <w:jc w:val="left"/>
        <w:pBdr>
          <w:bottom w:val="none" w:sz="0" w:space="0" w:color="000000"/>
          <w:top w:val="none" w:sz="0" w:space="0" w:color="000000"/>
          <w:left w:val="none" w:sz="0" w:space="0" w:color="000000"/>
          <w:right w:val="none" w:sz="0" w:space="0" w:color="000000"/>
        </w:pBdr>
        <w:spacing w:after="80" w:before="0" w:line="288"/>
        <w:ind w:left="0" w:right="0" w:firstLine="0" w:firstLineChars="0"/>
      </w:pPr>
      <w:r>
        <w:rPr>
          <w:rFonts w:ascii="Times New Roman" w:hAnsi="Times New Roman" w:eastAsia="Times New Roman" w:cs="Times New Roman"/>
          <w:i w:val="false"/>
          <w:b w:val="false"/>
          <w:u w:val="none"/>
          <w:strike w:val="false"/>
          <w:sz w:val="22"/>
          <w:szCs w:val="22"/>
          <w:color w:val="000000"/>
        </w:rPr>
        <w:t xml:space="preserve">3. Marks D, Thorogood M, Neil HAW, Humphries SE. A review on the diagnosis, natural history, and treatment of familial hypercholesterolaemia. Atherosclerosis. 2003;168(1):1–14.</w:t>
      </w:r>
    </w:p>
    <w:p>
      <w:pPr>
        <w:pStyle w:val="Normal"/>
        <w:jc w:val="left"/>
        <w:pBdr>
          <w:bottom w:val="none" w:sz="0" w:space="0" w:color="000000"/>
          <w:top w:val="none" w:sz="0" w:space="0" w:color="000000"/>
          <w:left w:val="none" w:sz="0" w:space="0" w:color="000000"/>
          <w:right w:val="none" w:sz="0" w:space="0" w:color="000000"/>
        </w:pBdr>
        <w:spacing w:after="80" w:before="0" w:line="288"/>
        <w:ind w:left="0" w:right="0" w:firstLine="0" w:firstLineChars="0"/>
      </w:pPr>
      <w:r>
        <w:rPr>
          <w:rFonts w:ascii="Times New Roman" w:hAnsi="Times New Roman" w:eastAsia="Times New Roman" w:cs="Times New Roman"/>
          <w:i w:val="false"/>
          <w:b w:val="false"/>
          <w:u w:val="none"/>
          <w:strike w:val="false"/>
          <w:sz w:val="22"/>
          <w:szCs w:val="22"/>
          <w:color w:val="000000"/>
        </w:rPr>
        <w:t xml:space="preserve">4. Goldstein JL, Brown MS. A century of cholesterol and coronaries: from plaques to genes to statins. Cell. 2015;161(1):161–172.</w:t>
      </w:r>
    </w:p>
    <w:p>
      <w:pPr>
        <w:pStyle w:val="Normal"/>
        <w:jc w:val="left"/>
        <w:pBdr>
          <w:bottom w:val="none" w:sz="0" w:space="0" w:color="000000"/>
          <w:top w:val="none" w:sz="0" w:space="0" w:color="000000"/>
          <w:left w:val="none" w:sz="0" w:space="0" w:color="000000"/>
          <w:right w:val="none" w:sz="0" w:space="0" w:color="000000"/>
        </w:pBdr>
        <w:spacing w:after="80" w:before="0" w:line="288"/>
        <w:ind w:left="0" w:right="0" w:firstLine="0" w:firstLineChars="0"/>
      </w:pPr>
      <w:r>
        <w:rPr>
          <w:rFonts w:ascii="Times New Roman" w:hAnsi="Times New Roman" w:eastAsia="Times New Roman" w:cs="Times New Roman"/>
          <w:i w:val="false"/>
          <w:b w:val="false"/>
          <w:u w:val="none"/>
          <w:strike w:val="false"/>
          <w:sz w:val="22"/>
          <w:szCs w:val="22"/>
          <w:color w:val="000000"/>
        </w:rPr>
        <w:t xml:space="preserve">5. Sabatine MS, Giugliano RP, Keech AC, et al. Evolocumab and clinical outcomes in patients with cardiovascular disease. N Engl J Med. 2017;376(18):1713–1722.</w:t>
      </w:r>
    </w:p>
    <w:p>
      <w:pPr>
        <w:pStyle w:val="Normal"/>
        <w:jc w:val="left"/>
        <w:pBdr>
          <w:bottom w:val="none" w:sz="0" w:space="0" w:color="000000"/>
          <w:top w:val="none" w:sz="0" w:space="0" w:color="000000"/>
          <w:left w:val="none" w:sz="0" w:space="0" w:color="000000"/>
          <w:right w:val="none" w:sz="0" w:space="0" w:color="000000"/>
        </w:pBdr>
        <w:spacing w:after="80" w:before="0" w:line="288"/>
        <w:ind w:left="0" w:right="0" w:firstLine="0" w:firstLineChars="0"/>
      </w:pPr>
      <w:r>
        <w:rPr>
          <w:rFonts w:ascii="Times New Roman" w:hAnsi="Times New Roman" w:eastAsia="Times New Roman" w:cs="Times New Roman"/>
          <w:i w:val="false"/>
          <w:b w:val="false"/>
          <w:u w:val="none"/>
          <w:strike w:val="false"/>
          <w:sz w:val="22"/>
          <w:szCs w:val="22"/>
          <w:color w:val="000000"/>
        </w:rPr>
        <w:t xml:space="preserve">6. Schwartz GG, Steg PG, Szarek M, et al. Alirocumab and cardiovascular outcomes after acute coronary syndrome. N Engl J Med. 2018;379(22):2097–2107.</w:t>
      </w:r>
    </w:p>
    <w:p>
      <w:pPr>
        <w:pStyle w:val="Normal"/>
        <w:jc w:val="left"/>
        <w:pBdr>
          <w:bottom w:val="none" w:sz="0" w:space="0" w:color="000000"/>
          <w:top w:val="none" w:sz="0" w:space="0" w:color="000000"/>
          <w:left w:val="none" w:sz="0" w:space="0" w:color="000000"/>
          <w:right w:val="none" w:sz="0" w:space="0" w:color="000000"/>
        </w:pBdr>
        <w:spacing w:after="80" w:before="0" w:line="288"/>
        <w:ind w:left="0" w:right="0" w:firstLine="0" w:firstLineChars="0"/>
      </w:pPr>
      <w:r>
        <w:rPr>
          <w:rFonts w:ascii="Times New Roman" w:hAnsi="Times New Roman" w:eastAsia="Times New Roman" w:cs="Times New Roman"/>
          <w:i w:val="false"/>
          <w:b w:val="false"/>
          <w:u w:val="none"/>
          <w:strike w:val="false"/>
          <w:sz w:val="22"/>
          <w:szCs w:val="22"/>
          <w:color w:val="000000"/>
        </w:rPr>
        <w:t xml:space="preserve">7. Ray KK, Wright RS, Kallend D, et al. Two phase 3 trials of inclisiran in patients with elevated LDL cholesterol. N Engl J Med. 2020;382(16):1507–1519.</w:t>
      </w:r>
    </w:p>
    <w:p>
      <w:pPr>
        <w:pStyle w:val="Normal"/>
        <w:jc w:val="left"/>
        <w:pBdr>
          <w:bottom w:val="none" w:sz="0" w:space="0" w:color="000000"/>
          <w:top w:val="none" w:sz="0" w:space="0" w:color="000000"/>
          <w:left w:val="none" w:sz="0" w:space="0" w:color="000000"/>
          <w:right w:val="none" w:sz="0" w:space="0" w:color="000000"/>
        </w:pBdr>
        <w:spacing w:after="80" w:before="0" w:line="288"/>
        <w:ind w:left="0" w:right="0" w:firstLine="0" w:firstLineChars="0"/>
      </w:pPr>
      <w:r>
        <w:rPr>
          <w:rFonts w:ascii="Times New Roman" w:hAnsi="Times New Roman" w:eastAsia="Times New Roman" w:cs="Times New Roman"/>
          <w:i w:val="false"/>
          <w:b w:val="false"/>
          <w:u w:val="none"/>
          <w:strike w:val="false"/>
          <w:sz w:val="22"/>
          <w:szCs w:val="22"/>
          <w:color w:val="000000"/>
        </w:rPr>
        <w:t xml:space="preserve">8. Raal FJ, Kallend D, Ray KK, et al. Inclisiran for the treatment of heterozygous familial hypercholesterolaemia. N Engl J Med. 2020;382(16):1520–1530.</w:t>
      </w:r>
    </w:p>
    <w:p>
      <w:pPr>
        <w:pStyle w:val="Normal"/>
        <w:jc w:val="left"/>
        <w:pBdr>
          <w:bottom w:val="none" w:sz="0" w:space="0" w:color="000000"/>
          <w:top w:val="none" w:sz="0" w:space="0" w:color="000000"/>
          <w:left w:val="none" w:sz="0" w:space="0" w:color="000000"/>
          <w:right w:val="none" w:sz="0" w:space="0" w:color="000000"/>
        </w:pBdr>
        <w:spacing w:after="80" w:before="0" w:line="288"/>
        <w:ind w:left="0" w:right="0" w:firstLine="0" w:firstLineChars="0"/>
      </w:pPr>
      <w:r>
        <w:rPr>
          <w:rFonts w:ascii="Times New Roman" w:hAnsi="Times New Roman" w:eastAsia="Times New Roman" w:cs="Times New Roman"/>
          <w:i w:val="false"/>
          <w:b w:val="false"/>
          <w:u w:val="none"/>
          <w:strike w:val="false"/>
          <w:sz w:val="22"/>
          <w:szCs w:val="22"/>
          <w:color w:val="000000"/>
        </w:rPr>
        <w:t xml:space="preserve">9. Watts GF, Sullivan DR, Poplawski N, et al. Familial hypercholesterolaemia: a model of care for Australasia. Atheroscler Suppl. 2011;12(2):221–263.</w:t>
      </w:r>
    </w:p>
    <w:p>
      <w:pPr>
        <w:pStyle w:val="Normal"/>
        <w:jc w:val="left"/>
        <w:pBdr>
          <w:bottom w:val="none" w:sz="0" w:space="0" w:color="000000"/>
          <w:top w:val="none" w:sz="0" w:space="0" w:color="000000"/>
          <w:left w:val="none" w:sz="0" w:space="0" w:color="000000"/>
          <w:right w:val="none" w:sz="0" w:space="0" w:color="000000"/>
        </w:pBdr>
        <w:spacing w:after="80" w:before="0" w:line="288"/>
        <w:ind w:left="0" w:right="0" w:firstLine="0" w:firstLineChars="0"/>
      </w:pPr>
      <w:r>
        <w:rPr>
          <w:rFonts w:ascii="Times New Roman" w:hAnsi="Times New Roman" w:eastAsia="Times New Roman" w:cs="Times New Roman"/>
          <w:i w:val="false"/>
          <w:b w:val="false"/>
          <w:u w:val="none"/>
          <w:strike w:val="false"/>
          <w:sz w:val="22"/>
          <w:szCs w:val="22"/>
          <w:color w:val="000000"/>
        </w:rPr>
        <w:t xml:space="preserve">10. Boekholdt SM, Arsenault BJ, Mora S, et al. Association of LDL cholesterol, non-HDL cholesterol, and apolipoprotein B levels with risk of cardiovascular events among patients treated with statins. JAMA. 2012;307(12):1302–1309.</w:t>
      </w:r>
    </w:p>
    <w:p>
      <w:pPr>
        <w:pStyle w:val="Normal"/>
        <w:jc w:val="left"/>
        <w:pBdr>
          <w:bottom w:val="none" w:sz="0" w:space="0" w:color="000000"/>
          <w:top w:val="none" w:sz="0" w:space="0" w:color="000000"/>
          <w:left w:val="none" w:sz="0" w:space="0" w:color="000000"/>
          <w:right w:val="none" w:sz="0" w:space="0" w:color="000000"/>
        </w:pBdr>
        <w:spacing w:after="80" w:before="0" w:line="288"/>
        <w:ind w:left="0" w:right="0" w:firstLine="0" w:firstLineChars="0"/>
      </w:pPr>
      <w:r>
        <w:rPr>
          <w:rFonts w:ascii="Times New Roman" w:hAnsi="Times New Roman" w:eastAsia="Times New Roman" w:cs="Times New Roman"/>
          <w:i w:val="false"/>
          <w:b w:val="false"/>
          <w:u w:val="none"/>
          <w:strike w:val="false"/>
          <w:sz w:val="22"/>
          <w:szCs w:val="22"/>
          <w:color w:val="000000"/>
        </w:rPr>
        <w:t xml:space="preserve">11. Wierzbicki AS, Humphries SE, Minhas R. Familial hypercholesterolaemia: summary of NICE guidance. BMJ. 2008;337:a1246.</w:t>
      </w:r>
    </w:p>
    <w:p>
      <w:pPr>
        <w:pStyle w:val="Normal"/>
        <w:jc w:val="left"/>
        <w:pBdr>
          <w:bottom w:val="none" w:sz="0" w:space="0" w:color="000000"/>
          <w:top w:val="none" w:sz="0" w:space="0" w:color="000000"/>
          <w:left w:val="none" w:sz="0" w:space="0" w:color="000000"/>
          <w:right w:val="none" w:sz="0" w:space="0" w:color="000000"/>
        </w:pBdr>
        <w:spacing w:after="80" w:before="0" w:line="288"/>
        <w:ind w:left="0" w:right="0" w:firstLine="0" w:firstLineChars="0"/>
      </w:pPr>
      <w:r>
        <w:rPr>
          <w:rFonts w:ascii="Times New Roman" w:hAnsi="Times New Roman" w:eastAsia="Times New Roman" w:cs="Times New Roman"/>
          <w:i w:val="false"/>
          <w:b w:val="false"/>
          <w:u w:val="none"/>
          <w:strike w:val="false"/>
          <w:sz w:val="22"/>
          <w:szCs w:val="22"/>
          <w:color w:val="000000"/>
        </w:rPr>
        <w:t xml:space="preserve">12. Collins GS, Reitsma JB, Altman DG, Moons KGM. Transparent reporting of a multivariable prediction model for individual prognosis or diagnosis (TRIPOD). Ann Intern Med. 2015;162(1):55–62.</w:t>
      </w:r>
    </w:p>
    <w:p>
      <w:pPr>
        <w:pStyle w:val="Normal"/>
        <w:jc w:val="left"/>
        <w:pBdr>
          <w:bottom w:val="none" w:sz="0" w:space="0" w:color="000000"/>
          <w:top w:val="none" w:sz="0" w:space="0" w:color="000000"/>
          <w:left w:val="none" w:sz="0" w:space="0" w:color="000000"/>
          <w:right w:val="none" w:sz="0" w:space="0" w:color="000000"/>
        </w:pBdr>
        <w:spacing w:after="80" w:before="0" w:line="288"/>
        <w:ind w:left="0" w:right="0" w:firstLine="0" w:firstLineChars="0"/>
      </w:pPr>
      <w:r>
        <w:rPr>
          <w:rFonts w:ascii="Times New Roman" w:hAnsi="Times New Roman" w:eastAsia="Times New Roman" w:cs="Times New Roman"/>
          <w:i w:val="false"/>
          <w:b w:val="false"/>
          <w:u w:val="none"/>
          <w:strike w:val="false"/>
          <w:sz w:val="22"/>
          <w:szCs w:val="22"/>
          <w:color w:val="000000"/>
        </w:rPr>
        <w:t xml:space="preserve">13. DeLong ER, DeLong DM, Clarke-Pearson DL. Comparing the areas under two or more correlated receiver operating characteristic curves. Biometrics. 1988;44(3):837–845.</w:t>
      </w:r>
    </w:p>
    <w:p>
      <w:pPr>
        <w:pStyle w:val="Normal"/>
        <w:jc w:val="left"/>
        <w:pBdr>
          <w:bottom w:val="none" w:sz="0" w:space="0" w:color="000000"/>
          <w:top w:val="none" w:sz="0" w:space="0" w:color="000000"/>
          <w:left w:val="none" w:sz="0" w:space="0" w:color="000000"/>
          <w:right w:val="none" w:sz="0" w:space="0" w:color="000000"/>
        </w:pBdr>
        <w:spacing w:after="80" w:before="0" w:line="288"/>
        <w:ind w:left="0" w:right="0" w:firstLine="0" w:firstLineChars="0"/>
      </w:pPr>
      <w:r>
        <w:rPr>
          <w:rFonts w:ascii="Times New Roman" w:hAnsi="Times New Roman" w:eastAsia="Times New Roman" w:cs="Times New Roman"/>
          <w:i w:val="false"/>
          <w:b w:val="false"/>
          <w:u w:val="none"/>
          <w:strike w:val="false"/>
          <w:sz w:val="22"/>
          <w:szCs w:val="22"/>
          <w:color w:val="000000"/>
        </w:rPr>
        <w:t xml:space="preserve">14. Pencina MJ, D’Agostino RB Sr, D’Agostino RB Jr, Vasan RS. Evaluating the added predictive ability of a new marker: from area under the ROC curve to reclassification and beyond. Stat Med. 2008;27(2):157–172.</w:t>
      </w:r>
    </w:p>
    <w:p>
      <w:pPr>
        <w:pStyle w:val="Normal"/>
        <w:jc w:val="left"/>
        <w:pBdr>
          <w:bottom w:val="none" w:sz="0" w:space="0" w:color="000000"/>
          <w:top w:val="none" w:sz="0" w:space="0" w:color="000000"/>
          <w:left w:val="none" w:sz="0" w:space="0" w:color="000000"/>
          <w:right w:val="none" w:sz="0" w:space="0" w:color="000000"/>
        </w:pBdr>
        <w:spacing w:after="80" w:before="0" w:line="288"/>
        <w:ind w:left="0" w:right="0" w:firstLine="0" w:firstLineChars="0"/>
      </w:pPr>
      <w:r>
        <w:rPr>
          <w:rFonts w:ascii="Times New Roman" w:hAnsi="Times New Roman" w:eastAsia="Times New Roman" w:cs="Times New Roman"/>
          <w:i w:val="false"/>
          <w:b w:val="false"/>
          <w:u w:val="none"/>
          <w:strike w:val="false"/>
          <w:sz w:val="22"/>
          <w:szCs w:val="22"/>
          <w:color w:val="000000"/>
        </w:rPr>
        <w:t xml:space="preserve">15. Jumper J, Evans R, Pritzel A, et al. Highly accurate protein structure prediction with AlphaFold. Nature. 2021;596(7873):583–589.</w:t>
      </w:r>
    </w:p>
    <w:sectPr>
      <w:pgMar w:header="706" w:bottom="1411" w:top="1411" w:right="1411" w:left="1411" w:footer="706" w:gutter="0"/>
      <w:pgSz w:h="16834" w:w="11909"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2026-03-29T18:27:07Z</dcterms:modified>
  <cp:category/>
</cp:coreProperties>
</file>