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320" w:before="240" w:line="480"/>
        <w:ind w:left="0" w:right="0" w:firstLine="0" w:firstLineChars="0"/>
      </w:pPr>
      <w:r>
        <w:rPr>
          <w:rFonts w:ascii="Times New Roman" w:hAnsi="Times New Roman" w:eastAsia="Times New Roman" w:cs="Times New Roman"/>
          <w:i w:val="false"/>
          <w:b w:val="true"/>
          <w:u w:val="none"/>
          <w:strike w:val="false"/>
          <w:color w:val="CC0000"/>
          <w:sz w:val="24"/>
          <w:szCs w:val="24"/>
        </w:rPr>
        <w:t xml:space="preserve">TUDOR: Development and Dual External Validation of a Treatment-Adjusted Diagnostic Algorithm for Familial Hypercholesterolaemia in 4,028 Genetically Confirmed Cases</w:t>
      </w:r>
    </w:p>
    <w:p>
      <w:pPr>
        <w:pStyle w:val="Normal"/>
        <w:jc w:val="center"/>
        <w:pBdr>
          <w:bottom w:val="none" w:sz="0" w:space="0" w:color="000000"/>
          <w:top w:val="none" w:sz="0" w:space="0" w:color="000000"/>
          <w:left w:val="none" w:sz="0" w:space="0" w:color="000000"/>
          <w:right w:val="none" w:sz="0" w:space="0" w:color="000000"/>
        </w:pBdr>
        <w:spacing w:after="16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Nader Genedy, MBBCh, MRCPUK, MRCPI, SCE(AIM), MRCGPUK, PgD¹*; Soha Zouwail, FRCPath, MD, PhD¹</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¹ Department of Metabolic Medicine, Cardiff and Vale University Health Board, Cardiff, Wales, UK</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Corresponding author: genedyn1@cardiff.ac.uk — Heath Park, Cardiff, CF14 4XW, Wales, UK</w:t>
      </w:r>
    </w:p>
    <w:p>
      <w:pPr>
        <w:pStyle w:val="Normal"/>
        <w:jc w:val="center"/>
        <w:pBdr>
          <w:bottom w:val="none" w:sz="0" w:space="0" w:color="000000"/>
          <w:top w:val="none" w:sz="0" w:space="0" w:color="000000"/>
          <w:left w:val="none" w:sz="0" w:space="0" w:color="000000"/>
          <w:right w:val="none" w:sz="0" w:space="0" w:color="000000"/>
        </w:pBdr>
        <w:spacing w:after="40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Keywords: familial hypercholesterolaemia; cascade screening; treatment-adjusted LDL-C; diagnostic algorithm; triglyceride metabolic filter; apolipoprotein B; UK Biobank; external validation; gradient boosted machine; genetic validation</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true"/>
          <w:u w:val="none"/>
          <w:strike w:val="false"/>
          <w:color w:val="CC0000"/>
          <w:sz w:val="24"/>
          <w:szCs w:val="24"/>
        </w:rPr>
        <w:t xml:space="preserve">HIGHLIGHTS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  TUDOR achieves AUC 0.842 in the All Wales FH Registry and 0.750 in UK Biobank validation (n = 58,021)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  Largest dual-validated genetically confirmed FH study: 4,028 cases across six causative genes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  Gene-specific validation: APOB AUC 0.830 vs LDLR 0.717 in UK Biobank (DeLong p = 1.88 × 10⁻⁴)</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  ApoB/LDL-C ratio augmentation improves discrimination to AUC 0.771 (p = 3.99 × 10⁻⁵)</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  Triglyceride metabolic filter independent of BMI, diabetes, and ApoB (OR stable across adjustment: 1.87→1.94)</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  CV mortality gradient confirmed: IHD deaths 0.65%→1.76% across LDL deciles (OR = 1.036 per decile, p = 0.011)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  T2DM ascertainment: three independent definitions (self-report, ICD-10, HbA1c ≥48 mmol/mol) all confirm TRG attenuation (β = −0.48 to −0.66)</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ABSTRACT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Background: Familial hypercholesterolaemia (FH) remains profoundly underdiagnosed, with established criteria demonstrating critical limitations in the era of widespread lipid-lowering therapy. We developed and externally validated TUDOR (Treatment-adjusted Universal Detection and Outcome Risk), incorporating individualised treatment-intensity adjusted LDL-C, ascertainment bias correction, and a triglyceride-based metabolic filter.</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Methods: TUDOR was developed using Elastic Net logistic regression, then validated in the All Wales FH Registry (n = 7,253; 2,405 genetically confirmed FH; TRIPOD Type 2b) and a lipid clinic-mimicking UK Biobank cohort (n = 58,021; 729 FH cases; TRIPOD Type 4), applying fixed Wales-derived coefficients without re-estimation. Gene-specific performance, cardiovascular mortality gradient, and T2DM ascertainment sensitivity served as biological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Results: TUDOR achieved AUC 0.842 (95% CI: 0.822–0.863) in Wales and 0.750 (0.731–0.770) in UK Biobank, outperforming estimated DLCN (AUC 0.636; p = 6.73 × 10⁻²⁴) and isolated LDL-C (AUC 0.689). ApoB augmentation improved discrimination to AUC 0.771 (ΔAUC +0.019; p = 3.99 × 10⁻⁵). DLCN sensitivity in cascade-screened relatives was 1.5% versus TUDOR’s 89.4%. IHD mortality rose from 0.65% to 1.76% across LDL deciles (OR = 1.036, p = 0.011). Three independent T2DM definitions (κ = 0.28–0.36) each confirmed triglyceride filter attenuation (β = −0.48 to −0.66), with HbA1c dose-response confirming a mechanistic gradient.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Conclusions: TUDOR is a dual-externally-validated, interpretable FH diagnostic algorithm maintaining discrimination across specialist and population-based settings in 4,028 genetically confirmed cases across six genes. Cardiovascular mortality gradient and T2DM sensitivity analyses confirm the pathophysiological basis of the triglyceride metabolic filter.</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1. INTRODUCTION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1.1 Familial Hypercholesterolaemia: Pathophysiology and Cardiovascular Burden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Familial hypercholesterolaemia is among the most prevalent monogenic disorders in human medicine, affecting approximately 1 in 250 individuals worldwide through autosomal dominant pathogenic variants in genes governing hepatic clearance of low-density lipoprotein particles [1–3]. The condition arises predominantly from loss-of-function variants in LDLR, encoding the LDL receptor, and gain-of-function variants in APOB (encoding apolipoprotein B-100, the principal LDL receptor ligand) or PCSK9 (a serine protease promoting lysosomal LDL receptor degradation) [4]. Less commonly, variants in LDLRAP1 and APOE produce clinically similar phenotypes.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pathophysiology of heterozygous FH centres on a ~50% reduction in functional hepatic LDL receptor activity, doubling LDL particle residence time and elevating plasma LDL-C from birth. Critically, VLDL secretion and triglyceride-rich lipoprotein clearance through alternative pathways remain intact, producing the key diagnostic signature: isolated LDL-C elevation with characteristically normal or low triglycerides. This metabolic selectivity forms the biological foundation of the triglyceride metabolic filter described herein.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Untreated heterozygous FH confers a 10- to 20-fold increased risk of premature coronary heart disease by age 50, with cumulative LDL-C burden exceeding atherogenic thresholds by the third decade of life [5–7]. When identified and treated early, near-normal life expectancy is achievable [8,9]. Despite these well-characterised consequences, fewer than 10% of affected individuals have been identified in most healthcare systems globally [10,11]. This diagnostic gap represents one of the most consequential failures in preventive cardiovascular medicine, directly contributing to preventable myocardial infarctions and premature deaths in millions worldwide.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1.2 Limitations of Established Diagnostic Criteria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diagnostic criteria upon which clinical practice currently depends were developed in an era substantially different from contemporary medicine. The Dutch Lipid Clinic Network (DLCN) scoring system assigns weighted points based on LDL-C, clinical signs (tendon xanthomata, corneal arcus), personal cardiovascular history, family history, and genetic testing results [12]. Simon Broome criteria, widely applied in United Kingdom practice, classify patients as definite or possible FH based on age-specific total cholesterol or LDL-C thresholds combined with tendon xanthomata or family history [13]. MEDPED criteria employ age-stratified LDL-C cutpoints derived from the statistical distribution of cholesterol in known FH families [14].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system was calibrated when lipid-lowering therapy was considerably less prevalent and potent than in contemporary practice. Widespread statin use, frequently initiated before FH is suspected, reduces LDL-C below diagnostic thresholds in a treatment-dose-dependent manner. The standard correction factor (1.43, assuming 30% LDL-C reduction) introduces systematic error because efficacy varies approximately five-fold across statin types and doses, from 15% with low-dose pravastatin to over 55% with high-dose rosuvastatin [15–17]. Application of a uniform factor therefore introduces systematic diagnostic misclassification whose magnitude depends entirely on the individual’s therapeutic context.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Familial Hypercholesterolaemia Case Ascertainment Tool (FAMCAT) represents the most contemporary computational approach, employing logistic regression with primary care variables, achieving AUC 0.77 in external validation using the Clinical Practice Research Datalink [18]. While FAMCAT addresses some limitations of point-based systems, it does not incorporate systematic treatment adjustment or account for the differential diagnostic context between ascertainment pathways.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1.3 The Cascade Screening Paradox and Ascertainment Bias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critical yet underappreciated limitation of all existing diagnostic criteria is their systematic performance divergence between the two principal pathways through which patients are evaluated for FH. Index patients present with extreme phenotypic expression: markedly elevated LDL-C, premature cardiovascular events, or pathognomonic physical findings [19]. Relatives identified through cascade screening carry identical pathogenic variants but frequently present with attenuated phenotypes, reflecting regression to the mean, variable expressivity, younger age at screening, and individual genetic modifiers [20–22].</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To illustrate: a proband identified at age 52 with LDL-C 7.8 mmol/L and premature coronary artery disease has a 28-year-old daughter carrying the identical LDLR variant with LDL-C 4.8 mmol/L and no cardiovascular manifestations. Under DLCN criteria, the daughter scores only 3 points — below the diagnostic threshold of 6 — and the diagnosis is missed despite the identical genetic defect. No existing diagnostic algorithm formally encodes this ascertainment pathway insight. TUDOR addresses this directly through the Index Effect feature, which explicitly models the differential diagnostic significance of LDL-C depending on how the patient came to clinical attention.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1.4 Rationale and Study Aims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We developed TUDOR (Treatment-adjusted Universal Detection and Outcome Risk) to address three fundamental limitations through clinically-informed feature engineering grounded in physiological reasoning, rather than algorithmic complexity. TUDOR incorporates: (i) individualised treatment-intensity adjusted LDL-C using drug-specific and dose-specific correction factors; (ii) the Index Effect, modelling differential diagnostic significance by ascertainment pathway; and (iii) the Triglyceride Metabolic Filter (Trig_Filter), quantifying the metabolic selectivity of hypercholesterolaemia. We report development and dual external validation across specialist registry and population-based biobank settings, gene-specific performance across six causative genes, ApoB augmentation analysis, NMR metabolomics profiling, cardiovascular mortality gradient, T2DM ascertainment sensitivity, and comprehensive biological validation of the Trig_Filter. We hypothesised that these three feature engineering innovations would substantially improve diagnostic accuracy while maintaining full clinical interpretability.</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2. 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2.1 Study Design and TRIPOD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This study adhered to Transparent Reporting of a multivariable prediction model for Individual Prognosis Or Diagnosis (TRIPOD) guidelines [40]. The validation framework employed two complementary TRIPOD types: Type 2b (model developed in one set of participants, validated in a separate set from the same population) for Wales validation, and Type 4 (model validated in an entirely separate population with different demographic, clinical, and prevalence characteristics) for UK Biobank validation, representing the most stringent form of external validation.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2.2 Study Populations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TUDOR was developed at Cardiff and Vale University Health Board (CAVUHB), a specialist lipid service within the NHS Wales, using Elastic Net logistic regression trained exclusively on index cases, representing the population with the most complete phenotypic characterisation including lipid-lowering therapy, clinical examination findings, and genetic testing results.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first external validation was performed in the All Wales Familial Hypercholesterolaemia Registry (PASS), encompassing 7,253 patients evaluated across all health boards in Wales: 4,614 index cases (63.6%) and 2,639 relatives (36.4%) identified through systematic cascade screening, with 2,405 (33.2%) genetically confirmed FH-positive. Genetic testing employed next-generation sequencing panels targeting LDLR (all 18 exons), APOB (exons 26 and 29), and PCSK9 (all 12 exons), with copy number variant analysis by multiplex ligation-dependent probe amplification (MLPA), and targeted sequencing of APOE and LDLRAP1. Variant classification followed ACMG/AMP criteria [23]. This validation specifically tests whether a model trained on index cases at one centre generalises to cascade-screened relatives across all of Wales — the setting where diagnostic need is greatest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second external validation used UK Biobank, a prospective population-based cohort of approximately 500,000 participants aged 40–69 years recruited 2006–2010 [24]. FH status was defined by rare pathogenic variants in LDLR, APOB, or PCSK9 identified by whole-exome sequencing. A lipid clinic-mimicking cohort was defined using referral criteria reflecting contemporary clinical practice: (1) total cholesterol exceeding 7.5 mmol/L; (2) statin-corrected LDL-C exceeding 4.9 mmol/L; or (3) premature ASCVD before age 55 (men) or 60 (women), yielding 58,021 participants with 729 FH cases (1.26% prevalence). UK Biobank analyses were conducted under Application Number 1002450.</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2.3 Treatment-Adjusted LDL-C Calculation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estimates pre-treatment LDL-C through individualised adjustment using pharmacologically specific correction factors: atorvastatin (25–48%), rosuvastatin (35–55%), simvastatin (20–42%), pravastatin (15–29%), fluvastatin (15–22%), derived from systematic reviews and meta-analyses [15–17]. A clinician-assessed compliance factor accounted for adherence: poor (0.5×), moderate (0.75×), or good (1.0×), with moderate adherence as the conservative default where documentation was absent. Additive non-statin therapies incorporated independent mechanisms: ezetimibe (20%), bempedoic acid (25%), PCSK9 inhibitors (65%) [25–27]. Total achievable reduction was capped at 85%. LDL_adjusted = LDL_measured / (1 − total_reduction_factor). Four prespecified sensitivity analyses assessed robustness to adherence assumptions.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2.4 Novel Feature Engineering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Index Effect captures the differential diagnostic context between ascertainment pathways: Index_Effect = (1 − Is_Relative) × LDL_Untreated. For index cases, this equals the treatment-adjusted LDL-C; for cascade-screened relatives, it equals zero, permitting the model to learn separate LDL-C coefficient relationships for each pathway.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Triglyceride Metabolic Filter exploits the biological selectivity of monogenic FH: Trig_Filter = LDL_Untreated / (Triglycerides + 0.1). Higher values indicate isolated LDL-C elevation consistent with receptor-mediated deficiency; lower values suggest metabolic or polygenic hypercholesterolaemia. The constant (0.1 mmol/L) prevents division instability at very low triglyceride concentrations. A personalised statin calibration residual derived from leave-one-out cross-validation using 298 paired pre/post-treatment LDL-C observations improved the concordance correlation coefficient from 0.545 to 0.631, with systematic bias reduced from +0.550 to +0.057 mmol/L.</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2.5 Model Development and Validation Strategy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Wales model development employed Elastic Net regression with mixing parameter α = 0.5, balancing L1 regularisation (automatic variable selection) and L2 regularisation (handling correlated predictors). The final TUDOR v2 model incorporated 10 features with the following Elastic Net coefficients: Index Effect (+1.148), treatment-adjusted LDL-C (+1.070), Trig_Filter (+0.871), personalised statin residual (−0.677), age (−0.497), sex (−0.208), HDL-C (−0.199), tendon xanthomata (+0.159), triglycerides (−0.141), corneal arcus (+0.120). Six additional variables were individually tested in v2.1 ablation experiments but excluded because none improved discrimination. Five-fold cross-validation in Wales yielded mean AUC 0.867 (SD 0.025).</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UK Biobank validation employed fixed logistic regression with Wales-derived weights applied without modification (TRIPOD Type 4). To assess the contribution of feature engineering versus algorithmic complexity, Elastic Net logistic regression with identical TUDOR-engineered features was compared against gradient-boosted decision trees (XGBoost) with the same features.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2.6 Cardiovascular Mortality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UK Biobank death records were linked using ICD-10-coded cause of death (field p40001) and age at death (field p40007). Cardiovascular deaths were classified according to ICD-10: ischaemic heart disease (IHD; I20–I25), stroke (I60–I69), heart failure (I50), and cardiomyopathy (I42–I43). Premature cardiovascular death was defined as cardiovascular death occurring before age 60 years. Mortality rates were computed stratified by LDL-C decile within the lipid clinic-mimicking cohort. Trend analysis used logistic regression with LDL decile as a continuous predictor, reporting odds ratios per decile increment with 95% confidence intervals.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2.7 T2DM Ascertainment Sensitivity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potential for triglyceride-elevating metabolic conditions to confound the Trig_Filter was assessed using three independent T2DM ascertainment definitions applied to the UK Biobank lipid clinic cohort: Definition A (self-reported diabetes, field p2443 = 1); Definition B (ICD-10 code E11 in hospital episode statistics); Definition C (HbA1c ≥48 mmol/mol, field p30750, WHO diagnostic threshold for diabetes). Inter-definition concordance was assessed using Cohen’s kappa. Trig_Filter attenuation was quantified for each definition using multivariable linear regression adjusting for age, sex, BMI, and alcohol use, reporting standardised beta coefficients with 95% confidence intervals. A HbA1c dose-response analysis stratified participants into normoglycaemic (HbA1c &lt; 42 mmol/mol), impaired fasting glucose (42–47 mmol/mol), and diabetic (≥48 mmol/mol) strata.</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2.8 Diagnostic Criteria Comparators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DLCN scoring employed the Wales age-adjusted system. Simon Broome criteria used clinical features, age-specific LDL-C thresholds, and family history [13]. MEDPED criteria applied age-dependent LDL-C cutpoints [14]. In UK Biobank, estimated DLCN (eDLCN) was calculated from available variables. A FAMCAT-approximation was constructed as logistic regression using age, sex, total cholesterol, LDL-C, and family history, corresponding to published FAMCAT core variables [18]; direct comparison with the published algorithm using matched primary care data would be needed for definitive assessment.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2.9 Apolipoprotein B Augmentation and NMR Metabolomics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Four augmentation models evaluated incremental discrimination when biomarker data were added to base TUDOR predictions: Model A (TUDOR + ApoB), Model B (TUDOR + ApoB/LDL-C ratio), Model C (TUDOR + ApoB + ApoB/LDL-C ratio), Model D (TUDOR + ApoB + ApoB/LDL-C ratio + Lp(a)). Nuclear magnetic resonance metabolomics profiling was performed in 421,122 UK Biobank participants (1,612 with genetic FH) using 53 prespecified metabolite measures, with Bonferroni correction for multiple testing (adjusted threshold p = 9.43 × 10⁻⁴).</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2.10 Statistical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Discrimination was assessed using AUC with DeLong 95% confidence intervals and pairwise DeLong comparisons [28]. Net Reclassification Improvement (NRI) used clinically meaningful probability thresholds (&lt;25%, 25–75%, &gt;75%) [29]. Integrated Discrimination Improvement (IDI) assessed average improvement in predicted probabilities. Calibration was assessed through calibration slopes (ideal value 1.0), Hosmer-Lemeshow goodness-of-fit, and Brier scores [30]. Bayesian recalibration was provided for deployment at local prevalence settings. All analyses were performed using R version 4.5.2. This study adheres to TRIPOD reporting guidelines [40] and STROBE reporting for observational analyses [41].</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2.11 Ethical Approval</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3.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3.1 Study Population Characteristics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All Wales FH Registry comprised 7,253 patients with mean age 45.9 years (SD 17.8), 57.2% female, and mean BMI 28.7 kg/m² (Table 1a). FH-positive patients were significantly younger (39.3 versus 49.2 years; Cohen’s d = −0.571; p &lt; 10⁻⁹⁹), reflecting the cascade screening programme’s identification of younger relatives. Mean treatment-adjusted LDL-C showed greater separation than measured LDL-C (6.5 versus 5.7 mmol/L, d = 0.378; versus 5.8 versus 5.1 mmol/L, d = 0.349), confirming that treatment correction improves phenotypic discrimination. Critically, the Trig_Filter showed the largest effect size of any continuous variable (5.1 versus 3.3; d = 0.744; p &lt; 10⁻⁹⁰), validating the metabolic selectivity hypothesis. Tendon xanthomata were present in 10.8% of FH-positive versus 5.3% of FH-negative patients (p &lt; 10⁻¹⁷). The ascertainment pathway differed markedly: 57.0% of FH-positive patients were cascade-screened relatives versus 26.1% of FH-negative patients (p &lt; 10⁻¹⁴⁵).</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UK Biobank lipid clinic-mimicking cohort comprised 58,021 participants with mean age 58.9 years (SD 7.0), 55.1% female, and mean BMI 28.4 kg/m² (Table 1b). FH-positive participants had lower BMI (27.8 versus 28.5 kg/m²; d = 0.138; p = 0.0002), consistent with the metabolically healthier profile of monogenic hypercholesterolaemia. The Trig_Filter demonstrated the strongest discriminative effect (3.9 versus 2.7; d = −0.963; p &lt; 10⁻⁵⁴). The ApoB/LDL-C ratio was significantly lower in FH (0.2 versus 0.3; d = 0.384; p &lt; 10⁻²²), reflecting cholesterol-enriched LDL particles with lower ApoB content per unit cholesterol, consistent with prolonged circulatory residence time. Statin use was more prevalent among FH-positive participants (53.5% versus 37.9%; p &lt; 10⁻¹⁷). Cross-population comparison revealed substantial demographic differences: the Wales cohort was markedly younger (mean 36.2 versus 58.9 years; SMD 2.818), reflecting cascade screening’s wide age range extending to paediatric populations.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3.2 Treatment Adjustment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In the Wales development cohort, pharmacological reconstruction was validated in 127 patients with documented pre-treatment and post-treatment LDL-C. Expected reductions demonstrated excellent agreement (Pearson r = 0.89; 95% CI: 0.85–0.92; p &lt; 0.0001), with mean absolute error 0.48 mmol/L and Bland–Altman 95% limits of agreement of −0.92 to +0.98 mmol/L. Longitudinal validation in 1,254 UK Biobank participants initiating statin therapy between assessments confirmed accuracy: simvastatin (n = 983) median observed 35.1% versus expected 35.0%; atorvastatin (n = 237) 36.7% versus 38.0%; rosuvastatin (n = 24) 37.4% versus 34.0%. The 0.2 percentage-point overall difference (Wilcoxon p = 0.027) is clinically negligible. Treatment-adjusted LDL-C values showed near-perfect agreement across four LDL-C calculation equations (Friedewald [33], Sampson [34], Modified Sampson, Martin [35]; ICC = 0.986, 95% CI: 0.985–0.988).</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3.3 Wales External Validation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In the All Wales FH Registry, TUDOR v2 achieved AUC 0.842 (95% CI: 0.822–0.863) when trained on index cases and validated on cascade-screened relatives (Figure 1). TUDOR significantly outperformed DLCN scoring (AUC 0.791; DeLong p &lt; 0.001), Simon Broome criteria, and MEDPED criteria. Net Reclassification Improvement of TUDOR over DLCN was 0.358, indicating that more than one-third of patients were correctly reclassified. Calibration slope was 1.039, indicating excellent agreement between predicted and observed probabilities.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most clinically consequential finding was the performance divergence between ascertainment pathways. Among FH-positive index cases, DLCN at the probable threshold (≥6 points) achieved 88.5% sensitivity (mean DLCN score 9.2). Among FH-positive cascade-screened relatives, the identical threshold achieved only 1.5% sensitivity (mean DLCN score 0.2). This 87-percentage-point sensitivity gap represents a systematic diagnostic deficiency in precisely the population where accurate identification carries the greatest public health significance. TUDOR achieved 89.4% sensitivity in cascade relatives versus 66.7% for the FAMCAT approximation, a 22.7-percentage-point advantage targeting this population of highest clinical need.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3.4 UK Biobank External Validation (TRIPOD Type 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In the UK Biobank lipid clinic-mimicking cohort (n = 58,021; 729 FH cases; 1.26% prevalence), TUDOR achieved AUC 0.750 (95% CI: 0.731–0.770) using fixed Wales-derived model weights without any re-estimation (Figure 1, Table 3). This significantly exceeded eDLCN (AUC 0.636; DeLong Z = 10.08; p = 6.73 × 10⁻²⁴), isolated LDL-C (AUC 0.689; p &lt; 0.001), and the Trig_Filter alone (AUC 0.700). TUDOR maintained clinically meaningful discriminative advantage despite an 80-fold prevalence difference and substantially lower data quality.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At the Youden optimal threshold, TUDOR achieved sensitivity 59.7% and specificity 79.3%. The Brier score was 0.069. The calibration slope was 6.33 (95% CI: 5.93–6.73), indicating that TUDOR probability estimates require recalibration for deployment at lower-prevalence settings — an expected and remediable consequence of training under enriched prevalence (33.2%) and validating at 1.26%. Bayesian recalibration adjusts absolute probabilities while preserving discriminative ranking: P_recalibrated = P_TUDOR × (π_local / π_train) / [P_TUDOR × (π_local / π_train) + (1 − P_TUDOR) × ((1 − π_local) / (1 − π_train))]. At the level of case detection, TUDOR identifies an estimated 639 FH cases per 10,000 lipid clinic patients compared with 52 under eDLCN — a 12-fold improvement reflecting substantially higher sensitivity (63.9% versus 5.2%).</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3.5 Genetic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Mutation spectrum analysis revealed LDLR variants predominating in both cohorts: 1,901 cases (79.0%) in Wales and 1,321 (81.4%) in UK Biobank (Table 4). APOB variants were the second most common: 281 (11.7%) in Wales and 301 (18.5%) in UK Biobank. The higher APOB proportion in UK Biobank likely reflects wider population sampling, as APOB carriers present with milder phenotypes less frequently referred to specialist clinics. PCSK9 variants were rare (23 cases, 1.0% in Wales; 1 case, 0.1% in UK Biobank). The Wales panel additionally identified LDLR copy number variants (164 cases, 6.8%), APOE variants (33 cases, 1.4%), and LDLRAP1 variants (3 cases, 0.1%). The gene distribution differed significantly between cohorts (chi-square p = 6.69 × 10⁻⁹), driven by the higher APOB proportion in UK Biobank and absence of CNV classification. Together, both cohorts encompassed 4,028 genetically confirmed FH cases, substantially exceeding previous diagnostic studies.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Gene-specific TUDOR performance demonstrated consistent discrimination (Table 5, Figure 2). In Wales: LDLR AUC 0.839 (95% CI: 0.817–0.861; n = 724), APOB AUC 0.841 (0.790–0.892; n = 96), APOE AUC 0.809 (0.688–0.930; n = 20). In UK Biobank: LDLR AUC 0.717 (0.693–0.741; n = 515), APOB AUC 0.830 (0.802–0.858; n = 213). The significantly higher TUDOR discrimination for APOB versus LDLR carriers in UK Biobank (DeLong Z = 3.74, p = 1.88 × 10⁻⁴) reflects molecular homogeneity: APOB gain-of-function variants predominantly produce a single molecular defect (impaired ApoB–LDL receptor binding), yielding a tight and reproducible phenotype. LDLR loss-of-function mutations are profoundly heterogeneous, spanning null alleles, receptor-defective variants with 2–25% residual function, and copy number variants — molecular diversity that translates to a wider LDL-C distribution, reducing discriminative efficiency. The Cohen’s d for the Trig_Filter between FH and non-FH groups was 1.108 for APOB carriers versus 0.672 for LDLR carriers, confirming that the metabolic filter provides greater separation where the metabolic shield is most intact.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3.6 Apolipoprotein B Augmentation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In the complete-case ApoB subset (n = 57,446; 99.0% of the lipid clinic cohort), base TUDOR achieved AUC 0.753. Addition of serum ApoB alone did not improve discrimination (Model A: AUC 0.751; ΔAUC = −0.002; DeLong p = 0.349), confirming that absolute ApoB provides redundant information beyond what TUDOR captures through treatment-adjusted LDL-C. In contrast, the ApoB/LDL-C ratio provided significant augmentation (Model B: AUC 0.760; ΔAUC +0.007; p = 0.006), capturing LDL particle cholesterol enrichment as a distinct biological signal. The combined Model C (TUDOR + ApoB + ApoB/LDL-C ratio) achieved the largest improvement: AUC 0.771 (ΔAUC +0.019; p = 3.99 × 10⁻⁵). Model D additionally including Lp(a) achieved AUC 0.776 (n = 43,710).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A grey zone analysis restricted to intermediate-probability participants (n = 33,562; 454 FH-positive) showed that the ApoB/LDL-C ratio did not differ between FH-positive and FH-negative participants within this stratum (mean 0.2234 versus 0.2241; Wilcoxon p = 0.356; AUC 0.513, 95% CI: 0.486–0.539), indicating that sequential ApoB measurement after an intermediate TUDOR probability is not supported by current evidence. The ratio’s benefit operates at the level of whole-cohort ranking rather than within-stratum triage. The ApoB/LDL-C ratio below 0.31 has been independently associated with higher ASCVD event rates in genetically confirmed FH (27.6% versus 11.8%; p = 0.0022) [39], providing a separate prognostic rationale for its measurement after FH diagnosis.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3.7 Biological Validation of the Triglyceride Metabolic Filter</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Sequential multivariable logistic regression demonstrated that the Trig_Filter odds ratio remained remarkably stable across progressive adjustment: crude OR 1.873, adjusted for BMI 1.891, further adjusted for diabetes mellitus 1.903, further adjusted for ApoB 1.920, and fully adjusted including age and sex 1.935 (Table 7). The less than 10% change from crude to fully adjusted estimates confirms independence from metabolic confounding. All variance inflation factors were below 1.2, excluding multicollinearity.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metabolic shield effect revealed progressive deterioration of diagnostic separation with increasing triglycerides: Cohen’s d = 0.89 in the normal triglyceride zone (&lt;1.7 mmol/L), decreasing to 0.52 in the borderline zone (1.7–2.3 mmol/L) and 0.18 in the elevated zone (&gt;2.3 mmol/L). NMR metabolomics profiling (421,122 UK Biobank participants; 1,612 FH) confirmed 35 of 53 metabolites differing significantly between FH and non-FH after Bonferroni correction, consistent with cholesterol-enriched LDL particles with reduced VLDL. Crucially, NMR metabolomics data did not improve upon TUDOR: NMR alone AUC 0.705; TUDOR alone 0.749; combined 0.752 (DeLong p = 0.278), establishing that a parsimonious clinical model captures the same biological information encoded in 53 molecular measurements.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3.8 Cardiovascular Mortality Gradient by LDL Decile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UK Biobank death records (median follow-up 14.2 years) were available for 58,021 lipid clinic cohort participants, with 1,893 deaths recorded at the time of analysis. IHD mortality showed a consistent gradient across LDL-C deciles, rising from 0.65% in the lowest decile (mean LDL-C 3.2 mmol/L) to 1.76% in the highest decile (mean LDL-C 7.8 mmol/L; logistic trend OR = 1.036 per decile, 95% CI: 1.008–1.065, p = 0.011; Figure 4). This positive gradient is consistent with the causal role of LDL-C in atherosclerosis and independently validates LDL-C as a continuous cardiovascular mortality risk determinant within a high-risk lipid clinic population.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Stroke mortality showed an inverse trend across LDL deciles (0.89% decile 1 to 0.35% decile 10), consistent with the well-characterised J-curve relationship between LDL-C and haemorrhagic stroke, reflecting the mixed aetiology of cerebrovascular disease (thrombotic versus haemorrhagic). The inverse stroke gradient should not be interpreted as evidence that higher LDL-C is protective for cerebrovascular events; rather, it reflects the differential aetiological contribution of cholesterol to thrombotic versus haemorrhagic subtypes, with haemorrhagic stroke risk increasing at low LDL-C. Overall cardiovascular mortality (all cardiovascular ICD-10 codes combined) showed a non-significant positive trend (OR = 1.012 per decile; p = 0.14), attenuated by the opposing directions of the IHD and stroke components.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3.9 T2DM Ascertainment Sensitivity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Three independent T2DM definitions identified substantially different patient populations: Definition A (self-report, p2443) identified 1.9% (n = 1,102); Definition B (ICD-10 E11) identified 5.6% (n = 3,249); Definition C (HbA1c ≥48 mmol/mol) identified 1.5% (n = 870). Cohen’s kappa indicated poor inter-definition agreement: κ = 0.281 (A versus B), 0.358 (A versus C), 0.299 (B versus C), with substantial proportions of cases captured by only one definition. The low concordance reflects distinct ascertainment mechanisms: self-report captures diagnoses communicated to the patient, ICD-10 captures treated or hospitalised diabetes, and HbA1c captures biochemical glycaemia irrespective of clinical diagnosis.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Despite this poor inter-definition concordance, all three definitions independently confirmed Trig_Filter attenuation: Definition A β = −0.484 (95% CI: −0.611 to −0.357; p = 8.4 × 10⁻¹³); Definition B β = −0.473 (95% CI: −0.559 to −0.387; p = 8.2 × 10⁻²·); Definition C β = −0.658 (95% CI: −0.793 to −0.523; p = 1.1 × 10⁻²¹). The consistency across three independent methods with poor inter-definition agreement demonstrates that Trig_Filter attenuation by diabetes reflects a biological phenomenon rather than coding artefact. HbA1c dose-response analysis confirmed a mechanistic gradient: mean Trig_Filter 2.74 (normoglycaemia), 2.31 (impaired fasting glucose, 42–47 mmol/mol), and 1.82 (diabetes, ≥48 mmol/mol), demonstrating proportional metabolic disruption with worsening glycaemic control. These findings are consistent with insulin resistance driving hypertriglyceridaemia through increased hepatic VLDL secretion and impaired lipoprotein lipase activity, which dilutes the FH-specific Trig_Filter signal but does not eliminate it.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3.10 Sensitivity Analyses and Algorithm Comparison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Ten prespecified sensitivity analyses confirmed robust performance across LDL-C thresholds, calculation equations, statin correction factor perturbations, ethnic subgroups, winsorised extreme values, and alternative diagnostic criteria comparisons. The 100% compliance sensitivity analysis achieved equivalent performance to the primary model. Logistic regression using identical TUDOR-engineered features achieved equivalent performance to XGBoost (ENET AUC 0.781, 95% CI: 0.768–0.796; XGBoost AUC 0.778, 0.764–0.792; DeLong Z = 0.36, p = 0.72), confirming that clinical feature engineering — not algorithmic complexity — drives diagnostic improvement. This has direct clinical implications: a fully interpretable logistic regression equation can be deployed within standard electronic health record systems without machine learning infrastructure.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4. DISCUSSION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4.1 Principal Findings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This study presents the development and dual external validation of TUDOR, achieving clinically meaningful discrimination across a specialist lipid registry (AUC 0.842; 7,253 patients, all of Wales) and a population-based biobank (AUC 0.750; 58,021 participants). Together, these validation cohorts encompass 4,028 genetically confirmed FH cases across six causative genes (LDLR, APOB, PCSK9, APOE, LDLRAP1, and LDLR copy number variants), representing to our knowledge the largest dual-validated genetically confirmed FH diagnostic study to date. The finding that systematic treatment adjustment, ascertainment bias correction, and triglyceride-based metabolic filtering substantially improve FH detection, implemented through interpretable logistic regression rather than opaque machine learning, carries direct implications for diagnostic practice and health system implementation.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4.2 The Cascade Screening Imperative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87-percentage-point sensitivity gap between index cases (88.5%) and cascade-screened relatives (1.5%) using DLCN criteria represents a critical diagnostic deficiency affecting all established systems. Simon Broome criteria depend substantially on tendon xanthomata (present in fewer than 15% of heterozygous FH at any age) and corneal arcus (2.0% of our FH-positive cohort) — clinical signs increasingly rare in the statin-treated era [13]. MEDPED criteria lose discriminative power when treatment reduces LDL-C below threshold values [14]. This limitation is not merely statistical; it directly affects millions of FH-affected individuals worldwide who remain undiagnosed. Cascade screening programmes identify relatives carrying identical pathogenic variants to their affected family members, yet standard criteria fail to recognise the overwhelming majority [20,22]. TUDOR addresses this through two complementary mechanisms: the Index Effect modelling differential diagnostic significance by ascertainment pathway, and the Trig_Filter identifying the metabolic signature of monogenic FH regardless of absolute LDL-C.</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4.3 Genetic Heterogeneity and Variant-Specific Performance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higher TUDOR discrimination for APOB versus LDLR carriers in UK Biobank (AUC 0.830 versus 0.717; DeLong p = 1.88 × 10⁻⁴) has a coherent pathophysiological basis. The APOB p.Arg3527Gln mutation, the predominant APOB FH variant, produces a relatively uniform molecular defect: impaired binding of ApoB-100 to the LDL receptor, resulting in consistent phenotypic expression characterised by moderately elevated LDL-C with characteristic cholesterol-enriched particles. In contrast, over 2,000 pathogenic LDLR variants have been described, encompassing null alleles, receptor-defective variants with 2–25% residual function, and class-specific defects affecting synthesis, transport, binding, internalisation, or recycling [4]. This molecular heterogeneity translates to a wider LDL-C distribution, reducing the discriminative efficiency of any LDL-C-based diagnostic tool. The clinical implication is that TUDOR may be particularly valuable for identifying APOB carriers, who represent 12–19% of genetically confirmed FH across our cohorts and are systematically missed by DLCN criteria that assign highest scores to LDL-C concentrations &gt;8.5 mmol/L — a threshold rarely reached by APOB carriers.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4.4 Cardiovascular Outcomes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confirmed IHD mortality gradient (0.65%→1.76% across LDL deciles; OR = 1.036 per decile, p = 0.011) provides independent biological validation that LDL-C concentration within this high-risk cohort remains a continuous cardiovascular mortality risk determinant, consistent with Mendelian randomisation data [5] and the causal framework established by Brown and Goldstein’s Nobel Prize-winning work on the LDL receptor pathway. This finding is particularly important for cardiologists because it confirms that even within a clinically enriched lipid clinic population — where mean LDL-C is substantially elevated — higher LDL-C concentrations carry incrementally higher cardiovascular mortality risk, reinforcing the principle that there is no safe LDL-C threshold in patients at risk of FH.</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inverse stroke mortality gradient reflects the well-characterised J-curve relationship between LDL-C and haemorrhagic stroke, whereby very low LDL-C concentrations may increase the risk of haemorrhagic events through effects on vascular wall integrity [42]. The opposing directions of IHD and stroke mortality gradients across LDL deciles are clinically important: cardiologists managing FH patients should recognise that aggressive LDL-C lowering substantially reduces the predominant IHD risk while the haemorrhagic stroke risk at population-average LDL-C levels is not clinically meaningful in the context of FH management. Contemporary cardiovascular guidelines recommend LDL-C targets of &lt;1.4 mmol/L in very high-risk patients [43,44], well above concentrations where haemorrhagic stroke risk is clinically relevant.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4.5 T2DM Ascertainment and Triglyceride Filter Robustness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T2DM sensitivity analysis is methodologically novel in demonstrating that the Trig_Filter attenuation by diabetes is a biological phenomenon rather than a coding artefact: three independent definitions with poor inter-definition concordance (κ = 0.28–0.36) each independently confirm the same effect (β = −0.48 to −0.66). The low kappa actually strengthens this conclusion — if the effect were an artefact of how diabetes was coded, it would not be consistently observed across definitions that identify substantially different patient populations. The HbA1c dose-response (Trig_Filter 2.74→2.31→1.82 across glycaemic strata) provides the mechanistic gradient: insulin resistance increases hepatic VLDL secretion through SREBP-1c activation and impairs lipoprotein lipase activity, elevating triglycerides and reducing the FH-specific Trig_Filter signal in proportion to glycaemic severity [45,46]. This mechanistic understanding directly informs clinical implementation: in patients with diabetes or insulin resistance, the Trig_Filter threshold should be interpreted in the context of glycaemic control, and HbA1c measurement should accompany Trig_Filter calculation in diagnostic uncertainty.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4.6 ApoB Augmentation and Precision Lipidology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The finding that absolute ApoB does not augment TUDOR (Model A, p = 0.349) while the ApoB/LDL-C ratio does (Model C, ΔAUC +0.019, p = 3.99 × 10⁻⁵) has a clear biological interpretation. Absolute ApoB reflects the total number of atherogenic lipoprotein particles, which is correlated with but not identical to LDL-C. TUDOR already incorporates treatment-adjusted LDL-C, making absolute ApoB largely redundant. The ApoB/LDL-C ratio captures qualitatively different information: cholesterol content per LDL particle. In FH, impaired receptor-mediated clearance prolongs LDL circulatory residence time, allowing continued cholesterol ester accumulation, producing fewer but more cholesterol-laden particles. This produces a lower ApoB-to-cholesterol ratio compared with non-FH hypercholesterolaemia driven by overproduction of normal-cholesterol-content particles [47,48]. The prognostic implications are established: the ApoB/LDL-C ratio &lt;0.31 predicts ASCVD events in genetically confirmed FH (27.6% versus 11.8%; p = 0.0022) [39].</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4.7 Clinical Implementation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We propose a three-tier clinical decision framework based on TUDOR probability estimates for implementation in specialist lipid clinics. Low-risk patients (TUDOR probability &lt;25%) can be reassured that monogenic FH is unlikely, and standard lipid management should continue. Intermediate-probability patients (25–75%) warrant further clinical evaluation, including serum ApoB, ApoB/LDL-C ratio assessment, extended cascade data review, and shared decision-making regarding genetic testing referral. High-risk patients (&gt;75%) should be referred directly for genetic testing and considered for immediate initiation or intensification of FH-appropriate lipid-lowering therapy including high-intensity statins, ezetimibe, and PCSK9 inhibitors [25–27,43,44,49,50].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For implementation in lower-prevalence settings such as primary care, probability thresholds require Bayesian recalibration to local FH prevalence. The calibration slope of 6.33 in UK Biobank indicates systematic overestimation of absolute probabilities in lower-prevalence populations, which is remediable through the recalibration formula provided. Critically, discrimination (the ranking of patients) is preserved irrespective of prevalence, meaning the three-tier classification system retains clinical utility across settings. The equivalence of logistic regression and XGBoost performance confirms that a simple, fully interpretable logistic regression equation — computable in standard spreadsheet software — is sufficient for clinical deployment without requiring machine learning infrastructure [36,37].</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color w:val="CC0000"/>
          <w:sz w:val="24"/>
          <w:szCs w:val="24"/>
        </w:rPr>
        <w:t xml:space="preserve">4.8 Limitations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Several limitations warrant consideration. First, TUDOR was developed in a single specialist centre in Wales; prospective validation in lipid clinic cohorts across different healthcare systems, including non-UK settings with different genetic variant spectra and treatment practices, is needed before widespread deployment. Second, UK Biobank’s age restriction (40–69 years) means TUDOR’s performance in paediatric and young adult populations, where cascade screening is particularly important, has not been externally validated, though the Wales cohort includes the full age spectrum. Third, the FAMCAT comparison uses an internally reconstructed approximation that may overestimate TUDOR’s comparative advantage. Fourth, the calibration slope of 6.33 in UK Biobank requires recalibration before deployment at lower prevalence, though this is a straightforward statistical adjustment. Fifth, ApoB augmentation was testable only in UK Biobank; specialist lipid clinic validation is needed. Sixth, the T2DM sensitivity analysis confirms attenuation of the Trig_Filter in diabetes but does not preclude its diagnostic use; rather, it suggests that glycaemic context should accompany TUDOR interpretation in metabolically complex patients. Seventh, premature ASCVD event dates (ICD-10 field p41280) were not extracted in the current analysis; true age-at-first-ASCVD-event analysis is a priority for the next analysis cycle. Finally, prospective implementation studies evaluating the impact of TUDOR-guided decisions on genetic testing yield and patient outcomes are needed before clinical deployment can be formally recommended.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5. CONCLUSIONS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TUDOR provides a dual-externally-validated, interpretable diagnostic algorithm for familial hypercholesterolaemia that maintains clinically meaningful discrimination across specialist registry (AUC 0.842) and population-based biobank (AUC 0.750) settings, in the largest genetically confirmed FH cohort reported to date (4,028 cases across six causative genes). Gene-specific validation demonstrates consistent performance across LDLR, APOB, and PCSK9 variant carriers, with APOB variants achieving particularly high discrimination (AUC 0.830) reflecting the molecular homogeneity of gain-of-function APOB mutations. Optional ApoB augmentation incorporating the ApoB/LDL-C ratio improves discrimination to AUC 0.771 where serum ApoB is available. Cardiovascular mortality gradient analysis independently confirms LDL-C as a continuous mortality risk determinant within a high-risk population, reinforcing the clinical urgency of FH diagnosis. T2DM ascertainment sensitivity analysis, using three independent definitions with poor inter-definition concordance, confirms that triglyceride filter attenuation by diabetes is a biological rather than coding phenomenon, with a dose-response gradient consistent with metabolic mechanisms. Treatment-adjusted phenotyping and ascertainment bias correction address the fundamental limitations underlying systematic FH underdiagnosis, with particular value in cascade-screened relatives where established criteria identify fewer than 2% of affected individuals. TUDOR offers an interpretable, implementable complement to established diagnostic frameworks that can be deployed using standard clinical data routinely available in specialist lipid clinic practice.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DECLARATIONS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Ethics Approval and Consent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Data Availability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Wales FH Registry dataset is available from the corresponding author on reasonable request, subject to data governance approvals from Cardiff and Vale University Health Board. UK Biobank data are available to researchers through the standard application process (www.ukbiobank.ac.uk) under application 1002450. R analysis scripts will be deposited in a public repository (GitHub/Zenodo) upon acceptance. Scripts are available from the corresponding author during peer review.</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Competing Interests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authors declare no competing interests.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Funding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research received no specific grant from any funding agency in the public, commercial, or not-for-profit sectors.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Use of Artificial Intelligence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Artificial intelligence tools (Claude, Anthropic Inc.) were employed solely for language editing, grammar checking, statistical code review, and proofreading. AI tools were NOT used for data analysis, statistical computations, interpretation of results, study design, methodology development, literature review, citation selection, or generating scientific conclusions. All scientific content, data interpretation, statistical analyses, and clinical recommendations represent the independent intellectual work of the named authors.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Author Contributions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Nader Genedy: Conceptualisation, Methodology, Software, Formal Analysis, Investigation, Data Curation, Writing – Original Draft, Writing – Review and Editing, Visualisation, Project Administration. Soha Zouwail: Supervision, Validation, Writing – Review and Editing.</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Acknowledgements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the patients and staff of the Wales FH Registry and the All Wales PASS programme for their contributions to this research. This research has been conducted using the UK Biobank Resource under application number 1002450.</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REFERENCES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 Nordestgaard BG, Chapman MJ, Humphries SE, et al. Familial hypercholesterolaemia is underdiagnosed and undertreated in the general population: guidance for clinicians to prevent coronary heart disease. Eur Heart J. 2013;34(45):3478–3490.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 Khera AV, Won HH, Peloso GM, et al. Diagnostic yield and clinical utility of sequencing familial hypercholesterolaemia genes in patients with severe hypercholesterolaemia. J Am Coll Cardiol. 2016;67(22):2578–2589.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 Sturm AC, Knowles JW, Gidding SS, et al. Clinical genetic testing for familial hypercholesterolaemia: JACC Scientific Expert Panel. J Am Coll Cardiol. 2018;72(6):662–680.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 Defesche JC, Gidding SS, Harada-Shiba M, Hegele RA, Santos RD, Wierzbicki AS. Familial hypercholesterolaemia. Nat Rev Dis Primers. 2017;3:17093.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5. Ference BA, Ginsberg HN, Graham I, et al. Low-density lipoproteins cause atherosclerotic cardiovascular disease. 1. Evidence from genetic, epidemiologic, and clinical studies. Eur Heart J. 2017;38(32):2459–2472.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6. Marks D, Thorogood M, Neil HA, Humphries SE. A review on the diagnosis, natural history, and treatment of familial hypercholesterolaemia. Atherosclerosis. 2003;168(1):1–14.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7. Mundal L, Sarancic M, Ose L, et al. Mortality among patients with familial hypercholesterolaemia: a registry-based study in Norway, 1992–2010. J Am Heart Assoc. 2014;3(6):e001236.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8. Versmissen J, Oosterveer DM, Yazdanpanah M, et al. Efficacy of statins in familial hypercholesterolaemia: a long-term cohort study. BMJ. 2008;337:a2423.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9. Neil A, Cooper J, Betteridge J, et al. Reductions in all-cause, cancer, and coronary mortality in statin-treated patients with heterozygous familial hypercholesterolaemia: a prospective registry study. Eur Heart J. 2008;29(21):2625–2633.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10. Watts GF, Gidding S, Wierzbicki AS, et al. Integrated guidance on the care of familial hypercholesterolaemia from the International FH Foundation. Int J Cardiol. 2014;171(3):309–325.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11. Akioyamen LE, Genest J, Shan SD, et al. Estimating the prevalence of heterozygous familial hypercholesterolaemia: a systematic review and meta-analysis. BMJ Open. 2017;7(9):e016461.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12. Civeira F; International Panel on Management of Familial Hypercholesterolaemia. Guidelines for the diagnosis and management of heterozygous familial hypercholesterolaemia. Atherosclerosis. 2004;173(1):55–68.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13. Risk of fatal coronary heart disease in familial hypercholesterolaemia. Scientific Steering Committee on behalf of the Simon Broome Register Group. BMJ. 1991;303(6807):893–896.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14. Williams RR, Hunt SC, Schumacher MC, et al. Diagnosing heterozygous familial hypercholesterolaemia using new practical criteria validated by molecular genetics. Am J Cardiol. 1993;72(2):171–176.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15. Weng TC, Yang YH, Lin SJ, Tai SH. A systematic review and meta-analysis on the therapeutic equivalence of statins. J Clin Pharm Ther. 2010;35(2):139–151.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16. Adams SP, Tsang M, Wright JM. Lipid-lowering efficacy of atorvastatin. Cochrane Database Syst Rev. 2015;(3):CD008226.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17. Adams SP, Sekhon SS, Wright JM. Lipid-lowering efficacy of rosuvastatin. Cochrane Database Syst Rev. 2014;(11):CD010254.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18. Weng SF, Kai J, Neil HA, Humphries SE, Qureshi N. Improving identification of familial hypercholesterolaemia in primary care: derivation and validation of the familial hypercholesterolaemia case ascertainment tool (FAMCAT). Atherosclerosis. 2015;238(2):336–343.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19. Besseling J, Sjouke B, Kastelein JJ. Screening and treatment of familial hypercholesterolaemia — lessons from the past and opportunities for the future. Atherosclerosis. 2015;241(2):597–606.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20. Knowles JW, Rader DJ, Khoury MJ. Cascade screening for familial hypercholesterolaemia and the use of genetic testing. JAMA. 2017;318(4):381–382.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21. Haralambos K, Whatley SD, Edwards R, Gingell R, Humphries SE, Ashfield-Watt P. Clinical experience of scoring criteria for Familial Hypercholesterolaemia (FH) genetic testing in Wales. Atherosclerosis. 2015;240(1):190–196.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22. Bhatnagar D, Morgan J, Siddiq S, Mackness MI, Miller JP, Durrington PN. Outcome of case finding among relatives of patients with known heterozygous familial hypercholesterolaemia. BMJ. 2000;321(7275):1497–1500.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23. Richards S, Aziz N, Bale S, et al. Standards and guidelines for the interpretation of sequence variants: a joint consensus recommendation of the ACMG and AMP. Genet Med. 2015;17(5):405–424.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24. Sudlow C, Gallacher J, Allen N, et al. UK Biobank: an open access resource for identifying the causes of a wide range of complex diseases of middle and old age. PLoS Med. 2015;12(3):e1001779.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25. Cannon CP, Blazing MA, Giugliano RP, et al. Ezetimibe added to statin therapy after acute coronary syndromes. N Engl J Med. 2015;372(25):2387–2397.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26. Sabatine MS, Giugliano RP, Keech AC, et al. Evolocumab and clinical outcomes in patients with cardiovascular disease. N Engl J Med. 2017;376(18):1713–1722.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27. Ray KK, Bays HE, Catapano AL, et al. Safety and efficacy of bempedoic acid to reduce LDL cholesterol. N Engl J Med. 2019;380(11):1022–1032.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28. DeLong ER, DeLong DM, Clarke-Pearson DL. Comparing the areas under two or more correlated receiver operating characteristic curves: a nonparametric approach. Biometrics. 1988;44(3):837–845.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29. Pencina MJ, D’Agostino RB Sr, D’Agostino RB Jr, Vasan RS. Evaluating the added predictive ability of a new marker: from area under the ROC curve to reclassification and beyond. Stat Med. 2008;27(2):157–172.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30. Hosmer DW, Lemeshow S. Applied Logistic Regression. 2nd ed. New York: John Wiley and Sons; 2000.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31. Benn M, Watts GF, Tybjaerg-Hansen A, Nordestgaard BG. Mutations causative of familial hypercholesterolaemia: screening of 98,098 individuals from the Copenhagen General Population Study estimated a prevalence of 1 in 217. Eur Heart J. 2016;37(17):1384–1394.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32. Harada-Shiba M, Arai H, Ishigaki Y, et al. Guidelines for diagnosis and treatment of familial hypercholesterolaemia 2017. J Atheroscler Thromb. 2018;25(8):751–770.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33. Friedewald WT, Levy RI, Fredrickson DS. Estimation of the concentration of low-density lipoprotein cholesterol in plasma, without use of the preparative ultracentrifuge. Clin Chem. 1972;18(6):499–502.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34. Sampson M, Ling C, Sun Q, et al. A new equation for calculation of low-density lipoprotein cholesterol in patients with normolipidemia and/or hypertriglyceridemia. JAMA Cardiol. 2020;5(5):540–548.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35. Martin SS, Blaha MJ, Elshazly MB, et al. Comparison of a novel method vs the Friedewald equation for estimating low-density lipoprotein cholesterol levels from the standard lipid profile. JAMA. 2013;310(19):2061–2068.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36. Banda JM, Sarraju A, Abbasi F, et al. Finding missed cases of familial hypercholesterolaemia in health systems using machine learning. NPJ Digit Med. 2019;2:23.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37. Myers KD, Knowles JW, Staszak D, et al. Precision screening for familial hypercholesterolaemia: a machine learning study applied to electronic health encounter data. Lancet Digit Health. 2019;1(8):e393–e402.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38. Safarova MS, Liu H, Kullo IJ. Rapid identification of familial hypercholesterolaemia from electronic health records: the SEARCH study. J Clin Lipidol. 2016;10(5):1230–1239.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39. Genedy N, Zouwail S. ApoB/LDL-C Discordance as a Predictor of Atherosclerotic Cardiovascular Disease in Genetically Confirmed Heterozygous Familial Hypercholesterolaemia: A Hypothesis-Generating Cohort Study. J Clin Lipidol. 2025. doi:10.1016/j.jacl.2025.11.008.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40. Collins GS, Reitsma JB, Altman DG, Moons KG. Transparent reporting of a multivariable prediction model for individual prognosis or diagnosis (TRIPOD): the TRIPOD statement. Ann Intern Med. 2015;162(1):55–63.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41. von Elm E, Altman DG, Egger M, et al. The Strengthening the Reporting of Observational Studies in Epidemiology (STROBE) statement: guidelines for reporting observational studies. Lancet. 2007;370(9596):1453–1457.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42. Ference BA, Yoo W, Alesh I, et al. Effect of long-term exposure to lower low-density lipoprotein cholesterol beginning early in life on the risk of coronary heart disease: a Mendelian randomization analysis. J Am Coll Cardiol. 2012;60(25):2631–2639.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43. Mach F, Baigent C, Catapano AL, et al. 2019 ESC/EAS Guidelines for the management of dyslipidaemias. Eur Heart J. 2020;41(1):111–188.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44. Grundy SM, Stone NJ, Bailey AL, et al. 2018 AHA/ACC/AACVPR/AAPA/ABC/ACPM/ADA/AGS/APhA/ASPC/NLA/PCNA Guideline on the management of blood cholesterol. J Am Coll Cardiol. 2019;73(24):e285–e350.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45. Adiels M, Olofsson SO, Taskinen MR, Borén J. Overproduction of very low-density lipoproteins is the hallmark of the dyslipidaemia in the metabolic syndrome. Arterioscler Thromb Vasc Biol. 2008;28(7):1225–1236.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46. Ginsberg HN, Zhang YL, Hernandez-Ono A. Metabolic syndrome: focus on dyslipidaemia. Obesity. 2006;14(Suppl 1):41S–49S.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47. Sniderman AD, Lamarche B, Tilley J, Seccombe D, Frohlich J. Hypertriglyceridemic hyperapo B in type 2 diabetes. Diabetes Care. 2002;25(3):579–582.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48. Walldius G, Jungner I. Apolipoprotein B and apolipoprotein A-I: risk indicators of coronary heart disease and targets for lipid-modifying therapy. J Intern Med. 2004;255(2):188–205.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49. Raal FJ, Kallend D, Ray KK, et al. Inclisiran for the treatment of heterozygous familial hypercholesterolaemia. N Engl J Med. 2020;382(16):1520–1530.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50. Schwartz GG, Steg PG, Szarek M, et al. Alirocumab and cardiovascular outcomes after acute coronary syndrome. N Engl J Med. 2018;379(22):2097–2107.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51. Santos RD, Stein EA, Hovingh GK, et al. Long-term evolocumab in patients with familial hypercholesterolaemia. J Am Coll Cardiol. 2020;75(6):565–574.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52. Tromp TR, Stroes ESG, Hovingh GK. Gene-based therapy in lipid management: the winding road from promise to practice. Eur Heart J. 2021;42(16):1551–1560.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53. Natarajan P, Young R, Stitziel NO, et al. Polygenic background modifies penetrance of monogenic variants for tier 1 genomic conditions. Nat Commun. 2021;12:6372.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54. Patel AP, Wang M, Pirruccello JP, et al. Lp(a) (Lipoprotein[a]) concentrations and incident atherosclerotic cardiovascular disease: new insights from a large national biobank. Arterioscler Thromb Vasc Biol. 2021;41(1):465–474.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55. Hovingh GK, Davidson MH, Kastelein JJ, O’Connor AM. Diagnosis and treatment of familial hypercholesterolaemia. Eur Heart J. 2013;34(13):962–971.</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FIGURE LEGENDS</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color w:val="CC0000"/>
          <w:sz w:val="24"/>
          <w:szCs w:val="24"/>
        </w:rPr>
        <w:t xml:space="preserve">Figure 1.</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Dual-panel ROC curves for TUDOR validation. (A) Wales All Wales FH Registry external validation (n = 7,253; 2,405 FH-positive): TUDOR v2 (AUC 0.842, 95% CI: 0.822–0.863) versus DLCN scoring (AUC 0.791) and FAMCAT approximation, model trained on index cases and validated on cascade-screened relatives (TRIPOD Type 2b). (B) UK Biobank lipid clinic-mimicking cohort (n = 58,021; 729 FH cases): TUDOR (AUC 0.750, 0.731–0.770) versus eDLCN (0.636), LDL-C alone (0.689), and Trig_Filter alone (0.700). Fixed Wales-derived weights without re-estimation (TRIPOD Type 4). DeLong: TUDOR versus eDLCN Z = 10.08, p = 6.73 × 10⁻²⁴. DLCN sensitivity in cascade relatives 1.5% versus TUDOR 89.4%.</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color w:val="CC0000"/>
          <w:sz w:val="24"/>
          <w:szCs w:val="24"/>
        </w:rPr>
        <w:t xml:space="preserve">Figure 2.</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Gene-specific TUDOR performance: forest plot with DeLong comparisons. Horizontal forest plot showing AUC (95% CI) stratified by causative gene in both validation cohorts. Wales: LDLR 0.839 (0.817–0.861, n = 724), APOB 0.841 (0.790–0.892, n = 96), APOE 0.809 (0.688–0.930, n = 20). UK Biobank: LDLR 0.717 (0.693–0.741, n = 515), APOB 0.830 (0.802–0.858, n = 213). DeLong APOB versus LDLR in UK Biobank: Z = 3.74, p = 1.88 × 10⁻⁴. Diamonds represent pooled estimates; squares represent gene-specific values with area proportional to sample size.</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color w:val="CC0000"/>
          <w:sz w:val="24"/>
          <w:szCs w:val="24"/>
        </w:rPr>
        <w:t xml:space="preserve">Figure 3.</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Calibration plot with Bayesian recalibration across prevalence settings. (A) Observed versus predicted FH probability in UK Biobank lipid clinic cohort by decile of predicted risk. Calibration slope = 6.33 (95% CI: 5.93–6.73). Dashed line: perfect calibration. Loess smoothing with 95% confidence band. (B) Bayesian recalibration: mapping of identical TUDOR scores to absolute probabilities at three prevalence settings (33.2% Wales specialist registry, 1.26% UK Biobank lipid clinic, 0.4% primary care). Discrimination (ranking) is preserved; only absolute probabilities require adjustment.</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color w:val="CC0000"/>
          <w:sz w:val="24"/>
          <w:szCs w:val="24"/>
        </w:rPr>
        <w:t xml:space="preserve">Figure 4.</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Cardiovascular mortality gradient and T2DM sensitivity. (A) IHD and stroke mortality by LDL-C decile in UK Biobank lipid clinic cohort (n = 58,021). IHD mortality rises 0.65%→1.76% (logistic trend OR = 1.036 per decile, 95% CI: 1.008–1.065, p = 0.011). Stroke mortality shows inverse J-curve (0.89%→0.35%), consistent with mixed thrombotic/haemorrhagic aetiology. (B) Trig_Filter dose-response by HbA1c glycaemic stratum: normoglycaemia (HbA1c &lt;42 mmol/mol) 2.74, impaired fasting glucose (42–47) 2.31, diabetes (≥48) 1.82, confirming proportional metabolic attenuation.</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color w:val="CC0000"/>
          <w:sz w:val="24"/>
          <w:szCs w:val="24"/>
        </w:rPr>
        <w:t xml:space="preserve">Figure 5.</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color w:val="CC0000"/>
          <w:sz w:val="24"/>
          <w:szCs w:val="24"/>
        </w:rPr>
        <w:t xml:space="preserve">ApoB augmentation and metabolic shield effect. (A) AUC with 95% CI for sequential augmentation models (n = 57,446). Base TUDOR 0.753, Model A (+ApoB) 0.751 (p = 0.349, ns), Model B (+ApoB/LDL-C ratio) 0.760 (p = 0.006), Model C (+both) 0.771 (p = 3.99 × 10⁻⁵), Model D (+Lp(a)) 0.776. (B) Violin plots of Trig_Filter distribution by causative gene and FH status (Wales and UK Biobank). APOB carriers demonstrate highest and most concentrated Trig_Filter values; Cohen’s d = 1.108 (APOB) versus 0.672 (LDLR) versus 0.963 (overall). (C) Trig_Filter sequential multivariable logistic regression: OR stable 1.873→1.935 across adjustment for BMI, diabetes, ApoB, age, and sex, confirming metabolic filter independence.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color w:val="CC0000"/>
          <w:sz w:val="28"/>
          <w:szCs w:val="28"/>
        </w:rPr>
        <w:t xml:space="preserve">TABLES</w:t>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color w:val="CC0000"/>
          <w:sz w:val="22"/>
          <w:szCs w:val="22"/>
        </w:rPr>
        <w:t xml:space="preserve">Table 1a. Baseline Characteristics of the All Wales FH Registry (n = 7,253)</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color w:val="CC0000"/>
          <w:sz w:val="20"/>
          <w:szCs w:val="20"/>
        </w:rPr>
        <w:t xml:space="preserve">Continuous variables: Welch’s t-test; categorical: chi-square. Cohen’s d reported for continuous variables. Values are mean (SD) or n (%). BMI available for 2,306; LDL-C measured for 5,664; treatment-adjusted LDL-C for 5,555; HDL-C for 5,522; triglycerides for 5,716; Trig_Filter for 5,385.</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FH-Positive (n=2,405)</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FH-Negative (n=4,848)</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45.9 (17.8)</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39.3 (17.1)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49.2 (17.2)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&lt;10-99</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-0.571</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4,148 (57.2%)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1,420 (59.0%)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2,728 (56.3%)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0.14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28.7 (5.8)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27.9 (5.4)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29.2 (6.0)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-0.238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5.8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5.1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0.349</w:t>
            </w:r>
          </w:p>
        </w:tc>
      </w:tr>
      <w:tr>
        <w:trPr>
          <w:trHeight w:val="575"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6.1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6.5 (2.1)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5.7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&lt;10-33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0.378</w:t>
            </w:r>
          </w:p>
        </w:tc>
      </w:tr>
      <w:tr>
        <w:trPr>
          <w:trHeight w:val="574"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-0.041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1.4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2.0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&lt;10-72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-0.460</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4.2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5.1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&lt;10-90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0.744</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8.0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8.6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7.7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&lt;10-70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0.522</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Tendon xanthomata,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538 (7.4%)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260 (10.8%)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278 (5.7%)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Corneal arcus (&lt;45y),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48 (0.7%)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49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29 (0.6%)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3,461 (47.7%)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1,203 (50.0%)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2,258 (46.6%)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0.030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PCSK9 inhibitor,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156 (2.2%)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83 (3.5%)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73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0.001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812 (11.2%)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284 (11.8%)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528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body15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Cascade relative, n (%)</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1,912 (26.4%)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1,370 (57.0%)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542 (11.2%)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&lt;10-145</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color w:val="CC0000"/>
          <w:sz w:val="22"/>
          <w:szCs w:val="22"/>
        </w:rPr>
        <w:t xml:space="preserve">Table 1b. Baseline Characteristics of UK Biobank Lipid Clinic-Mimicking Cohort (n = 58,021)</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color w:val="CC0000"/>
          <w:sz w:val="20"/>
          <w:szCs w:val="20"/>
        </w:rPr>
        <w:t xml:space="preserve">**ApoB available for 57,446 (99.0%); Lp(a) available for 43,710 (75.3%). ASCVD = atherosclerotic cardiovascular disease. Premature ASCVD defined as MI, angina, or stroke before age 55 (men) or 60 (women).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FH-Positive (n=729)</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FH-Negative (n=57,292)</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color w:val="CC0000"/>
                <w:sz w:val="18"/>
                <w:szCs w:val="18"/>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57.8 (6.4)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0.006</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-0.159</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31,993 (55.1%)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399 (54.7%)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31,594 (55.2%)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28.4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27.8 (4.4)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28.5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0.0002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0.138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22,399 (38.6%)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390 (53.5%)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22,009 (38.4%)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&lt;10-89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-0.739</w:t>
            </w:r>
          </w:p>
        </w:tc>
      </w:tr>
      <w:tr>
        <w:trPr>
          <w:trHeight w:val="575"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5.8 (1.3)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0.21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-0.081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0.69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-0.108</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1.8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-0.411</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2.9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3.9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2.7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&lt;10-54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-0.963</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ApoB, g/L**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1.12 (0.24)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0.43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-0.003</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ApoB/LDL-C ratio**</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0.21 (0.05)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&lt;10-22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0.384</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8.1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&lt;10-40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-0.508</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10,615 (18.3%)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93 (12.8%)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10,522 (18.4%)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&lt;10-5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T2DM (self-report),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1,102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9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1,093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0.32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T2DM (ICD-10 E11),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3,249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29 (4.0%)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3,220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0.12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r>
        <w:trPr>
          <w:trHeight w:val="574" w:hRule="auto"/>
        </w:trPr>
        body16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HbA1c,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35.8 (5.4)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0.27</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color w:val="CC0000"/>
                <w:sz w:val="18"/>
                <w:szCs w:val="18"/>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color w:val="CC0000"/>
          <w:sz w:val="22"/>
          <w:szCs w:val="22"/>
        </w:rPr>
        <w:t xml:space="preserve">Table 2. TUDOR Discrimination Performance — Both Validation Cohorts</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1440"/>
        <w:gridCol w:w="648"/>
        <w:gridCol w:w="1008"/>
        <w:gridCol w:w="1296"/>
        <w:gridCol w:w="720"/>
        <w:gridCol w:w="720"/>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Model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Cohort</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AUC</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DeLong vs TUDOR</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Sens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Spec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TUDOR v2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Wales (TRIPOD 2b)</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0.842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0.822-0.863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89.4*</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67.3*</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0.791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0.770-0.813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88.5+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72.1+</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Simon Broome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0.719-0.765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74.2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71.0</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MEDPED</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0.712-0.758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69.8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68.4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FAMCAT approximation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0.744-0.788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 0.006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69.2*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0.743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0.720-0.766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0.697-0.745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TUDOR v2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0.731-0.770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59.7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79.3</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0.636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0.609-0.663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 6.73x10-24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96.1</w:t>
            </w:r>
          </w:p>
        </w:tc>
      </w:tr>
      <w:tr>
        <w:trPr>
          <w:trHeight w:val="360"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0.689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0.664-0.714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41.8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82.0</w:t>
            </w:r>
          </w:p>
        </w:tc>
      </w:tr>
      <w:tr>
        <w:trPr>
          <w:trHeight w:val="360"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0.674-0.726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r>
      <w:tr>
        <w:trPr>
          <w:trHeight w:val="360" w:hRule="auto"/>
        </w:trPr>
        body12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TUDOR + ApoB/LDL-C ratio (Model C)</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UK Biobank (TRIPOD 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0.771</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0.753-0.789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p = 3.99x10-5</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64.1</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78.8</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color w:val="CC0000"/>
          <w:sz w:val="20"/>
          <w:szCs w:val="20"/>
        </w:rPr>
        <w:t xml:space="preserve">*Cascade relatives only. †Index cases. Youden optimal threshold applied to UK Biobank. NRI = 0.358 (TUDOR vs DLCN, Wales); IDI +0.039 (Wales); Brier score 0.069 (UK Biobank).</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color w:val="CC0000"/>
          <w:sz w:val="22"/>
          <w:szCs w:val="22"/>
        </w:rPr>
        <w:t xml:space="preserve">Table 3. Cardiovascular Mortality by LDL-C Decile (UK Biobank Lipid Clinic Cohort; n = 58,021)</w:t>
      </w:r>
    </w:p>
    <w:tbl xmlns:a="http://schemas.openxmlformats.org/drawingml/2006/main" xmlns:pic="http://schemas.openxmlformats.org/drawingml/2006/picture">
      <w:tblPr>
        <w:tblLayout w:type="fixed"/>
        <w:jc w:val="center"/>
        <w:tblLook w:firstRow="1" w:lastRow="0" w:firstColumn="0" w:lastColumn="0" w:noHBand="0" w:noVBand="1"/>
      </w:tblPr>
      <w:tblGrid>
        <w:gridCol w:w="1008"/>
        <w:gridCol w:w="1296"/>
        <w:gridCol w:w="792"/>
        <w:gridCol w:w="1512"/>
        <w:gridCol w:w="1512"/>
        <w:gridCol w:w="1512"/>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LDL Decile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Mean LDL-C (mmol/L)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IHD Deaths, n (%)</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Stroke Deaths, n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All-CV Deaths, n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3.2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38 (0.65%)</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52 (0.90%)</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108 (1.86%)</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3.8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49 (0.84%)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49 (0.84%)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116 (2.00%)</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54 (0.93%)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46 (0.79%)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120 (2.07%)</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63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43 (0.74%)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124 (2.14%)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69 (1.19%)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41 (0.71%)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129 (2.22%)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73 (1.26%)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39 (0.67%)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132 (2.28%)</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78 (1.34%)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36 (0.62%)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136 (2.34%)</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84 (1.45%)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31 (0.53%)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140 (2.41%)</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6.9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93 (1.60%)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27 (0.47%)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144 (2.48%)</w:t>
            </w:r>
          </w:p>
        </w:tc>
      </w:tr>
      <w:tr>
        <w:trPr>
          <w:trHeight w:val="360" w:hRule="auto"/>
        </w:trPr>
        body10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Decile 10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7.8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5,802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102 (1.76%)</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20 (0.34%)</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149 (2.57%)</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color w:val="CC0000"/>
          <w:sz w:val="20"/>
          <w:szCs w:val="20"/>
        </w:rPr>
        <w:t xml:space="preserve">IHD: ICD-10 codes I20–I25. Stroke: I60–I69. Logistic trend OR per LDL-C decile: IHD OR = 1.036 (95% CI: 1.008–1.065, p = 0.011); Stroke OR = 0.931 (0.906–0.957, p &lt; 0.001); All-CV OR = 1.012 (0.991–1.033, p = 0.14).</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color w:val="CC0000"/>
          <w:sz w:val="22"/>
          <w:szCs w:val="22"/>
        </w:rPr>
        <w:t xml:space="preserve">Table 4. T2DM Ascertainment Sensitivity: Three-Definition Concordance and Trig_Filter Attenuation</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720"/>
        <w:gridCol w:w="1296"/>
        <w:gridCol w:w="1008"/>
        <w:gridCol w:w="648"/>
        <w:gridCol w:w="648"/>
        <w:gridCol w:w="648"/>
      </w:tblGrid>
      <w:tr>
        <w:trPr>
          <w:trHeight w:val="360" w:hRule="auto"/>
          <w:tblHeader/>
        </w:trPr>
        header1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Definition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Prevalence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Beta</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P value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k (A/B)</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k (A/C)</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color w:val="CC0000"/>
                <w:sz w:val="16"/>
                <w:szCs w:val="16"/>
              </w:rPr>
              <w:t xml:space="preserve">k (B/C)</w:t>
            </w:r>
          </w:p>
        </w:tc>
      </w:tr>
      <w:tr>
        <w:trPr>
          <w:trHeight w:val="360" w:hRule="auto"/>
        </w:trPr>
        body1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A: Self-report (p2443 =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1.9% (n = 1,102)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-0.484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-0.611 to -0.357</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8.4x10-13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0.281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0.358</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r>
      <w:tr>
        <w:trPr>
          <w:trHeight w:val="360" w:hRule="auto"/>
        </w:trPr>
        body2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B: ICD-10 E11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5.6% (n = 3,249)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-0.473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-0.559 to -0.387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8.2x10-27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0.299</w:t>
            </w:r>
          </w:p>
        </w:tc>
      </w:tr>
      <w:tr>
        <w:trPr>
          <w:trHeight w:val="360" w:hRule="auto"/>
        </w:trPr>
        body3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C: HbA1c ≥48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1.5% (n = 870)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-0.658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-0.793 to -0.523</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1.1x10-29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0.358</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color w:val="CC0000"/>
                <w:sz w:val="16"/>
                <w:szCs w:val="16"/>
              </w:rPr>
              <w:t xml:space="preserve">--</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color w:val="CC0000"/>
          <w:sz w:val="20"/>
          <w:szCs w:val="20"/>
        </w:rPr>
        <w:t xml:space="preserve">All models adjusted for age, sex, BMI, and alcohol use. β coefficients are from separate multivariable linear regression models for each T2DM definition. HbA1c dose-response (Trig_Filter): normoglycaemia (&lt;42 mmol/mol) 2.74 vs impaired fasting glucose (42–47) 2.31 vs diabetes (≥48) 1.82.</w:t>
      </w:r>
    </w:p>
    <w:sectPr>
      <w:pgMar w:header="706" w:bottom="1411" w:top="1411" w:right="1411" w:left="1699" w:footer="706" w:gutter="0"/>
      <w:pgSz w:h="16834" w:w="11909" w:orient="portrait"/>
      <w:type w:val="continuous"/>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2026-04-04T22:28:17Z</dcterms:modified>
  <cp:category/>
</cp:coreProperties>
</file>