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center"/>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false"/>
          <w:b w:val="true"/>
          <w:u w:val="none"/>
          <w:strike w:val="false"/>
          <w:sz w:val="32"/>
          <w:szCs w:val="32"/>
          <w:color w:val="000000"/>
        </w:rPr>
        <w:t xml:space="preserve">RESPONSE TO REVIEWERS</w:t>
      </w:r>
    </w:p>
    <w:p>
      <w:pPr>
        <w:pStyle w:val="Normal"/>
        <w:jc w:val="center"/>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true"/>
          <w:b w:val="false"/>
          <w:u w:val="none"/>
          <w:strike w:val="false"/>
          <w:sz w:val="22"/>
          <w:szCs w:val="22"/>
          <w:color w:val="000000"/>
        </w:rPr>
        <w:t xml:space="preserve">TUDOR: Development and Dual External Validation of a Treatment-Adjusted Diagnostic Algorithm for Familial Hypercholesterolaemia in 4,028 Genetically Confirmed Cases</w:t>
      </w:r>
    </w:p>
    <w:p>
      <w:pPr>
        <w:pStyle w:val="Normal"/>
        <w:jc w:val="center"/>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false"/>
          <w:b w:val="false"/>
          <w:u w:val="none"/>
          <w:strike w:val="false"/>
          <w:sz w:val="22"/>
          <w:szCs w:val="22"/>
          <w:color w:val="000000"/>
        </w:rPr>
        <w:t xml:space="preserve">Genedy N, Zouwail S</w:t>
      </w:r>
    </w:p>
    <w:p>
      <w:pPr>
        <w:pStyle w:val="Normal"/>
        <w:jc w:val="center"/>
        <w:pBdr>
          <w:bottom w:val="none" w:sz="0" w:space="0" w:color="000000"/>
          <w:top w:val="none" w:sz="0" w:space="0" w:color="000000"/>
          <w:left w:val="none" w:sz="0" w:space="0" w:color="000000"/>
          <w:right w:val="none" w:sz="0" w:space="0" w:color="000000"/>
        </w:pBdr>
        <w:spacing w:after="320" w:before="0" w:line="360"/>
        <w:ind w:left="0" w:right="0" w:firstLine="0" w:firstLineChars="0"/>
      </w:pPr>
      <w:r>
        <w:rPr>
          <w:rFonts w:ascii="Times New Roman" w:hAnsi="Times New Roman" w:eastAsia="Times New Roman" w:cs="Times New Roman"/>
          <w:i w:val="true"/>
          <w:b w:val="false"/>
          <w:u w:val="none"/>
          <w:strike w:val="false"/>
          <w:sz w:val="22"/>
          <w:szCs w:val="22"/>
          <w:color w:val="000000"/>
        </w:rPr>
        <w:t xml:space="preserve">Journal of Clinical Lipidology</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Dear Editor and Reviewers,</w:t>
      </w:r>
    </w:p>
    <w:p>
      <w:pPr>
        <w:pStyle w:val="Normal"/>
        <w:jc w:val="both"/>
        <w:pBdr>
          <w:bottom w:val="none" w:sz="0" w:space="0" w:color="000000"/>
          <w:top w:val="none" w:sz="0" w:space="0" w:color="000000"/>
          <w:left w:val="none" w:sz="0" w:space="0" w:color="000000"/>
          <w:right w:val="none" w:sz="0" w:space="0" w:color="000000"/>
        </w:pBdr>
        <w:spacing w:after="1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sincerely thank the Editor and Reviewers for their constructive evaluation of our manuscript. The feedback has substantially strengthened the work. We have undertaken a comprehensive revision that addresses every concern raised. The principal changes include: (i) dual external validation replacing single-centre holdout testing, expanding from n = 1,051 to n = 65,274 across two independent cohorts; (ii) gene-specific validation across six causative genes in 4,028 genetically confirmed FH cases; (iii) biological validation through NMR metabolomics (n = 421,122), cardiovascular mortality gradient, and T2DM ascertainment sensitivity analyses; and (iv) transition from XGBoost to a fully interpretable Elastic Net logistic regression model. Below we provide point-by-point responses to each concern. Reviewer comments are shown in grey italics; our responses follow in regular type. All page and line references refer to the revised manuscript.</w:t>
      </w:r>
    </w:p>
    <w:p>
      <w:pPr>
        <w:pStyle w:val="Normal"/>
        <w:jc w:val="both"/>
        <w:pBdr>
          <w:bottom w:val="none" w:sz="0" w:space="0" w:color="000000"/>
          <w:top w:val="none" w:sz="0" w:space="0" w:color="000000"/>
          <w:left w:val="none" w:sz="0" w:space="0" w:color="000000"/>
          <w:right w:val="none" w:sz="0" w:space="0" w:color="000000"/>
        </w:pBdr>
        <w:spacing w:after="32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Changes in the revised manuscript are shown in the marked-up version (red text denotes new or substantially revised content). A clean unmarked version is also provided.</w:t>
      </w:r>
    </w:p>
    <w:p>
      <w:pPr>
        <w:pStyle w:val="Normal"/>
        <w:jc w:val="left"/>
        <w:pBdr>
          <w:bottom w:val="none" w:sz="0" w:space="0" w:color="000000"/>
          <w:top w:val="none" w:sz="0" w:space="0" w:color="000000"/>
          <w:left w:val="none" w:sz="0" w:space="0" w:color="000000"/>
          <w:right w:val="none" w:sz="0" w:space="0" w:color="000000"/>
        </w:pBdr>
        <w:spacing w:after="120" w:before="320" w:line="360"/>
        <w:ind w:left="0" w:right="0" w:firstLine="0" w:firstLineChars="0"/>
      </w:pPr>
      <w:r>
        <w:rPr>
          <w:rFonts w:ascii="Times New Roman" w:hAnsi="Times New Roman" w:eastAsia="Times New Roman" w:cs="Times New Roman"/>
          <w:i w:val="false"/>
          <w:b w:val="true"/>
          <w:u w:val="none"/>
          <w:strike w:val="false"/>
          <w:sz w:val="28"/>
          <w:szCs w:val="28"/>
          <w:color w:val="0072B2"/>
        </w:rPr>
        <w:t xml:space="preserve">REVIEWER 1</w:t>
      </w:r>
    </w:p>
    <w:p>
      <w:pPr>
        <w:pStyle w:val="Normal"/>
        <w:jc w:val="both"/>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Point 1.1: External validation and generalisability</w:t>
      </w:r>
    </w:p>
    <w:p>
      <w:pPr>
        <w:pStyle w:val="Normal"/>
        <w:jc w:val="both"/>
        <w:pBdr>
          <w:bottom w:val="none" w:sz="0" w:space="0" w:color="000000"/>
          <w:top w:val="none" w:sz="0" w:space="0" w:color="000000"/>
          <w:left w:val="none" w:sz="0" w:space="0" w:color="000000"/>
          <w:right w:val="none" w:sz="0" w:space="0" w:color="000000"/>
        </w:pBdr>
        <w:spacing w:after="80" w:before="40" w:line="336"/>
        <w:ind w:left="400" w:right="0" w:firstLine="0" w:firstLineChars="0"/>
      </w:pPr>
      <w:r>
        <w:rPr>
          <w:rFonts w:ascii="Times New Roman" w:hAnsi="Times New Roman" w:eastAsia="Times New Roman" w:cs="Times New Roman"/>
          <w:i w:val="true"/>
          <w:b w:val="false"/>
          <w:u w:val="none"/>
          <w:strike w:val="false"/>
          <w:sz w:val="22"/>
          <w:szCs w:val="22"/>
          <w:color w:val="444444"/>
        </w:rPr>
        <w:t xml:space="preserve">The study is limited to a single specialist registry (n=1,051) with enriched FH prevalence (31.3%). The holdout validation, while methodologically appropriate, does not demonstrate generalisability beyond the development population. External validation in an independent cohort is essential before clinical implementation can be recommended.</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agree entirely that single-centre holdout validation was a critical limitation. We have now performed dual external validation in two fully independent cohorts:</w:t>
      </w:r>
    </w:p>
    <w:p>
      <w:pPr>
        <w:pStyle w:val="Normal"/>
        <w:jc w:val="both"/>
        <w:pBdr>
          <w:bottom w:val="none" w:sz="0" w:space="0" w:color="000000"/>
          <w:top w:val="none" w:sz="0" w:space="0" w:color="000000"/>
          <w:left w:val="none" w:sz="0" w:space="0" w:color="000000"/>
          <w:right w:val="none" w:sz="0" w:space="0" w:color="000000"/>
        </w:pBdr>
        <w:spacing w:after="12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(a) All Wales FH Registry (TRIPOD Type 2b): </w:t>
      </w:r>
      <w:r>
        <w:rPr>
          <w:rFonts w:ascii="Times New Roman" w:hAnsi="Times New Roman" w:eastAsia="Times New Roman" w:cs="Times New Roman"/>
          <w:i w:val="false"/>
          <w:b w:val="false"/>
          <w:u w:val="none"/>
          <w:strike w:val="false"/>
          <w:sz w:val="24"/>
          <w:szCs w:val="24"/>
          <w:color w:val="000000"/>
        </w:rPr>
        <w:t xml:space="preserve">n = 7,253 participants (6,448 genetically confirmed FH-negative, 805 FH-positive) with AUC 0.842 (95% CI: 0.822–0.863). This 7-fold expansion of the Wales cohort incorporates patients from all participating health boards across Wales, not solely Cardiff and Vale.</w:t>
      </w:r>
    </w:p>
    <w:p>
      <w:pPr>
        <w:pStyle w:val="Normal"/>
        <w:jc w:val="both"/>
        <w:pBdr>
          <w:bottom w:val="none" w:sz="0" w:space="0" w:color="000000"/>
          <w:top w:val="none" w:sz="0" w:space="0" w:color="000000"/>
          <w:left w:val="none" w:sz="0" w:space="0" w:color="000000"/>
          <w:right w:val="none" w:sz="0" w:space="0" w:color="000000"/>
        </w:pBdr>
        <w:spacing w:after="12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(b) UK Biobank lipid clinic-mimicking cohort (TRIPOD Type 4): </w:t>
      </w:r>
      <w:r>
        <w:rPr>
          <w:rFonts w:ascii="Times New Roman" w:hAnsi="Times New Roman" w:eastAsia="Times New Roman" w:cs="Times New Roman"/>
          <w:i w:val="false"/>
          <w:b w:val="false"/>
          <w:u w:val="none"/>
          <w:strike w:val="false"/>
          <w:sz w:val="24"/>
          <w:szCs w:val="24"/>
          <w:color w:val="000000"/>
        </w:rPr>
        <w:t xml:space="preserve">n = 58,021 participants (3,223 FH-positive across six causative genes) from a population-based biobank, filtered to simulate lipid clinic referral pathways (LDL-C ≥4.0 mmol/L or statin-treated). AUC 0.750 (95% CI: 0.731–0.770), significantly outperforming estimated DLCN criteria (AUC 0.636; DeLong Z = 10.08, p = 6.73 × 10⁻²⁴).</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total genetically confirmed FH cohort now comprises 4,028 cases across LDLR, APOB, PCSK9, APOE, LDLRAP1, and LDLR copy number variants—to our knowledge, the largest dual-validated genetically confirmed FH diagnostic study reported to date. The TRIPOD Type 4 validation in UK Biobank (Application 1002450) represents the most rigorous level of diagnostic model validation, applying the algorithm without any re-estimation in a wholly external population. [Revised manuscript: Methods, 'UK Biobank External Validation' subsection; Results, 'External Validation' subsection; Tables 2–4]</w:t>
      </w:r>
    </w:p>
    <w:p>
      <w:pPr>
        <w:pStyle w:val="Normal"/>
        <w:jc w:val="both"/>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Point 1.2: Sample size and statistical power</w:t>
      </w:r>
    </w:p>
    <w:p>
      <w:pPr>
        <w:pStyle w:val="Normal"/>
        <w:jc w:val="both"/>
        <w:pBdr>
          <w:bottom w:val="none" w:sz="0" w:space="0" w:color="000000"/>
          <w:top w:val="none" w:sz="0" w:space="0" w:color="000000"/>
          <w:left w:val="none" w:sz="0" w:space="0" w:color="000000"/>
          <w:right w:val="none" w:sz="0" w:space="0" w:color="000000"/>
        </w:pBdr>
        <w:spacing w:after="80" w:before="40" w:line="336"/>
        <w:ind w:left="400" w:right="0" w:firstLine="0" w:firstLineChars="0"/>
      </w:pPr>
      <w:r>
        <w:rPr>
          <w:rFonts w:ascii="Times New Roman" w:hAnsi="Times New Roman" w:eastAsia="Times New Roman" w:cs="Times New Roman"/>
          <w:i w:val="true"/>
          <w:b w:val="false"/>
          <w:u w:val="none"/>
          <w:strike w:val="false"/>
          <w:sz w:val="22"/>
          <w:szCs w:val="22"/>
          <w:color w:val="444444"/>
        </w:rPr>
        <w:t xml:space="preserve">With only 329 FH-positive cases and 722 controls, the study may be underpowered for subgroup analyses. The cascade screening subgroup (n=199 FH-positive relatives) is particularly small for the strong claims made about sensitivity in this population.</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acknowledge the original sample size was modest. The revised cohort comprises 65,274 participants with 4,028 genetically confirmed FH cases, representing a 12-fold increase in FH cases. The cascade screening analysis in Wales now benefits from the expanded registry (n = 7,253), and the UK Biobank cohort provides completely independent replication. Subgroup analyses—including gene-specific validation and T2DM sensitivity analyses—are now powered by 805 (Wales) and 3,223 (UKB) FH-positive individuals respectively. [Revised manuscript: Table 1a, Table 1b; Results, 'Study Population']</w:t>
      </w:r>
    </w:p>
    <w:p>
      <w:pPr>
        <w:pStyle w:val="Normal"/>
        <w:jc w:val="both"/>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Point 1.3: Gene-specific diagnostic performance</w:t>
      </w:r>
    </w:p>
    <w:p>
      <w:pPr>
        <w:pStyle w:val="Normal"/>
        <w:jc w:val="both"/>
        <w:pBdr>
          <w:bottom w:val="none" w:sz="0" w:space="0" w:color="000000"/>
          <w:top w:val="none" w:sz="0" w:space="0" w:color="000000"/>
          <w:left w:val="none" w:sz="0" w:space="0" w:color="000000"/>
          <w:right w:val="none" w:sz="0" w:space="0" w:color="000000"/>
        </w:pBdr>
        <w:spacing w:after="80" w:before="40" w:line="336"/>
        <w:ind w:left="400" w:right="0" w:firstLine="0" w:firstLineChars="0"/>
      </w:pPr>
      <w:r>
        <w:rPr>
          <w:rFonts w:ascii="Times New Roman" w:hAnsi="Times New Roman" w:eastAsia="Times New Roman" w:cs="Times New Roman"/>
          <w:i w:val="true"/>
          <w:b w:val="false"/>
          <w:u w:val="none"/>
          <w:strike w:val="false"/>
          <w:sz w:val="22"/>
          <w:szCs w:val="22"/>
          <w:color w:val="444444"/>
        </w:rPr>
        <w:t xml:space="preserve">The manuscript treats all FH genotypes as a single entity. Given the known phenotypic heterogeneity across LDLR, APOB, and PCSK9 variants, it would be informative to report diagnostic performance stratified by causal gene.</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thank the reviewer for this excellent suggestion. We have added comprehensive gene-specific validation, which revealed a previously unreported finding: APOB variant carriers achieve significantly higher TUDOR discrimination (AUC 0.830) than LDLR carriers (AUC 0.717; DeLong p = 1.88 × 10⁻⁴). This differential is explained by the molecular homogeneity of APOB gain-of-function mutations (concentrated at the R3500 and R3527 positions in the LDL receptor-binding domain) versus the profound allelic heterogeneity of &gt;2,000 known LDLR loss-of-function variants spanning multiple functional domains (ligand-binding, EGF-like, beta-propeller, transmembrane, cytoplasmic). PCSK9 carriers showed intermediate discrimination (AUC 0.795). [Revised manuscript: Results, 'Gene-Specific Validation'; new Table 3]</w:t>
      </w:r>
    </w:p>
    <w:p>
      <w:pPr>
        <w:pStyle w:val="Normal"/>
        <w:jc w:val="both"/>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Point 1.4: Biological validation of the Trig_Filter</w:t>
      </w:r>
    </w:p>
    <w:p>
      <w:pPr>
        <w:pStyle w:val="Normal"/>
        <w:jc w:val="both"/>
        <w:pBdr>
          <w:bottom w:val="none" w:sz="0" w:space="0" w:color="000000"/>
          <w:top w:val="none" w:sz="0" w:space="0" w:color="000000"/>
          <w:left w:val="none" w:sz="0" w:space="0" w:color="000000"/>
          <w:right w:val="none" w:sz="0" w:space="0" w:color="000000"/>
        </w:pBdr>
        <w:spacing w:after="80" w:before="40" w:line="336"/>
        <w:ind w:left="400" w:right="0" w:firstLine="0" w:firstLineChars="0"/>
      </w:pPr>
      <w:r>
        <w:rPr>
          <w:rFonts w:ascii="Times New Roman" w:hAnsi="Times New Roman" w:eastAsia="Times New Roman" w:cs="Times New Roman"/>
          <w:i w:val="true"/>
          <w:b w:val="false"/>
          <w:u w:val="none"/>
          <w:strike w:val="false"/>
          <w:sz w:val="22"/>
          <w:szCs w:val="22"/>
          <w:color w:val="444444"/>
        </w:rPr>
        <w:t xml:space="preserve">While the Trig_Filter concept is biologically plausible, its independence from metabolic confounders requires more rigorous validation. The adjustment for diabetes, BMI, and alcohol is appreciated, but additional biological evidence supporting the mechanistic claim would strengthen the manuscript.</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have substantially expanded biological validation through three complementary approaches:</w:t>
      </w:r>
    </w:p>
    <w:p>
      <w:pPr>
        <w:pStyle w:val="Normal"/>
        <w:jc w:val="both"/>
        <w:pBdr>
          <w:bottom w:val="none" w:sz="0" w:space="0" w:color="000000"/>
          <w:top w:val="none" w:sz="0" w:space="0" w:color="000000"/>
          <w:left w:val="none" w:sz="0" w:space="0" w:color="000000"/>
          <w:right w:val="none" w:sz="0" w:space="0" w:color="000000"/>
        </w:pBdr>
        <w:spacing w:after="12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(a) NMR metabolomics: </w:t>
      </w:r>
      <w:r>
        <w:rPr>
          <w:rFonts w:ascii="Times New Roman" w:hAnsi="Times New Roman" w:eastAsia="Times New Roman" w:cs="Times New Roman"/>
          <w:i w:val="false"/>
          <w:b w:val="false"/>
          <w:u w:val="none"/>
          <w:strike w:val="false"/>
          <w:sz w:val="24"/>
          <w:szCs w:val="24"/>
          <w:color w:val="000000"/>
        </w:rPr>
        <w:t xml:space="preserve">Analysis of 421,122 UK Biobank participants with Nightingale NMR metabolomics demonstrated that 53 molecular measurements—including VLDL subfractions, lipoprotein particle sizes, fatty acid composition, amino acids, and glycolysis intermediates—add nothing beyond what the Trig_Filter captures (combined AUC 0.752 vs TUDOR alone 0.749; DeLong p = 0.278). This provides molecular-level confirmation that the single clinical ratio captures the full discriminative information available from the entire circulating metabolome.</w:t>
      </w:r>
    </w:p>
    <w:p>
      <w:pPr>
        <w:pStyle w:val="Normal"/>
        <w:jc w:val="both"/>
        <w:pBdr>
          <w:bottom w:val="none" w:sz="0" w:space="0" w:color="000000"/>
          <w:top w:val="none" w:sz="0" w:space="0" w:color="000000"/>
          <w:left w:val="none" w:sz="0" w:space="0" w:color="000000"/>
          <w:right w:val="none" w:sz="0" w:space="0" w:color="000000"/>
        </w:pBdr>
        <w:spacing w:after="12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(b) Cardiovascular mortality gradient: </w:t>
      </w:r>
      <w:r>
        <w:rPr>
          <w:rFonts w:ascii="Times New Roman" w:hAnsi="Times New Roman" w:eastAsia="Times New Roman" w:cs="Times New Roman"/>
          <w:i w:val="false"/>
          <w:b w:val="false"/>
          <w:u w:val="none"/>
          <w:strike w:val="false"/>
          <w:sz w:val="24"/>
          <w:szCs w:val="24"/>
          <w:color w:val="000000"/>
        </w:rPr>
        <w:t xml:space="preserve">IHD deaths rise from 0.65% to 1.76% across treatment-adjusted LDL-C deciles (OR = 1.036 per decile, p = 0.011), independently confirming that the treatment-adjusted LDL-C variable captures real cardiovascular risk rather than statistical noise.</w:t>
      </w:r>
    </w:p>
    <w:p>
      <w:pPr>
        <w:pStyle w:val="Normal"/>
        <w:jc w:val="both"/>
        <w:pBdr>
          <w:bottom w:val="none" w:sz="0" w:space="0" w:color="000000"/>
          <w:top w:val="none" w:sz="0" w:space="0" w:color="000000"/>
          <w:left w:val="none" w:sz="0" w:space="0" w:color="000000"/>
          <w:right w:val="none" w:sz="0" w:space="0" w:color="000000"/>
        </w:pBdr>
        <w:spacing w:after="12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(c) T2DM ascertainment sensitivity: </w:t>
      </w:r>
      <w:r>
        <w:rPr>
          <w:rFonts w:ascii="Times New Roman" w:hAnsi="Times New Roman" w:eastAsia="Times New Roman" w:cs="Times New Roman"/>
          <w:i w:val="false"/>
          <w:b w:val="false"/>
          <w:u w:val="none"/>
          <w:strike w:val="false"/>
          <w:sz w:val="24"/>
          <w:szCs w:val="24"/>
          <w:color w:val="000000"/>
        </w:rPr>
        <w:t xml:space="preserve">Three independent T2DM definitions (self-report, ICD-10, HbA1c ≥48 mmol/mol) with poor inter-definition concordance (κ = 0.28–0.36) each independently confirm Trig_Filter attenuation (β = −0.48 to −0.66, p = 8.2 × 10⁻⁷⁰). The HbA1c dose-response gradient (TRG 2.74→2.31→1.82 across glycaemic strata) confirms a biological mechanism rather than coding artefact, establishing that T2DM adjustment is mandatory for clinical deployment.</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[Revised manuscript: Methods, 'Biological Validation' subsection; Results, 'NMR Metabolomics Profiling', 'Cardiovascular Mortality Gradient', 'T2DM Ascertainment Sensitivity' subsections; new Figures 4 and 5; Supplementary Table S5]</w:t>
      </w:r>
    </w:p>
    <w:p>
      <w:pPr>
        <w:pStyle w:val="Normal"/>
        <w:jc w:val="both"/>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Point 1.5: Model interpretability and clinical deployment</w:t>
      </w:r>
    </w:p>
    <w:p>
      <w:pPr>
        <w:pStyle w:val="Normal"/>
        <w:jc w:val="both"/>
        <w:pBdr>
          <w:bottom w:val="none" w:sz="0" w:space="0" w:color="000000"/>
          <w:top w:val="none" w:sz="0" w:space="0" w:color="000000"/>
          <w:left w:val="none" w:sz="0" w:space="0" w:color="000000"/>
          <w:right w:val="none" w:sz="0" w:space="0" w:color="000000"/>
        </w:pBdr>
        <w:spacing w:after="80" w:before="40" w:line="336"/>
        <w:ind w:left="400" w:right="0" w:firstLine="0" w:firstLineChars="0"/>
      </w:pPr>
      <w:r>
        <w:rPr>
          <w:rFonts w:ascii="Times New Roman" w:hAnsi="Times New Roman" w:eastAsia="Times New Roman" w:cs="Times New Roman"/>
          <w:i w:val="true"/>
          <w:b w:val="false"/>
          <w:u w:val="none"/>
          <w:strike w:val="false"/>
          <w:sz w:val="22"/>
          <w:szCs w:val="22"/>
          <w:color w:val="444444"/>
        </w:rPr>
        <w:t xml:space="preserve">XGBoost is a black-box model. For clinical adoption, a more interpretable approach would be preferred. Can the authors demonstrate that a simpler model achieves comparable performance?</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fully agree. In the revised manuscript, we have replaced XGBoost with Elastic Net logistic regression (α = 0.5, 10-fold cross-validation) as the primary model. The Elastic Net achieves equivalent discrimination (AUC 0.781 vs XGBoost 0.778; DeLong p = 0.72) while producing a fully transparent equation with 10 interpretable coefficients: Index Effect (+1.148), treatment-adjusted LDL-C (+1.070), Trig_Filter (+0.871), age (−0.622), HDL-C (+0.543), corneal arcus (+0.476), sex (−0.302), statin use (+0.267), tendon xanthomata (+0.180), and premature ASCVD (+0.065). This equation is computable in standard spreadsheet software and deployable in any electronic health record system without machine learning infrastructure. [Revised manuscript: Methods, 'Model Development'; Results, 'Model Performance'; Table 2; Discussion paragraph on clinical deployment]</w:t>
      </w:r>
    </w:p>
    <w:p>
      <w:pPr>
        <w:pStyle w:val="Normal"/>
        <w:jc w:val="left"/>
        <w:pBdr>
          <w:bottom w:val="none" w:sz="0" w:space="0" w:color="000000"/>
          <w:top w:val="none" w:sz="0" w:space="0" w:color="000000"/>
          <w:left w:val="none" w:sz="0" w:space="0" w:color="000000"/>
          <w:right w:val="none" w:sz="0" w:space="0" w:color="000000"/>
        </w:pBdr>
        <w:spacing w:after="120" w:before="320" w:line="360"/>
        <w:ind w:left="0" w:right="0" w:firstLine="0" w:firstLineChars="0"/>
      </w:pPr>
      <w:r>
        <w:rPr>
          <w:rFonts w:ascii="Times New Roman" w:hAnsi="Times New Roman" w:eastAsia="Times New Roman" w:cs="Times New Roman"/>
          <w:i w:val="false"/>
          <w:b w:val="true"/>
          <w:u w:val="none"/>
          <w:strike w:val="false"/>
          <w:sz w:val="28"/>
          <w:szCs w:val="28"/>
          <w:color w:val="0072B2"/>
        </w:rPr>
        <w:t xml:space="preserve">REVIEWER 2</w:t>
      </w:r>
    </w:p>
    <w:p>
      <w:pPr>
        <w:pStyle w:val="Normal"/>
        <w:jc w:val="both"/>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Point 2.1: Calibration and prevalence adjustment</w:t>
      </w:r>
    </w:p>
    <w:p>
      <w:pPr>
        <w:pStyle w:val="Normal"/>
        <w:jc w:val="both"/>
        <w:pBdr>
          <w:bottom w:val="none" w:sz="0" w:space="0" w:color="000000"/>
          <w:top w:val="none" w:sz="0" w:space="0" w:color="000000"/>
          <w:left w:val="none" w:sz="0" w:space="0" w:color="000000"/>
          <w:right w:val="none" w:sz="0" w:space="0" w:color="000000"/>
        </w:pBdr>
        <w:spacing w:after="80" w:before="40" w:line="336"/>
        <w:ind w:left="400" w:right="0" w:firstLine="0" w:firstLineChars="0"/>
      </w:pPr>
      <w:r>
        <w:rPr>
          <w:rFonts w:ascii="Times New Roman" w:hAnsi="Times New Roman" w:eastAsia="Times New Roman" w:cs="Times New Roman"/>
          <w:i w:val="true"/>
          <w:b w:val="false"/>
          <w:u w:val="none"/>
          <w:strike w:val="false"/>
          <w:sz w:val="22"/>
          <w:szCs w:val="22"/>
          <w:color w:val="444444"/>
        </w:rPr>
        <w:t xml:space="preserve">The Hosmer-Lemeshow p=0.012 indicates miscalibration, and the authors acknowledge this. For deployment in settings with different FH prevalence, a formal recalibration framework is needed rather than simply noting that recalibration would be beneficial.</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have addressed this concern by developing a Bayesian recalibration framework for deployment at different prevalence settings. The revised manuscript provides the explicit formula: Posterior = [TUDOR_score × (Prevalence / 0.0126)] / [TUDOR_score × (Prevalence / 0.0126) + (1 − TUDOR_score) × ((1 − Prevalence) / (1 − 0.0126))], where 0.0126 is the observed FH prevalence in the UK Biobank lipid clinic-mimicking cohort. Additionally, we now provide three clinically anchored operating thresholds—population screening (sensitivity 94%), lipid clinic triage (Youden optimal, sensitivity 64.2%, specificity 81.1%), and cascade confirmation (specificity 95%)—with explicit PPV and NPV at each threshold. [Revised manuscript: Methods, 'Bayesian Recalibration'; Results, 'Clinical Operating Characteristics'; Table 4]</w:t>
      </w:r>
    </w:p>
    <w:p>
      <w:pPr>
        <w:pStyle w:val="Normal"/>
        <w:jc w:val="both"/>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Point 2.2: Treatment paradox and statin adjustment</w:t>
      </w:r>
    </w:p>
    <w:p>
      <w:pPr>
        <w:pStyle w:val="Normal"/>
        <w:jc w:val="both"/>
        <w:pBdr>
          <w:bottom w:val="none" w:sz="0" w:space="0" w:color="000000"/>
          <w:top w:val="none" w:sz="0" w:space="0" w:color="000000"/>
          <w:left w:val="none" w:sz="0" w:space="0" w:color="000000"/>
          <w:right w:val="none" w:sz="0" w:space="0" w:color="000000"/>
        </w:pBdr>
        <w:spacing w:after="80" w:before="40" w:line="336"/>
        <w:ind w:left="400" w:right="0" w:firstLine="0" w:firstLineChars="0"/>
      </w:pPr>
      <w:r>
        <w:rPr>
          <w:rFonts w:ascii="Times New Roman" w:hAnsi="Times New Roman" w:eastAsia="Times New Roman" w:cs="Times New Roman"/>
          <w:i w:val="true"/>
          <w:b w:val="false"/>
          <w:u w:val="none"/>
          <w:strike w:val="false"/>
          <w:sz w:val="22"/>
          <w:szCs w:val="22"/>
          <w:color w:val="444444"/>
        </w:rPr>
        <w:t xml:space="preserve">How confident are the authors that the treatment adjustment accurately recovers untreated LDL-C? The uniform correction factor criticism applies equally to their individualised approach if documentation of treatment regimens is incomplete.</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appreciate this important methodological concern. In addition to the original 127-patient pharmacological reconstruction validation (r = 0.89), we have now validated treatment adjustment using 1,254 new statin users from UK Biobank with documented pre-treatment and on-treatment LDL-C measurements. Observed versus expected LDL reductions showed excellent agreement across all statin types and doses: moderate-intensity (expected 32%, observed 36%), high-intensity (expected 51%, observed 52%), combination therapy (expected 60%, observed 60%). Furthermore, we explicitly model the treatment paradox: severely affected FH patients receive the most intensive therapy, which paradoxically normalises their phenotype. The Elastic Net model includes a statin use indicator (β = +0.267), meaning statin treatment itself contributes positively to FH prediction, counteracting the phenotypic masking. [Revised manuscript: Methods, 'Treatment-Adjusted LDL-C'; Results, 'Treatment Adjustment Validation'; Discussion, 'Treatment paradox' paragraph]</w:t>
      </w:r>
    </w:p>
    <w:p>
      <w:pPr>
        <w:pStyle w:val="Normal"/>
        <w:jc w:val="both"/>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Point 2.3: Reference breadth and currency</w:t>
      </w:r>
    </w:p>
    <w:p>
      <w:pPr>
        <w:pStyle w:val="Normal"/>
        <w:jc w:val="both"/>
        <w:pBdr>
          <w:bottom w:val="none" w:sz="0" w:space="0" w:color="000000"/>
          <w:top w:val="none" w:sz="0" w:space="0" w:color="000000"/>
          <w:left w:val="none" w:sz="0" w:space="0" w:color="000000"/>
          <w:right w:val="none" w:sz="0" w:space="0" w:color="000000"/>
        </w:pBdr>
        <w:spacing w:after="80" w:before="40" w:line="336"/>
        <w:ind w:left="400" w:right="0" w:firstLine="0" w:firstLineChars="0"/>
      </w:pPr>
      <w:r>
        <w:rPr>
          <w:rFonts w:ascii="Times New Roman" w:hAnsi="Times New Roman" w:eastAsia="Times New Roman" w:cs="Times New Roman"/>
          <w:i w:val="true"/>
          <w:b w:val="false"/>
          <w:u w:val="none"/>
          <w:strike w:val="false"/>
          <w:sz w:val="22"/>
          <w:szCs w:val="22"/>
          <w:color w:val="444444"/>
        </w:rPr>
        <w:t xml:space="preserve">The reference list (40 references) is adequate but could be strengthened with more recent publications, particularly regarding machine learning applications in FH and UK Biobank genomics studies.</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have expanded the reference list from 40 to 55 references. New citations include: TRIPOD reporting guidelines (Collins et al., 2024); UK Biobank whole-exome sequencing (Szustakowski et al., 2021; Karczewski et al., 2022); recent FH machine learning studies (Pina et al., 2024; Rodriguez et al., 2023); EAS/EFLM consensus on ApoB measurement (Langsted et al., 2023); Nightingale NMR metabolomics platform validation (Julkunen et al., 2023); ClinVar variant database (Landrum et al., 2018); and our prior published work on ApoB/LDL-C discordance as an ASCVD predictor in FH (Genedy &amp; Zouwail, J Clin Lipidol, 2025). [Revised manuscript: References 1–55]</w:t>
      </w:r>
    </w:p>
    <w:p>
      <w:pPr>
        <w:pStyle w:val="Normal"/>
        <w:jc w:val="both"/>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Point 2.4: Contextualising the 1.5% DLCN sensitivity</w:t>
      </w:r>
    </w:p>
    <w:p>
      <w:pPr>
        <w:pStyle w:val="Normal"/>
        <w:jc w:val="both"/>
        <w:pBdr>
          <w:bottom w:val="none" w:sz="0" w:space="0" w:color="000000"/>
          <w:top w:val="none" w:sz="0" w:space="0" w:color="000000"/>
          <w:left w:val="none" w:sz="0" w:space="0" w:color="000000"/>
          <w:right w:val="none" w:sz="0" w:space="0" w:color="000000"/>
        </w:pBdr>
        <w:spacing w:after="80" w:before="40" w:line="336"/>
        <w:ind w:left="400" w:right="0" w:firstLine="0" w:firstLineChars="0"/>
      </w:pPr>
      <w:r>
        <w:rPr>
          <w:rFonts w:ascii="Times New Roman" w:hAnsi="Times New Roman" w:eastAsia="Times New Roman" w:cs="Times New Roman"/>
          <w:i w:val="true"/>
          <w:b w:val="false"/>
          <w:u w:val="none"/>
          <w:strike w:val="false"/>
          <w:sz w:val="22"/>
          <w:szCs w:val="22"/>
          <w:color w:val="444444"/>
        </w:rPr>
        <w:t xml:space="preserve">The claim that DLCN achieves only 1.5% sensitivity in cascade-screened relatives is striking. The authors should discuss whether this reflects genuine criterion failure or methodological factors such as the reliance on the Wales age-adjusted DLCN scoring system rather than the original Dutch criteria.</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thank the reviewer for this nuanced observation. In the revised manuscript, we contextualise this finding more carefully. The 1.5% sensitivity specifically reflects the All Wales FH Score (age-adjusted DLCN), which is the locally mandated scoring system. We now explicitly note that the estimated DLCN in UK Biobank—where clinical signs and family history are incompletely captured—achieves AUC 0.636, representing a more conservative estimate. The fundamental biological explanation remains valid: cascade-screened relatives carry identical pathogenic variants but present with less extreme phenotypes due to regression to the mean, variable expressivity, younger age at screening, and absence of the clinical selection bias that identifies index cases. We have also added explicit comparison with FAMCAT (AUC 0.791 in Wales) to provide a contemporary machine learning benchmark. [Revised manuscript: Discussion, paragraphs 2–3]</w:t>
      </w:r>
    </w:p>
    <w:p>
      <w:pPr>
        <w:pStyle w:val="Normal"/>
        <w:jc w:val="left"/>
        <w:pBdr>
          <w:bottom w:val="none" w:sz="0" w:space="0" w:color="000000"/>
          <w:top w:val="none" w:sz="0" w:space="0" w:color="000000"/>
          <w:left w:val="none" w:sz="0" w:space="0" w:color="000000"/>
          <w:right w:val="none" w:sz="0" w:space="0" w:color="000000"/>
        </w:pBdr>
        <w:spacing w:after="120" w:before="320" w:line="360"/>
        <w:ind w:left="0" w:right="0" w:firstLine="0" w:firstLineChars="0"/>
      </w:pPr>
      <w:r>
        <w:rPr>
          <w:rFonts w:ascii="Times New Roman" w:hAnsi="Times New Roman" w:eastAsia="Times New Roman" w:cs="Times New Roman"/>
          <w:i w:val="false"/>
          <w:b w:val="true"/>
          <w:u w:val="none"/>
          <w:strike w:val="false"/>
          <w:sz w:val="28"/>
          <w:szCs w:val="28"/>
          <w:color w:val="0072B2"/>
        </w:rPr>
        <w:t xml:space="preserve">REVIEWER 3 / EDITORIAL COMMENTS</w:t>
      </w:r>
    </w:p>
    <w:p>
      <w:pPr>
        <w:pStyle w:val="Normal"/>
        <w:jc w:val="both"/>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Point 3.1: Apolipoprotein B integration</w:t>
      </w:r>
    </w:p>
    <w:p>
      <w:pPr>
        <w:pStyle w:val="Normal"/>
        <w:jc w:val="both"/>
        <w:pBdr>
          <w:bottom w:val="none" w:sz="0" w:space="0" w:color="000000"/>
          <w:top w:val="none" w:sz="0" w:space="0" w:color="000000"/>
          <w:left w:val="none" w:sz="0" w:space="0" w:color="000000"/>
          <w:right w:val="none" w:sz="0" w:space="0" w:color="000000"/>
        </w:pBdr>
        <w:spacing w:after="80" w:before="40" w:line="336"/>
        <w:ind w:left="400" w:right="0" w:firstLine="0" w:firstLineChars="0"/>
      </w:pPr>
      <w:r>
        <w:rPr>
          <w:rFonts w:ascii="Times New Roman" w:hAnsi="Times New Roman" w:eastAsia="Times New Roman" w:cs="Times New Roman"/>
          <w:i w:val="true"/>
          <w:b w:val="false"/>
          <w:u w:val="none"/>
          <w:strike w:val="false"/>
          <w:sz w:val="22"/>
          <w:szCs w:val="22"/>
          <w:color w:val="444444"/>
        </w:rPr>
        <w:t xml:space="preserve">Given the authors' prior work on ApoB/LDL-C discordance in FH, have they explored incorporating ApoB into the diagnostic algorithm?</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Yes. We have added an ApoB-augmented model (Model C) that incorporates the ApoB/LDL-C ratio as an additional predictor. This improves discrimination to AUC 0.771 (ΔAUC +0.019; DeLong p = 3.99 × 10⁻⁵). The biological rationale is that cholesterol-enriched LDL particles in receptor-deficient states produce ApoB/LDL-C discordance reflecting prolonged circulatory residence time. However, grey zone analysis demonstrates that sequential ApoB measurement after intermediate TUDOR probability does not resolve diagnostic uncertainty (AUC 0.513 within grey zone), indicating that ApoB augmentation improves overall discrimination but cannot triage genuinely indeterminate cases. We present the ApoB-augmented model as optional, recognising that serum ApoB is not universally available. [Revised manuscript: Methods, 'ApoB Augmentation Model'; Results, 'ApoB-Augmented Performance'; Discussion, paragraph on ApoB integration]</w:t>
      </w:r>
    </w:p>
    <w:p>
      <w:pPr>
        <w:pStyle w:val="Normal"/>
        <w:jc w:val="both"/>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Point 3.2: Reporting standards compliance</w:t>
      </w:r>
    </w:p>
    <w:p>
      <w:pPr>
        <w:pStyle w:val="Normal"/>
        <w:jc w:val="both"/>
        <w:pBdr>
          <w:bottom w:val="none" w:sz="0" w:space="0" w:color="000000"/>
          <w:top w:val="none" w:sz="0" w:space="0" w:color="000000"/>
          <w:left w:val="none" w:sz="0" w:space="0" w:color="000000"/>
          <w:right w:val="none" w:sz="0" w:space="0" w:color="000000"/>
        </w:pBdr>
        <w:spacing w:after="80" w:before="40" w:line="336"/>
        <w:ind w:left="400" w:right="0" w:firstLine="0" w:firstLineChars="0"/>
      </w:pPr>
      <w:r>
        <w:rPr>
          <w:rFonts w:ascii="Times New Roman" w:hAnsi="Times New Roman" w:eastAsia="Times New Roman" w:cs="Times New Roman"/>
          <w:i w:val="true"/>
          <w:b w:val="false"/>
          <w:u w:val="none"/>
          <w:strike w:val="false"/>
          <w:sz w:val="22"/>
          <w:szCs w:val="22"/>
          <w:color w:val="444444"/>
        </w:rPr>
        <w:t xml:space="preserve">The manuscript would benefit from explicit reference to diagnostic model reporting guidelines (TRIPOD).</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have restructured the entire validation framework according to TRIPOD 2024 guidelines (Collins et al.). The Wales validation is classified as TRIPOD Type 2b (external validation with model re-estimation) and the UK Biobank validation as TRIPOD Type 4 (independent external validation without model re-estimation). A TRIPOD checklist is available as supplementary material. Additionally, the study now complies with STROBE guidelines for observational studies. [Revised manuscript: Methods, throughout; Supplementary checklist]</w:t>
      </w:r>
    </w:p>
    <w:p>
      <w:pPr>
        <w:pStyle w:val="Normal"/>
        <w:jc w:val="both"/>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Point 3.3: Practical clinical thresholds</w:t>
      </w:r>
    </w:p>
    <w:p>
      <w:pPr>
        <w:pStyle w:val="Normal"/>
        <w:jc w:val="both"/>
        <w:pBdr>
          <w:bottom w:val="none" w:sz="0" w:space="0" w:color="000000"/>
          <w:top w:val="none" w:sz="0" w:space="0" w:color="000000"/>
          <w:left w:val="none" w:sz="0" w:space="0" w:color="000000"/>
          <w:right w:val="none" w:sz="0" w:space="0" w:color="000000"/>
        </w:pBdr>
        <w:spacing w:after="80" w:before="40" w:line="336"/>
        <w:ind w:left="400" w:right="0" w:firstLine="0" w:firstLineChars="0"/>
      </w:pPr>
      <w:r>
        <w:rPr>
          <w:rFonts w:ascii="Times New Roman" w:hAnsi="Times New Roman" w:eastAsia="Times New Roman" w:cs="Times New Roman"/>
          <w:i w:val="true"/>
          <w:b w:val="false"/>
          <w:u w:val="none"/>
          <w:strike w:val="false"/>
          <w:sz w:val="22"/>
          <w:szCs w:val="22"/>
          <w:color w:val="444444"/>
        </w:rPr>
        <w:t xml:space="preserve">The three-tier probability framework (low/intermediate/high risk) is clinically useful, but the thresholds (&lt;25%, 25-75%, &gt;75%) appear arbitrary. Can the authors provide empirically derived thresholds?</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Agreed. We have replaced the arbitrary probability thresholds with three empirically derived, clinically anchored operating points based on the Wales external validation cohort:</w:t>
      </w:r>
    </w:p>
    <w:p>
      <w:pPr>
        <w:pStyle w:val="Normal"/>
        <w:jc w:val="both"/>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 Population screening threshold (TUDOR ≥0.003): </w:t>
      </w:r>
      <w:r>
        <w:rPr>
          <w:rFonts w:ascii="Times New Roman" w:hAnsi="Times New Roman" w:eastAsia="Times New Roman" w:cs="Times New Roman"/>
          <w:i w:val="false"/>
          <w:b w:val="false"/>
          <w:u w:val="none"/>
          <w:strike w:val="false"/>
          <w:sz w:val="24"/>
          <w:szCs w:val="24"/>
          <w:color w:val="000000"/>
        </w:rPr>
        <w:t xml:space="preserve">Sensitivity 94%, capturing nearly all FH cases for initial screening. NPV 99.9%.</w:t>
      </w:r>
    </w:p>
    <w:p>
      <w:pPr>
        <w:pStyle w:val="Normal"/>
        <w:jc w:val="both"/>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 Lipid clinic triage threshold (TUDOR ≥0.045, Youden optimal): </w:t>
      </w:r>
      <w:r>
        <w:rPr>
          <w:rFonts w:ascii="Times New Roman" w:hAnsi="Times New Roman" w:eastAsia="Times New Roman" w:cs="Times New Roman"/>
          <w:i w:val="false"/>
          <w:b w:val="false"/>
          <w:u w:val="none"/>
          <w:strike w:val="false"/>
          <w:sz w:val="24"/>
          <w:szCs w:val="24"/>
          <w:color w:val="000000"/>
        </w:rPr>
        <w:t xml:space="preserve">Sensitivity 64.2%, Specificity 81.1%, PPV 4.3% at 1.26% prevalence. This threshold optimally balances sensitivity and specificity for referral from primary care to specialist evaluation.</w:t>
      </w:r>
    </w:p>
    <w:p>
      <w:pPr>
        <w:pStyle w:val="Normal"/>
        <w:jc w:val="both"/>
        <w:pBdr>
          <w:bottom w:val="none" w:sz="0" w:space="0" w:color="000000"/>
          <w:top w:val="none" w:sz="0" w:space="0" w:color="000000"/>
          <w:left w:val="none" w:sz="0" w:space="0" w:color="000000"/>
          <w:right w:val="none" w:sz="0" w:space="0" w:color="000000"/>
        </w:pBdr>
        <w:spacing w:after="12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(3) Cascade confirmation threshold (TUDOR ≥0.159): </w:t>
      </w:r>
      <w:r>
        <w:rPr>
          <w:rFonts w:ascii="Times New Roman" w:hAnsi="Times New Roman" w:eastAsia="Times New Roman" w:cs="Times New Roman"/>
          <w:i w:val="false"/>
          <w:b w:val="false"/>
          <w:u w:val="none"/>
          <w:strike w:val="false"/>
          <w:sz w:val="24"/>
          <w:szCs w:val="24"/>
          <w:color w:val="000000"/>
        </w:rPr>
        <w:t xml:space="preserve">Specificity 95%, PPV 88.5%. For confirming high FH probability in cascade-screened relatives where genetic testing may not be immediately available.</w:t>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[Revised manuscript: Results, 'Clinical Operating Characteristics'; Table 4; Discussion, 'Clinical deployment' paragraph; Figure 3]</w:t>
      </w:r>
    </w:p>
    <w:p>
      <w:pPr>
        <w:pStyle w:val="Normal"/>
        <w:jc w:val="left"/>
        <w:pBdr>
          <w:bottom w:val="none" w:sz="0" w:space="0" w:color="000000"/>
          <w:top w:val="none" w:sz="0" w:space="0" w:color="000000"/>
          <w:left w:val="none" w:sz="0" w:space="0" w:color="000000"/>
          <w:right w:val="none" w:sz="0" w:space="0" w:color="000000"/>
        </w:pBdr>
        <w:spacing w:after="120" w:before="320" w:line="360"/>
        <w:ind w:left="0" w:right="0" w:firstLine="0" w:firstLineChars="0"/>
      </w:pPr>
      <w:r>
        <w:rPr>
          <w:rFonts w:ascii="Times New Roman" w:hAnsi="Times New Roman" w:eastAsia="Times New Roman" w:cs="Times New Roman"/>
          <w:i w:val="false"/>
          <w:b w:val="true"/>
          <w:u w:val="none"/>
          <w:strike w:val="false"/>
          <w:sz w:val="28"/>
          <w:szCs w:val="28"/>
          <w:color w:val="0072B2"/>
        </w:rPr>
        <w:t xml:space="preserve">SUMMARY OF REVISIONS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Aspect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Original Manuscript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Revised Manuscript</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Validation strategy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Single-centre holdout (n=409)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72B2"/>
              </w:rPr>
            </w:pPr>
            <w:r>
              <w:rPr>
                <w:rFonts w:ascii="Times New Roman" w:hAnsi="Times New Roman" w:eastAsia="Times New Roman" w:cs="Times New Roman"/>
                <w:i w:val="false"/>
                <w:b w:val="false"/>
                <w:u w:val="none"/>
                <w:strike w:val="false"/>
                <w:sz w:val="18"/>
                <w:szCs w:val="18"/>
                <w:color w:val="0072B2"/>
              </w:rPr>
              <w:t xml:space="preserve">Dual external: Wales (TRIPOD 2b) + UKB (TRIPOD 4)</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Sample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n=1,051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72B2"/>
              </w:rPr>
            </w:pPr>
            <w:r>
              <w:rPr>
                <w:rFonts w:ascii="Times New Roman" w:hAnsi="Times New Roman" w:eastAsia="Times New Roman" w:cs="Times New Roman"/>
                <w:i w:val="false"/>
                <w:b w:val="false"/>
                <w:u w:val="none"/>
                <w:strike w:val="false"/>
                <w:sz w:val="18"/>
                <w:szCs w:val="18"/>
                <w:color w:val="0072B2"/>
              </w:rPr>
              <w:t xml:space="preserve">n=65,274 (7,253 + 58,021)</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FH cases (genetically confirmed)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72B2"/>
              </w:rPr>
            </w:pPr>
            <w:r>
              <w:rPr>
                <w:rFonts w:ascii="Times New Roman" w:hAnsi="Times New Roman" w:eastAsia="Times New Roman" w:cs="Times New Roman"/>
                <w:i w:val="false"/>
                <w:b w:val="false"/>
                <w:u w:val="none"/>
                <w:strike w:val="false"/>
                <w:sz w:val="18"/>
                <w:szCs w:val="18"/>
                <w:color w:val="0072B2"/>
              </w:rPr>
              <w:t xml:space="preserve">4,028</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Causal genes validated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 (LDLR, APOB, PCSK9)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72B2"/>
              </w:rPr>
            </w:pPr>
            <w:r>
              <w:rPr>
                <w:rFonts w:ascii="Times New Roman" w:hAnsi="Times New Roman" w:eastAsia="Times New Roman" w:cs="Times New Roman"/>
                <w:i w:val="false"/>
                <w:b w:val="false"/>
                <w:u w:val="none"/>
                <w:strike w:val="false"/>
                <w:sz w:val="18"/>
                <w:szCs w:val="18"/>
                <w:color w:val="0072B2"/>
              </w:rPr>
              <w:t xml:space="preserve">6 (+ APOE, LDLRAP1, CNVs)</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Primary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XGBoost (black-box)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72B2"/>
              </w:rPr>
            </w:pPr>
            <w:r>
              <w:rPr>
                <w:rFonts w:ascii="Times New Roman" w:hAnsi="Times New Roman" w:eastAsia="Times New Roman" w:cs="Times New Roman"/>
                <w:i w:val="false"/>
                <w:b w:val="false"/>
                <w:u w:val="none"/>
                <w:strike w:val="false"/>
                <w:sz w:val="18"/>
                <w:szCs w:val="18"/>
                <w:color w:val="0072B2"/>
              </w:rPr>
              <w:t xml:space="preserve">Elastic Net logistic regression (transparent)</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Reporting framework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specified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72B2"/>
              </w:rPr>
            </w:pPr>
            <w:r>
              <w:rPr>
                <w:rFonts w:ascii="Times New Roman" w:hAnsi="Times New Roman" w:eastAsia="Times New Roman" w:cs="Times New Roman"/>
                <w:i w:val="false"/>
                <w:b w:val="false"/>
                <w:u w:val="none"/>
                <w:strike w:val="false"/>
                <w:sz w:val="18"/>
                <w:szCs w:val="18"/>
                <w:color w:val="0072B2"/>
              </w:rPr>
              <w:t xml:space="preserve">TRIPOD 2024 + STROBE</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AUC (main validation)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0.982 (holdout, optimistic)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72B2"/>
              </w:rPr>
            </w:pPr>
            <w:r>
              <w:rPr>
                <w:rFonts w:ascii="Times New Roman" w:hAnsi="Times New Roman" w:eastAsia="Times New Roman" w:cs="Times New Roman"/>
                <w:i w:val="false"/>
                <w:b w:val="false"/>
                <w:u w:val="none"/>
                <w:strike w:val="false"/>
                <w:sz w:val="18"/>
                <w:szCs w:val="18"/>
                <w:color w:val="0072B2"/>
              </w:rPr>
              <w:t xml:space="preserve">0.842 (Wales) / 0.750 (UKB)</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Biological validation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Trig_Filter independence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72B2"/>
              </w:rPr>
            </w:pPr>
            <w:r>
              <w:rPr>
                <w:rFonts w:ascii="Times New Roman" w:hAnsi="Times New Roman" w:eastAsia="Times New Roman" w:cs="Times New Roman"/>
                <w:i w:val="false"/>
                <w:b w:val="false"/>
                <w:u w:val="none"/>
                <w:strike w:val="false"/>
                <w:sz w:val="18"/>
                <w:szCs w:val="18"/>
                <w:color w:val="0072B2"/>
              </w:rPr>
              <w:t xml:space="preserve">NMR (421k), CV mortality, T2DM 3-way</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Calibration framework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provided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72B2"/>
              </w:rPr>
            </w:pPr>
            <w:r>
              <w:rPr>
                <w:rFonts w:ascii="Times New Roman" w:hAnsi="Times New Roman" w:eastAsia="Times New Roman" w:cs="Times New Roman"/>
                <w:i w:val="false"/>
                <w:b w:val="false"/>
                <w:u w:val="none"/>
                <w:strike w:val="false"/>
                <w:sz w:val="18"/>
                <w:szCs w:val="18"/>
                <w:color w:val="0072B2"/>
              </w:rPr>
              <w:t xml:space="preserve">Bayesian recalibration formula</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Clinical thresholds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Arbitrary (25%/75%)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72B2"/>
              </w:rPr>
            </w:pPr>
            <w:r>
              <w:rPr>
                <w:rFonts w:ascii="Times New Roman" w:hAnsi="Times New Roman" w:eastAsia="Times New Roman" w:cs="Times New Roman"/>
                <w:i w:val="false"/>
                <w:b w:val="false"/>
                <w:u w:val="none"/>
                <w:strike w:val="false"/>
                <w:sz w:val="18"/>
                <w:szCs w:val="18"/>
                <w:color w:val="0072B2"/>
              </w:rPr>
              <w:t xml:space="preserve">Empirical: 0.003 / 0.045 / 0.159</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ApoB integration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included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72B2"/>
              </w:rPr>
            </w:pPr>
            <w:r>
              <w:rPr>
                <w:rFonts w:ascii="Times New Roman" w:hAnsi="Times New Roman" w:eastAsia="Times New Roman" w:cs="Times New Roman"/>
                <w:i w:val="false"/>
                <w:b w:val="false"/>
                <w:u w:val="none"/>
                <w:strike w:val="false"/>
                <w:sz w:val="18"/>
                <w:szCs w:val="18"/>
                <w:color w:val="0072B2"/>
              </w:rPr>
              <w:t xml:space="preserve">Model C: AUC 0.771 (+0.019)</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NMR metabolomics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included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72B2"/>
              </w:rPr>
            </w:pPr>
            <w:r>
              <w:rPr>
                <w:rFonts w:ascii="Times New Roman" w:hAnsi="Times New Roman" w:eastAsia="Times New Roman" w:cs="Times New Roman"/>
                <w:i w:val="false"/>
                <w:b w:val="false"/>
                <w:u w:val="none"/>
                <w:strike w:val="false"/>
                <w:sz w:val="18"/>
                <w:szCs w:val="18"/>
                <w:color w:val="0072B2"/>
              </w:rPr>
              <w:t xml:space="preserve">53 metabolites, 421,122 participants</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CV mortality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included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72B2"/>
              </w:rPr>
            </w:pPr>
            <w:r>
              <w:rPr>
                <w:rFonts w:ascii="Times New Roman" w:hAnsi="Times New Roman" w:eastAsia="Times New Roman" w:cs="Times New Roman"/>
                <w:i w:val="false"/>
                <w:b w:val="false"/>
                <w:u w:val="none"/>
                <w:strike w:val="false"/>
                <w:sz w:val="18"/>
                <w:szCs w:val="18"/>
                <w:color w:val="0072B2"/>
              </w:rPr>
              <w:t xml:space="preserve">IHD gradient OR=1.036, p=0.011</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T2DM sensitivity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Not included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72B2"/>
              </w:rPr>
            </w:pPr>
            <w:r>
              <w:rPr>
                <w:rFonts w:ascii="Times New Roman" w:hAnsi="Times New Roman" w:eastAsia="Times New Roman" w:cs="Times New Roman"/>
                <w:i w:val="false"/>
                <w:b w:val="false"/>
                <w:u w:val="none"/>
                <w:strike w:val="false"/>
                <w:sz w:val="18"/>
                <w:szCs w:val="18"/>
                <w:color w:val="0072B2"/>
              </w:rPr>
              <w:t xml:space="preserve">3 definitions, kappa=0.28-0.36</w:t>
            </w:r>
          </w:p>
        </w:tc>
      </w:tr>
      <w:tr>
        <w:trPr>
          <w:trHeight w:val="360" w:hRule="auto"/>
        </w:trPr>
        body15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References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72B2"/>
              </w:rPr>
            </w:pPr>
            <w:r>
              <w:rPr>
                <w:rFonts w:ascii="Times New Roman" w:hAnsi="Times New Roman" w:eastAsia="Times New Roman" w:cs="Times New Roman"/>
                <w:i w:val="false"/>
                <w:b w:val="false"/>
                <w:u w:val="none"/>
                <w:strike w:val="false"/>
                <w:sz w:val="18"/>
                <w:szCs w:val="18"/>
                <w:color w:val="0072B2"/>
              </w:rPr>
              <w:t xml:space="preserve">55</w:t>
            </w:r>
          </w:p>
        </w:tc>
      </w:tr>
    </w:tbl>
    <w:p>
      <w:pPr>
        <w:pStyle w:val="Normal"/>
        <w:jc w:val="both"/>
        <w:pBdr>
          <w:bottom w:val="none" w:sz="0" w:space="0" w:color="000000"/>
          <w:top w:val="none" w:sz="0" w:space="0" w:color="000000"/>
          <w:left w:val="none" w:sz="0" w:space="0" w:color="000000"/>
          <w:right w:val="none" w:sz="0" w:space="0" w:color="000000"/>
        </w:pBdr>
        <w:spacing w:after="32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
      </w:r>
    </w:p>
    <w:p>
      <w:pPr>
        <w:pStyle w:val="Normal"/>
        <w:jc w:val="both"/>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trust these revisions address all concerns comprehensively. We are grateful for the opportunity to strengthen this manuscript and believe the revised version represents a substantial advance in FH diagnostics.</w:t>
      </w:r>
    </w:p>
    <w:p>
      <w:pPr>
        <w:pStyle w:val="Normal"/>
        <w:jc w:val="both"/>
        <w:pBdr>
          <w:bottom w:val="none" w:sz="0" w:space="0" w:color="000000"/>
          <w:top w:val="none" w:sz="0" w:space="0" w:color="000000"/>
          <w:left w:val="none" w:sz="0" w:space="0" w:color="000000"/>
          <w:right w:val="none" w:sz="0" w:space="0" w:color="000000"/>
        </w:pBdr>
        <w:spacing w:after="400" w:before="24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Yours sincerely,</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Dr Nader Genedy &amp; Dr Soha Zouwail</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Department of Metabolic Medicine, Cardiff and Vale University Health Board</w:t>
      </w:r>
    </w:p>
    <w:sectPr>
      <w:pgMar w:header="706" w:bottom="1411" w:top="1699" w:right="1411" w:left="1699" w:footer="706"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2026-04-04T23:42:57Z</dcterms:modified>
  <cp:category/>
</cp:coreProperties>
</file>