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F6F"/>
        </w:rPr>
        <w:t>Response to Reviewer #2 — JCLINLIPID-D-25-01142 R2</w:t>
      </w:r>
    </w:p>
    <w:p>
      <w:r>
        <w:rPr>
          <w:b/>
        </w:rPr>
        <w:t>Dear Editor and Reviewer #2,</w:t>
      </w:r>
    </w:p>
    <w:p>
      <w:r>
        <w:t>We thank Reviewer #2 for the constructive review. The Reviewer's acknowledgement of the dual external validation, the interpretable Elastic Net model, the genetic subgroup analyses, and the TRIPOD-compliant reporting is gratefully received. We have addressed each remaining point in turn. No numerical results have been altered in this revision; all changes are additive and serve to improve clarity, clinical usability, and formatting consistency.  We have also submitted an accompanying traceability audit (TUDOR_v5_TRACEABILITY.md) documenting which numerical claims have been live-re-derived from the All-Wales-FH Registry raw data in this revision cycle.</w:t>
      </w:r>
    </w:p>
    <w:p>
      <w:pPr>
        <w:pStyle w:val="Heading2"/>
      </w:pPr>
      <w:r>
        <w:rPr>
          <w:color w:val="1F3F6F"/>
        </w:rPr>
        <w:t>R2.1 — Language simplification</w:t>
      </w:r>
    </w:p>
    <w:p>
      <w:r>
        <w:rPr>
          <w:i/>
          <w:color w:val="555555"/>
        </w:rPr>
        <w:t>"Despite improvements, several sections (particularly the Abstract, Methods, and parts of the Discussion) remain highly technical."</w:t>
      </w:r>
    </w:p>
    <w:p/>
    <w:p>
      <w:r>
        <w:rPr>
          <w:b/>
        </w:rPr>
        <w:t xml:space="preserve">Response: </w:t>
      </w:r>
      <w:r>
        <w:t>We have inserted four plain-English topic-sentences immediately before the most technically dense passages: (i) before the Elastic Net description in the Methods, clarifying that the model selects only the most informative clinical features; (ii) before the Net Reclassification Improvement passage in the Discussion, translating the statistic into number-needed-to-reclassify language; (iii) before the calibration slope discussion, framing it as the scaling factor needed for primary-care deployment; and (iv) before the Trig_Filter introduction, summarising what the composite captures clinically. No existing technical sentence has been removed or reworded.</w:t>
      </w:r>
    </w:p>
    <w:p/>
    <w:p>
      <w:pPr>
        <w:pStyle w:val="Heading2"/>
      </w:pPr>
      <w:r>
        <w:rPr>
          <w:color w:val="1F3F6F"/>
        </w:rPr>
        <w:t>R2.2 — Clinical implementation and decision pathway</w:t>
      </w:r>
    </w:p>
    <w:p>
      <w:r>
        <w:rPr>
          <w:i/>
          <w:color w:val="555555"/>
        </w:rPr>
        <w:t>"a concise decision pathway describing how different probability thresholds should guide clinical actions"</w:t>
      </w:r>
    </w:p>
    <w:p/>
    <w:p>
      <w:r>
        <w:rPr>
          <w:b/>
        </w:rPr>
        <w:t xml:space="preserve">Response: </w:t>
      </w:r>
      <w:r>
        <w:t>We have expanded §4.7 Clinical Implementation Framework with a three-paragraph decision pathway and a new Table 4 (Three-tier clinical decision pathway based on the TUDOR predicted probability). The pathway reuses the categorical thresholds already used in the Net Reclassification Improvement analysis (&lt;25%, 25-75%, &gt;75%; Table 3) and maps each band to a distinct clinical action and genetic-testing decision.  Crucially, no new numerical thresholds were introduced — only the existing thresholds were surfaced into a structured pathway.</w:t>
      </w:r>
    </w:p>
    <w:p/>
    <w:p>
      <w:pPr>
        <w:pStyle w:val="Heading2"/>
      </w:pPr>
      <w:r>
        <w:rPr>
          <w:color w:val="1F3F6F"/>
        </w:rPr>
        <w:t>R2.3 — Adherence misclassification</w:t>
      </w:r>
    </w:p>
    <w:p>
      <w:r>
        <w:rPr>
          <w:i/>
          <w:color w:val="555555"/>
        </w:rPr>
        <w:t>"misclassification of adherence in real-world settings may impact model performance and reliability"</w:t>
      </w:r>
    </w:p>
    <w:p/>
    <w:p>
      <w:r>
        <w:rPr>
          <w:b/>
        </w:rPr>
        <w:t xml:space="preserve">Response: </w:t>
      </w:r>
      <w:r>
        <w:t>We have added a paragraph to §4.8 Limitations addressing intermittent dosing, dose reduction during intercurrent illness, and complete cessation directly.  We state that external validation provides "some reassurance" that the model retains discrimination — we deliberately avoid the stronger claim of "resilience" because a definitive test requires time-varying GP-prescription data linked to dispensing records, which is part of the planned Cardiff longitudinal follow-up.</w:t>
      </w:r>
    </w:p>
    <w:p/>
    <w:p>
      <w:pPr>
        <w:pStyle w:val="Heading2"/>
      </w:pPr>
      <w:r>
        <w:rPr>
          <w:color w:val="1F3F6F"/>
        </w:rPr>
        <w:t>R2.4 — FAMCAT contextualisation</w:t>
      </w:r>
    </w:p>
    <w:p>
      <w:r>
        <w:rPr>
          <w:i/>
          <w:color w:val="555555"/>
        </w:rPr>
        <w:t>"contextualise its performance relative to published FAMCAT results"</w:t>
      </w:r>
    </w:p>
    <w:p/>
    <w:p>
      <w:r>
        <w:rPr>
          <w:b/>
        </w:rPr>
        <w:t xml:space="preserve">Response: </w:t>
      </w:r>
      <w:r>
        <w:t>We have added a paragraph after §4.2 (Cascade Screening Imperative) citing the originally-published FAMCAT validation in UK primary care (Weng et al., reference [18]).  The paragraph states explicitly that our internally reconstructed FAMCAT-like score is "a methodologically necessary comparator limited by the absence of primary-care longitudinal coding depth, and should not be read as a direct benchmark against the originally published FAMCAT performance."</w:t>
      </w:r>
    </w:p>
    <w:p/>
    <w:p>
      <w:pPr>
        <w:pStyle w:val="Heading2"/>
      </w:pPr>
      <w:r>
        <w:rPr>
          <w:color w:val="1F3F6F"/>
        </w:rPr>
        <w:t>R2.5 — Discussion synthesis</w:t>
      </w:r>
    </w:p>
    <w:p>
      <w:r>
        <w:rPr>
          <w:i/>
          <w:color w:val="555555"/>
        </w:rPr>
        <w:t>"more focused and clinically oriented synthesis"</w:t>
      </w:r>
    </w:p>
    <w:p/>
    <w:p>
      <w:r>
        <w:rPr>
          <w:b/>
        </w:rPr>
        <w:t xml:space="preserve">Response: </w:t>
      </w:r>
      <w:r>
        <w:t>We have inserted a new opening paragraph immediately after the §4. DISCUSSION heading that frames TUDOR's value proposition: it bridges pre-statin-era diagnostic criteria (DLCN, MEDPED, Simon Broome — all validated in treatment-naive populations) and the contemporary reality of heavily-treated patients whose LDL-C concentrations are pharmacologically attenuated below the original diagnostic thresholds.  No existing sentences have been moved or rewritten — the new opener simply provides the synthesis the Reviewer requested.</w:t>
      </w:r>
    </w:p>
    <w:p/>
    <w:p>
      <w:pPr>
        <w:pStyle w:val="Heading2"/>
      </w:pPr>
      <w:r>
        <w:rPr>
          <w:color w:val="1F3F6F"/>
        </w:rPr>
        <w:t>R2.6 — Genetic nomenclature (italics)</w:t>
      </w:r>
    </w:p>
    <w:p>
      <w:r>
        <w:rPr>
          <w:i/>
          <w:color w:val="555555"/>
        </w:rPr>
        <w:t>"gene symbols should be formatted in italics"</w:t>
      </w:r>
    </w:p>
    <w:p/>
    <w:p>
      <w:r>
        <w:rPr>
          <w:b/>
        </w:rPr>
        <w:t xml:space="preserve">Response: </w:t>
      </w:r>
      <w:r>
        <w:t>We have applied a global italicisation pass to all standalone occurrences of LDLR, APOB, PCSK9, and APOE as gene symbols.  Protein forms (LDL-R, ApoB, ApoE) are retained in regular text.  A before-and-after numerical-integrity check confirmed that no numerical claim was altered by the italicisation pass.</w:t>
      </w:r>
    </w:p>
    <w:p/>
    <w:p>
      <w:pPr>
        <w:pStyle w:val="Heading2"/>
      </w:pPr>
      <w:r>
        <w:rPr>
          <w:color w:val="1F3F6F"/>
        </w:rPr>
        <w:t>Title page formatting</w:t>
      </w:r>
    </w:p>
    <w:p>
      <w:r>
        <w:rPr>
          <w:i/>
          <w:color w:val="555555"/>
        </w:rPr>
        <w:t>"degrees listed; ≥3 keywords; acknowledgements moved off title page"</w:t>
      </w:r>
    </w:p>
    <w:p/>
    <w:p>
      <w:r>
        <w:rPr>
          <w:b/>
        </w:rPr>
        <w:t xml:space="preserve">Response: </w:t>
      </w:r>
      <w:r>
        <w:t>The title page has been audited: author degrees listed; six keywords are present (Familial hypercholesterolaemia; Diagnostic algorithm; Lipid-lowering therapy; Statin correction; UK Biobank; Cascade screening); Acknowledgements moved to immediately before the References.</w:t>
      </w:r>
    </w:p>
    <w:p/>
    <w:p>
      <w:pPr>
        <w:pStyle w:val="Heading2"/>
      </w:pPr>
      <w:r>
        <w:rPr>
          <w:color w:val="1F3F6F"/>
        </w:rPr>
        <w:t>Highlights, Disclosures, AI statement</w:t>
      </w:r>
    </w:p>
    <w:p>
      <w:r>
        <w:rPr>
          <w:i/>
          <w:color w:val="555555"/>
        </w:rPr>
        <w:t>"Highlights are required; disclosure statements required"</w:t>
      </w:r>
    </w:p>
    <w:p/>
    <w:p>
      <w:r>
        <w:rPr>
          <w:b/>
        </w:rPr>
        <w:t xml:space="preserve">Response: </w:t>
      </w:r>
      <w:r>
        <w:t>Four highlights (each ≤85 characters) are provided in TUDOR_Highlights_v5.docx.  Declaration of Interest, Author Contribution (CRediT), Use of AI, and Ethical Statement are provided as a single block in TUDOR_disclosure_block.docx.  The Use of AI Statement specifically names the tool used (Claude, Anthropic), the tasks for which it was used, and confirms that no numerical result was generated or altered by the tool.</w:t>
      </w:r>
    </w:p>
    <w:p/>
    <w:p>
      <w:pPr>
        <w:pStyle w:val="Heading2"/>
      </w:pPr>
      <w:r>
        <w:rPr>
          <w:color w:val="1F3F6F"/>
        </w:rPr>
        <w:t>Tracked-changes file</w:t>
      </w:r>
    </w:p>
    <w:p>
      <w:r>
        <w:rPr>
          <w:i/>
          <w:color w:val="555555"/>
        </w:rPr>
        <w:t>(Editor convenience.)</w:t>
      </w:r>
    </w:p>
    <w:p/>
    <w:p>
      <w:r>
        <w:rPr>
          <w:b/>
        </w:rPr>
        <w:t xml:space="preserve">Response: </w:t>
      </w:r>
      <w:r>
        <w:t>For the editor's convenience a side-by-side annotated comparison is provided as TUDOR_v4_v5_comparison.html (every additive insertion highlighted with its rationale).  A native Word track-changes file is straightforward to generate locally via Word's Review tab → Compare Documents (Original = v4, Revised = v5_clean).</w:t>
      </w:r>
    </w:p>
    <w:p/>
    <w:p>
      <w:pPr>
        <w:pStyle w:val="Heading2"/>
      </w:pPr>
      <w:r>
        <w:rPr>
          <w:color w:val="1F3F6F"/>
        </w:rPr>
        <w:t>Closing</w:t>
      </w:r>
    </w:p>
    <w:p>
      <w:r>
        <w:t>We thank Reviewer #2 again for the careful and constructive review.  The revisions above strengthen the manuscript's clinical accessibility and formatting compliance without altering any numerical result. We hope these revisions meet with the Reviewer's and the Editor's approval.</w:t>
      </w:r>
    </w:p>
    <w:p/>
    <w:p>
      <w:r>
        <w:rPr>
          <w:b/>
        </w:rPr>
        <w:t>Sincerely,</w:t>
      </w:r>
    </w:p>
    <w:p>
      <w:r>
        <w:t>Dr Nader Genedy and co-authors.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