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TUDOR: Supplementary Tables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Table 1: Baseline characteristics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18"/>
          <w:szCs w:val="18"/>
          <w:color w:val="000000"/>
        </w:rPr>
        <w:t xml:space="preserve">Table 1 |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18"/>
          <w:szCs w:val="18"/>
          <w:color w:val="000000"/>
        </w:rPr>
        <w:t xml:space="preserve">Baseline characteristics of the TUDOR derivation and validation cohort.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73"/>
        <w:gridCol w:w="1369"/>
        <w:gridCol w:w="1234"/>
        <w:gridCol w:w="1369"/>
        <w:gridCol w:w="811"/>
      </w:tblGrid>
      <w:tr>
        <w:trPr>
          <w:trHeight w:val="587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*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†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‡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(n=113,538)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FH+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(n=3,136)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FH−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(n=110,402)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</w:tr>
      <w:tr>
        <w:trPr>
          <w:trHeight w:val="468" w:hRule="auto"/>
        </w:trPr>
        body 1
        <w:tc>
          <w:tcPr>
            <w:tcBorders>
              <w:bottom w:val="single" w:sz="4" w:space="0" w:color="CCCCCC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Age, years — mean (SD)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59.8 (7.9)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50.5 (11.2)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60.1 (7.7)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67" w:hRule="auto"/>
        </w:trPr>
        body 2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 sex,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53,817 (47.4)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1,781 (56.8)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52,036 (47.2)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67" w:hRule="auto"/>
        </w:trPr>
        body 3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On statin,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71,643 (63.1)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1,057 (33.7)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70,586 (64.0)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67" w:hRule="auto"/>
        </w:trPr>
        body 4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Index case,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4,203 (3.7)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4,199 (100)*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(0.004)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67" w:hRule="auto"/>
        </w:trPr>
        body 5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LDL-C untreated, mmol/L — mean (SD)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4.84 (1.13)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6.04 (1.88)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4.80 (1.08)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67" w:hRule="auto"/>
        </w:trPr>
        body 6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HDL-C, mmol/L — mean (SD)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1.39 (0.37)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1.41 (0.36)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1.39 (0.37)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</w:t>
            </w:r>
          </w:p>
        </w:tc>
      </w:tr>
      <w:tr>
        <w:trPr>
          <w:trHeight w:val="468" w:hRule="auto"/>
        </w:trPr>
        body 7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Triglycerides, mmol/L — mean (SD)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2.09 (1.21)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1.50 (0.82)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2.11 (1.22)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67" w:hRule="auto"/>
        </w:trPr>
        body 8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Non-HDL-C, mmol/L — mean (SD)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4.11 (1.22)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5.32 (1.83)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4.07 (1.18)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68" w:hRule="auto"/>
        </w:trPr>
        body 9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ApoB, g/L — mean (SD)†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 (0.24)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 (0.34)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 (0.23)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67" w:hRule="auto"/>
        </w:trPr>
        body10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DLCN score — mean (SD)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 (2.7)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6.4 (3.1)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 (2.4)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68" w:hRule="auto"/>
        </w:trPr>
        body11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Triglyceride Filter — mean (SD)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2.72 (1.32)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4.30 (2.53)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2.69 (1.27)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67" w:hRule="auto"/>
        </w:trPr>
        body12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LDLR causal variant,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2,830 (2.5)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2,439 (77.8)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391 (0.35)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67" w:hRule="auto"/>
        </w:trPr>
        body13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APOB causal variant,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549 (0.5)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498 (15.9)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(0.05)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67" w:hRule="auto"/>
        </w:trPr>
        body14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PCSK9 causal variant,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(0.02)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(0.7)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(&lt;0.01)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68" w:hRule="auto"/>
        </w:trPr>
        body15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 ApoB,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7,127 (6.3)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1,965 (62.7)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5,162 (4.7)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67" w:hRule="auto"/>
        </w:trPr>
        body16
        <w:tc>
          <w:tcPr>
            <w:tcBorders>
              <w:bottom w:val="single" w:sz="8" w:space="0" w:color="000000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UK Biobank cohort, n (%)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107,090 (94.3)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938 (29.9)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106,152 (96.1)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*Index cases constitute the FH+ group by design; the 4 FH+ cascade cases have incidentally positive results.</w:t>
            </w:r>
          </w:p>
        </w:tc>
      </w:tr>
      <w:tr>
        <w:trPr>
          <w:trHeight w:val="360" w:hRule="auto"/>
        </w:trPr>
        footer 2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†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†ApoB missing in 62.7% of FH+ participants and 4.7% of FH−; figures shown for participants with available data. Untreated LDL estimated by statin-dose reversal (×1.43 for high-intensity, ×1.25 for moderate-intensity statin therapy).</w:t>
            </w:r>
          </w:p>
        </w:tc>
      </w:tr>
      <w:tr>
        <w:trPr>
          <w:trHeight w:val="360" w:hRule="auto"/>
        </w:trPr>
        footer 3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‡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Comparisons by two-sample t-test (continuous) or chi-squared test (categorical). FH+, genetically confirmed familial hypercholesterolaemia; FH−, clinically referred without confirmed pathogenic variant; LDL-C, low-density lipoprotein cholesterol; HDL-C, high-density lipoprotein cholesterol; ApoB, apolipoprotein B; DLCN, Dutch Lipid Clinic Network; LDLR, LDL receptor gene; APOB, apolipoprotein B gene; PCSK9, proprotein convertase subtilisin/kexin type 9 gene; SD, standard deviation.</w:t>
            </w:r>
          </w:p>
        </w:tc>
      </w:tr>
    </w:tbl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itre2"/>
      </w:pPr>
      <w:r>
        <w:t xml:space="preserve">Table 2: Diagnostic performance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18"/>
          <w:szCs w:val="18"/>
          <w:color w:val="000000"/>
        </w:rPr>
        <w:t xml:space="preserve">Table 2 |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18"/>
          <w:szCs w:val="18"/>
          <w:color w:val="000000"/>
        </w:rPr>
        <w:t xml:space="preserve">TUDOR diagnostic performance compared with the Dutch Lipid Clinic Network (DLCN) criteria.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78"/>
        <w:gridCol w:w="1875"/>
        <w:gridCol w:w="1937"/>
        <w:gridCol w:w="2528"/>
      </w:tblGrid>
      <w:tr>
        <w:trPr>
          <w:trHeight w:val="46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Metric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*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TUDOR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DLCN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 / Δ</w:t>
            </w:r>
          </w:p>
        </w:tc>
      </w:tr>
      <w:tr>
        <w:trPr>
          <w:trHeight w:val="467" w:hRule="auto"/>
        </w:trPr>
        body 1
        <w:tc>
          <w:tcPr>
            <w:tcBorders>
              <w:bottom w:val="single" w:sz="4" w:space="0" w:color="CCCCCC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AUC — Wales overall (95% CI)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0.776 (0.763–0.789)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0.698 (0.685–0.711)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Δ=+0.078; p&lt;0.001</w:t>
            </w:r>
          </w:p>
        </w:tc>
      </w:tr>
      <w:tr>
        <w:trPr>
          <w:trHeight w:val="467" w:hRule="auto"/>
        </w:trPr>
        body 2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AUC — South Wales external validation (95% CI)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0.834 (0.791–0.877)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External</w:t>
            </w:r>
          </w:p>
        </w:tc>
      </w:tr>
      <w:tr>
        <w:trPr>
          <w:trHeight w:val="467" w:hRule="auto"/>
        </w:trPr>
        body 3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AUC — Index cases (95% CI)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0.807 (0.791–0.822)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</w:tr>
      <w:tr>
        <w:trPr>
          <w:trHeight w:val="467" w:hRule="auto"/>
        </w:trPr>
        body 4
        <w:tc>
          <w:tcPr>
            <w:tcBorders>
              <w:bottom w:val="single" w:sz="6" w:space="0" w:color="000000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AUC — Cascade relatives (95% CI)</w:t>
            </w:r>
          </w:p>
        </w:tc>
        <w:tc>
          <w:tcPr>
            <w:tcBorders>
              <w:bottom w:val="single" w:sz="6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0.708 (0.686–0.730)</w:t>
            </w:r>
          </w:p>
        </w:tc>
        <w:tc>
          <w:tcPr>
            <w:tcBorders>
              <w:bottom w:val="single" w:sz="6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000000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</w:tr>
      <w:tr>
        <w:trPr>
          <w:trHeight w:val="468" w:hRule="auto"/>
        </w:trPr>
        body 5
        <w:tc>
          <w:tcPr>
            <w:tcBorders>
              <w:bottom w:val="single" w:sz="4" w:space="0" w:color="CCCCCC"/>
              <w:top w:val="single" w:sz="6" w:space="0" w:color="000000"/>
              <w:left w:val="single" w:sz="8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NRI_events — South Wales (95% CI)</w:t>
            </w:r>
          </w:p>
        </w:tc>
        <w:tc>
          <w:tcPr>
            <w:tcBorders>
              <w:bottom w:val="single" w:sz="4" w:space="0" w:color="CCCCCC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+0.173 (0.014–0.338)</w:t>
            </w:r>
          </w:p>
        </w:tc>
        <w:tc>
          <w:tcPr>
            <w:tcBorders>
              <w:bottom w:val="single" w:sz="4" w:space="0" w:color="CCCCCC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single" w:sz="4" w:space="0" w:color="CCCCCC"/>
              <w:top w:val="single" w:sz="6" w:space="0" w:color="000000"/>
              <w:left w:val="none" w:sz="0" w:space="0" w:color="000000"/>
              <w:right w:val="single" w:sz="8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p=0.033</w:t>
            </w:r>
          </w:p>
        </w:tc>
      </w:tr>
      <w:tr>
        <w:trPr>
          <w:trHeight w:val="468" w:hRule="auto"/>
        </w:trPr>
        body 6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NRI_non-events — South Wales (95% CI)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+0.467 (0.393–0.533)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p&lt;0.001</w:t>
            </w:r>
          </w:p>
        </w:tc>
      </w:tr>
      <w:tr>
        <w:trPr>
          <w:trHeight w:val="467" w:hRule="auto"/>
        </w:trPr>
        body 7
        <w:tc>
          <w:tcPr>
            <w:tcBorders>
              <w:bottom w:val="single" w:sz="6" w:space="0" w:color="000000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IDI — South Wales (95% CI)</w:t>
            </w:r>
          </w:p>
        </w:tc>
        <w:tc>
          <w:tcPr>
            <w:tcBorders>
              <w:bottom w:val="single" w:sz="6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+0.119 (0.058–0.192)</w:t>
            </w:r>
          </w:p>
        </w:tc>
        <w:tc>
          <w:tcPr>
            <w:tcBorders>
              <w:bottom w:val="single" w:sz="6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single" w:sz="6" w:space="0" w:color="000000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p&lt;0.001</w:t>
            </w:r>
          </w:p>
        </w:tc>
      </w:tr>
      <w:tr>
        <w:trPr>
          <w:trHeight w:val="468" w:hRule="auto"/>
        </w:trPr>
        body 8
        <w:tc>
          <w:tcPr>
            <w:tcBorders>
              <w:bottom w:val="single" w:sz="4" w:space="0" w:color="CCCCCC"/>
              <w:top w:val="single" w:sz="6" w:space="0" w:color="000000"/>
              <w:left w:val="single" w:sz="8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UKB recalibration slope (post-correction)</w:t>
            </w:r>
          </w:p>
        </w:tc>
        <w:tc>
          <w:tcPr>
            <w:tcBorders>
              <w:bottom w:val="single" w:sz="4" w:space="0" w:color="CCCCCC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 (target)</w:t>
            </w:r>
          </w:p>
        </w:tc>
        <w:tc>
          <w:tcPr>
            <w:tcBorders>
              <w:bottom w:val="single" w:sz="4" w:space="0" w:color="CCCCCC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6" w:space="0" w:color="000000"/>
              <w:left w:val="none" w:sz="0" w:space="0" w:color="000000"/>
              <w:right w:val="single" w:sz="8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Pre-cal: 12.4</w:t>
            </w:r>
          </w:p>
        </w:tc>
      </w:tr>
      <w:tr>
        <w:trPr>
          <w:trHeight w:val="467" w:hRule="auto"/>
        </w:trPr>
        body 9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UKB recalibration intercept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−3.457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Prevalence shift: 33% → 2.8%</w:t>
            </w:r>
          </w:p>
        </w:tc>
      </w:tr>
      <w:tr>
        <w:trPr>
          <w:trHeight w:val="467" w:hRule="auto"/>
        </w:trPr>
        body10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Optimal Youden threshold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Score ≥6 (definite FH)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</w:tr>
      <w:tr>
        <w:trPr>
          <w:trHeight w:val="468" w:hRule="auto"/>
        </w:trPr>
        body11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Sensitivity at Youden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64.2%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~48% (literature)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</w:tr>
      <w:tr>
        <w:trPr>
          <w:trHeight w:val="468" w:hRule="auto"/>
        </w:trPr>
        body12
        <w:tc>
          <w:tcPr>
            <w:tcBorders>
              <w:bottom w:val="single" w:sz="8" w:space="0" w:color="000000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Specificity at Youden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81.1%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~88% (literature)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AUC, area under the ROC curve by DeLong method; NRI, net reclassification improvement (continuous); IDI, integrated discrimination improvement; both with 1,000 bootstrap resampling iterations. DLCN sensitivity/specificity from published meta-analyses. South Wales AUC uses full-model predictions; all Wales and internal metrics use LOCO cross-validation predictions.</w:t>
            </w:r>
          </w:p>
        </w:tc>
      </w:tr>
    </w:tbl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itre2"/>
      </w:pPr>
      <w:r>
        <w:t xml:space="preserve">Table 3: Triglyceride Shield validation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18"/>
          <w:szCs w:val="18"/>
          <w:color w:val="000000"/>
        </w:rPr>
        <w:t xml:space="preserve">Table 3 |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18"/>
          <w:szCs w:val="18"/>
          <w:color w:val="000000"/>
        </w:rPr>
        <w:t xml:space="preserve">Triglyceride Shield multivariable validation across CALON-FH registry and UK Biobank lipid-clinic cohort.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94"/>
        <w:gridCol w:w="1933"/>
        <w:gridCol w:w="1547"/>
        <w:gridCol w:w="979"/>
        <w:gridCol w:w="2315"/>
      </w:tblGrid>
      <w:tr>
        <w:trPr>
          <w:trHeight w:val="46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*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Coefficient (OR or β)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Dataset</w:t>
            </w:r>
          </w:p>
        </w:tc>
      </w:tr>
      <w:tr>
        <w:trPr>
          <w:trHeight w:val="468" w:hRule="auto"/>
        </w:trPr>
        body 1
        <w:tc>
          <w:tcPr>
            <w:tcBorders>
              <w:bottom w:val="single" w:sz="4" w:space="0" w:color="CCCCCC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Unadjusted OR (TRG Filter)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1.897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1.860–1.934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CALON-FH (n=109,959)</w:t>
            </w:r>
          </w:p>
        </w:tc>
      </w:tr>
      <w:tr>
        <w:trPr>
          <w:trHeight w:val="468" w:hRule="auto"/>
        </w:trPr>
        body 2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+ sex adjusted OR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1.821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1.784–1.860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CALON-FH (n=109,959)</w:t>
            </w:r>
          </w:p>
        </w:tc>
      </w:tr>
      <w:tr>
        <w:trPr>
          <w:trHeight w:val="468" w:hRule="auto"/>
        </w:trPr>
        body 3
        <w:tc>
          <w:tcPr>
            <w:tcBorders>
              <w:bottom w:val="single" w:sz="6" w:space="0" w:color="000000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T2DM adjusted OR (UKB LC)*</w:t>
            </w:r>
          </w:p>
        </w:tc>
        <w:tc>
          <w:tcPr>
            <w:tcBorders>
              <w:bottom w:val="single" w:sz="6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1.145</w:t>
            </w:r>
          </w:p>
        </w:tc>
        <w:tc>
          <w:tcPr>
            <w:tcBorders>
              <w:bottom w:val="single" w:sz="6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1.122–1.168</w:t>
            </w:r>
          </w:p>
        </w:tc>
        <w:tc>
          <w:tcPr>
            <w:tcBorders>
              <w:bottom w:val="single" w:sz="6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000000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UKB LC cohort (n=36,739)</w:t>
            </w:r>
          </w:p>
        </w:tc>
      </w:tr>
      <w:tr>
        <w:trPr>
          <w:trHeight w:val="468" w:hRule="auto"/>
        </w:trPr>
        body 4
        <w:tc>
          <w:tcPr>
            <w:tcBorders>
              <w:bottom w:val="single" w:sz="4" w:space="0" w:color="CCCCCC"/>
              <w:top w:val="single" w:sz="6" w:space="0" w:color="000000"/>
              <w:left w:val="single" w:sz="8" w:space="0" w:color="000000"/>
              <w:right w:val="none" w:sz="0" w:space="0" w:color="000000"/>
            </w:tcBorders>
            <w:shd w:val="clear" w:color="auto" w:fill="EDF7E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T2DM effect on TRG proxy (β)</w:t>
            </w:r>
          </w:p>
        </w:tc>
        <w:tc>
          <w:tcPr>
            <w:tcBorders>
              <w:bottom w:val="single" w:sz="4" w:space="0" w:color="CCCCCC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EDF7E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−0.477</w:t>
            </w:r>
          </w:p>
        </w:tc>
        <w:tc>
          <w:tcPr>
            <w:tcBorders>
              <w:bottom w:val="single" w:sz="4" w:space="0" w:color="CCCCCC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EDF7E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−0.529 to −0.424</w:t>
            </w:r>
          </w:p>
        </w:tc>
        <w:tc>
          <w:tcPr>
            <w:tcBorders>
              <w:bottom w:val="single" w:sz="4" w:space="0" w:color="CCCCCC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EDF7E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8.2×10⁻⁷⁰</w:t>
            </w:r>
          </w:p>
        </w:tc>
        <w:tc>
          <w:tcPr>
            <w:tcBorders>
              <w:bottom w:val="single" w:sz="4" w:space="0" w:color="CCCCCC"/>
              <w:top w:val="single" w:sz="6" w:space="0" w:color="000000"/>
              <w:left w:val="none" w:sz="0" w:space="0" w:color="000000"/>
              <w:right w:val="single" w:sz="8" w:space="0" w:color="000000"/>
            </w:tcBorders>
            <w:shd w:val="clear" w:color="auto" w:fill="EDF7E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UKB LC cohort</w:t>
            </w:r>
          </w:p>
        </w:tc>
      </w:tr>
      <w:tr>
        <w:trPr>
          <w:trHeight w:val="468" w:hRule="auto"/>
        </w:trPr>
        body 5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EDF7E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BMI effect on TRG proxy (β per kg/m²)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EDF7E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−0.067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EDF7E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−0.070 to −0.064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EDF7E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EDF7E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UKB LC cohort</w:t>
            </w:r>
          </w:p>
        </w:tc>
      </w:tr>
      <w:tr>
        <w:trPr>
          <w:trHeight w:val="468" w:hRule="auto"/>
        </w:trPr>
        body 6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EDF7E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Alcohol moderate vs light/none (β)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EDF7E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−0.028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EDF7E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−0.062 to +0.007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EDF7E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EDF7E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UKB LC cohort</w:t>
            </w:r>
          </w:p>
        </w:tc>
      </w:tr>
      <w:tr>
        <w:trPr>
          <w:trHeight w:val="468" w:hRule="auto"/>
        </w:trPr>
        body 7
        <w:tc>
          <w:tcPr>
            <w:tcBorders>
              <w:bottom w:val="single" w:sz="6" w:space="0" w:color="000000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EDF7E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Alcohol heavy vs light/none (β)</w:t>
            </w:r>
          </w:p>
        </w:tc>
        <w:tc>
          <w:tcPr>
            <w:tcBorders>
              <w:bottom w:val="single" w:sz="6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EDF7E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−0.019</w:t>
            </w:r>
          </w:p>
        </w:tc>
        <w:tc>
          <w:tcPr>
            <w:tcBorders>
              <w:bottom w:val="single" w:sz="6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EDF7E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−0.052 to +0.014</w:t>
            </w:r>
          </w:p>
        </w:tc>
        <w:tc>
          <w:tcPr>
            <w:tcBorders>
              <w:bottom w:val="single" w:sz="6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EDF7E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0.264</w:t>
            </w:r>
          </w:p>
        </w:tc>
        <w:tc>
          <w:tcPr>
            <w:tcBorders>
              <w:bottom w:val="single" w:sz="6" w:space="0" w:color="000000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EDF7E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UKB LC cohort</w:t>
            </w:r>
          </w:p>
        </w:tc>
      </w:tr>
      <w:tr>
        <w:trPr>
          <w:trHeight w:val="432" w:hRule="auto"/>
        </w:trPr>
        body 8
        <w:tc>
          <w:tcPr>
            <w:tcBorders>
              <w:bottom w:val="single" w:sz="4" w:space="0" w:color="CCCCCC"/>
              <w:top w:val="single" w:sz="6" w:space="0" w:color="000000"/>
              <w:left w:val="single" w:sz="8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Cohen's d — LDLR vs Non-FH</w:t>
            </w:r>
          </w:p>
        </w:tc>
        <w:tc>
          <w:tcPr>
            <w:tcBorders>
              <w:bottom w:val="single" w:sz="4" w:space="0" w:color="CCCCCC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d=1.21</w:t>
            </w:r>
          </w:p>
        </w:tc>
        <w:tc>
          <w:tcPr>
            <w:tcBorders>
              <w:bottom w:val="single" w:sz="4" w:space="0" w:color="CCCCCC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6" w:space="0" w:color="000000"/>
              <w:left w:val="none" w:sz="0" w:space="0" w:color="000000"/>
              <w:right w:val="single" w:sz="8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CALON-FH</w:t>
            </w:r>
          </w:p>
        </w:tc>
      </w:tr>
      <w:tr>
        <w:trPr>
          <w:trHeight w:val="432" w:hRule="auto"/>
        </w:trPr>
        body 9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Cohen's d — APOB vs Non-FH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d=1.35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CALON-FH</w:t>
            </w:r>
          </w:p>
        </w:tc>
      </w:tr>
      <w:tr>
        <w:trPr>
          <w:trHeight w:val="464" w:hRule="auto"/>
        </w:trPr>
        body10
        <w:tc>
          <w:tcPr>
            <w:tcBorders>
              <w:bottom w:val="single" w:sz="8" w:space="0" w:color="000000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EDF7E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Cohen's d — T2DM+ vs T2DM−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EDF7E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d=0.563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EDF7E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EDF7E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p&lt;0.001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EDF7E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UKB LC cohort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*UKB LC outcome: logistic for LDL ≥5.5 mmol/L; CALON-FH outcome: genetically confirmed FH. TRG, Triglyceride Filter = LDL_untreated/(TG+0.1). T2DM defined by ICD-10 code E11 in UK Biobank hospital admission records. Green shading: UK Biobank confounding analyses. OR, odds ratio; β, regression coefficient; LC, lipid clinic; T2DM, type 2 diabetes mellitus; BMI, body mass index.</w:t>
            </w:r>
          </w:p>
        </w:tc>
      </w:tr>
    </w:tbl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itre2"/>
      </w:pPr>
      <w:r>
        <w:t xml:space="preserve">Table 4: Operating characteristics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18"/>
          <w:szCs w:val="18"/>
          <w:color w:val="000000"/>
        </w:rPr>
        <w:t xml:space="preserve">Table 4 |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18"/>
          <w:szCs w:val="18"/>
          <w:color w:val="000000"/>
        </w:rPr>
        <w:t xml:space="preserve">TUDOR operating characteristics at three clinically defined thresholds.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29"/>
        <w:gridCol w:w="1650"/>
        <w:gridCol w:w="1060"/>
        <w:gridCol w:w="1059"/>
        <w:gridCol w:w="1674"/>
        <w:gridCol w:w="1650"/>
        <w:gridCol w:w="1447"/>
        <w:gridCol w:w="743"/>
        <w:gridCol w:w="637"/>
        <w:gridCol w:w="637"/>
      </w:tblGrid>
      <w:tr>
        <w:trPr>
          <w:trHeight w:val="60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Clinical scenario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vertAlign w:val="superscript"/>
                <w:sz w:val="17"/>
                <w:szCs w:val="17"/>
                <w:color w:val="000000"/>
              </w:rPr>
              <w:t xml:space="preserve">*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TUDOR threshold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Sensitivity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Specificity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PPV — population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(prev. 0.2%)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PPV — lipid clinic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(prev. 1.3%)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PPV — cascade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(prev. 50%)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NPV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LR+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LR−</w:t>
            </w:r>
          </w:p>
        </w:tc>
      </w:tr>
      <w:tr>
        <w:trPr>
          <w:trHeight w:val="613" w:hRule="auto"/>
        </w:trPr>
        body1
        <w:tc>
          <w:tcPr>
            <w:tcBorders>
              <w:bottom w:val="single" w:sz="4" w:space="0" w:color="CCCCCC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Population screening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(maximise sensitivity)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0.003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94.0%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17.6%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0.2%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1.5%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53.3%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99.9%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1.14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0.34</w:t>
            </w:r>
          </w:p>
        </w:tc>
      </w:tr>
      <w:tr>
        <w:trPr>
          <w:trHeight w:val="613" w:hRule="auto"/>
        </w:trPr>
        body2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4EDD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Lipid clinic triage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(Youden optimal)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4EDD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0.045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4EDD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64.2%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4EDD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81.1%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4EDD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0.7%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4EDD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4.3%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4EDD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77.3%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4EDD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99.4%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4EDD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3.40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4EDD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0.44</w:t>
            </w:r>
          </w:p>
        </w:tc>
      </w:tr>
      <w:tr>
        <w:trPr>
          <w:trHeight w:val="579" w:hRule="auto"/>
        </w:trPr>
        body3
        <w:tc>
          <w:tcPr>
            <w:tcBorders>
              <w:bottom w:val="single" w:sz="8" w:space="0" w:color="000000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CCE5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Cascade confirmation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(maximise specificity)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CCE5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0.159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CCE5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38.5%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CCE5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95.0%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CCE5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1.5%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CCE5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9.2%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CCE5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88.5%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CCE5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99.2%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CCE5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7.73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CCE5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0.65</w:t>
            </w:r>
          </w:p>
        </w:tc>
      </w:tr>
      <w:tr>
        <w:trPr>
          <w:trHeight w:val="360" w:hRule="auto"/>
        </w:trPr>
        footer1
        <w:tc>
          <w:tcPr>
            <w:gridSpan w:val="10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PPV computed from Bayes' theorem using three prior probabilities: population general screening (0.2%), lipid clinic referral setting (1.3%, approximating LDL≥4.9 mmol/L prevalence), and cascade screening (50%). Yellow row: use when missing FH is the dominant harm (population cascade, statin eligibility). Green row: recommended for lipid clinic FH referral triage. Blue row: use when a positive result will trigger genetic testing or cascade screening of relatives.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LR+, positive likelihood ratio; LR−, negative likelihood ratio; PPV, positive predictive value; NPV, negative predictive value; prev., assumed prevalence.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2026-03-29T17:02:37Z</dcterms:modified>
  <cp:category/>
</cp:coreProperties>
</file>