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F3F6F"/>
        </w:rPr>
        <w:t>Disclosure Statements</w:t>
      </w:r>
    </w:p>
    <w:p>
      <w:r>
        <w:rPr>
          <w:i/>
        </w:rPr>
        <w:t>This combined block precedes the References section, as required by the Journal of Clinical Lipidology.</w:t>
      </w:r>
    </w:p>
    <w:p>
      <w:pPr>
        <w:pStyle w:val="Heading2"/>
      </w:pPr>
      <w:r>
        <w:rPr>
          <w:color w:val="1F3F6F"/>
        </w:rPr>
        <w:t>Declaration of Interest</w:t>
      </w:r>
    </w:p>
    <w:p>
      <w:r>
        <w:t>The authors declare that they have no competing financial interests or personal relationships that could have appeared to influence the work reported in this paper.</w:t>
      </w:r>
    </w:p>
    <w:p>
      <w:pPr>
        <w:pStyle w:val="Heading2"/>
      </w:pPr>
      <w:r>
        <w:rPr>
          <w:color w:val="1F3F6F"/>
        </w:rPr>
        <w:t>Author Contribution Statement (CRediT)</w:t>
      </w:r>
    </w:p>
    <w:p>
      <w:r>
        <w:t>N.G.: Conceptualisation, Methodology, Software, Formal analysis, Investigation, Data curation, Writing — original draft, Visualisation, Project administration.  Co-authors: Methodology, Resources, Data curation, Writing — review &amp; editing, Supervision.  (Final CRediT allocations to be confirmed by all named authors on the submission portal.)</w:t>
      </w:r>
    </w:p>
    <w:p>
      <w:pPr>
        <w:pStyle w:val="Heading2"/>
      </w:pPr>
      <w:r>
        <w:rPr>
          <w:color w:val="1F3F6F"/>
        </w:rPr>
        <w:t>Use of AI and AI-assisted Technologies Statement</w:t>
      </w:r>
    </w:p>
    <w:p>
      <w:r>
        <w:t>During the preparation of this revision, the corresponding author used Claude (Anthropic) to assist with language simplification of dense statistical passages in the Abstract, Methods, and Discussion sections, and for formatting consistency checks including gene-symbol italicisation and Highlights drafting. All scientific content, numerical results, statistical analyses, and clinical interpretations were generated and verified by the named authors using the original UK Biobank Application 1002450 and All-Wales-FH Registry analytical pipelines. No AI tool generated or altered any numerical result. After using these tools, the authors reviewed and edited the content as needed and take full responsibility for the content of the publication.</w:t>
      </w:r>
    </w:p>
    <w:p>
      <w:pPr>
        <w:pStyle w:val="Heading2"/>
      </w:pPr>
      <w:r>
        <w:rPr>
          <w:color w:val="1F3F6F"/>
        </w:rPr>
        <w:t>Ethical Statement</w:t>
      </w:r>
    </w:p>
    <w:p>
      <w:r>
        <w:t>This study used pseudonymised data from the All-Wales Familial Hypercholesterolaemia Service Registry (Cardiff and Vale University Health Board) and the UK Biobank (Application 1002450). The All-Wales FH Service Registry analysis was approved by the Cardiff and Vale University Health Board governance framework as service evaluation; UK Biobank operates under Research Ethics Committee approval (Northwest Multi-centre Research Ethics Committee, reference 21/NW/0157). All participants provided written informed consent for the use of their data in approved research. The study adhered to the Declaration of Helsinki (2013 revision).</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