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sz w:val="32"/>
        </w:rPr>
        <w:t>TUDOR -- Manuscript v5 (clean) -- Review Walkthrough</w:t>
      </w:r>
    </w:p>
    <w:p>
      <w:pPr>
        <w:jc w:val="center"/>
      </w:pPr>
      <w:r>
        <w:rPr>
          <w:rFonts w:ascii="Cambria" w:hAnsi="Cambria"/>
          <w:i/>
          <w:sz w:val="22"/>
        </w:rPr>
        <w:t>JCLINLIPID-D-25-01142 R1 -&gt; R2  |  Generated 2026-05-12</w:t>
      </w:r>
    </w:p>
    <w:p/>
    <w:p>
      <w:pPr>
        <w:pStyle w:val="Heading2"/>
      </w:pPr>
      <w:r>
        <w:rPr>
          <w:rFonts w:ascii="Cambria" w:hAnsi="Cambria"/>
        </w:rPr>
        <w:t>Title, authors, keywords</w:t>
      </w:r>
    </w:p>
    <w:p>
      <w:r>
        <w:rPr>
          <w:rFonts w:ascii="Cambria" w:hAnsi="Cambria"/>
          <w:b/>
          <w:sz w:val="22"/>
        </w:rPr>
        <w:t>TUDOR: Development and Dual External Validation of a Treatment-Adjusted Diagnostic Algorithm for Familial Hypercholesterolaemia in 4,028 Genetically Confirmed Cases</w:t>
      </w:r>
    </w:p>
    <w:p>
      <w:r>
        <w:rPr>
          <w:rFonts w:ascii="Cambria" w:hAnsi="Cambria"/>
          <w:sz w:val="22"/>
        </w:rPr>
        <w:t>Nader Genedy, MBBCh, MRCPUK, MRCPI, SCE(AIM), MRCGPUK, PgD (1)*; Soha Zouwail, FRCPath, MD, PhD (1)</w:t>
      </w:r>
    </w:p>
    <w:p>
      <w:r>
        <w:rPr>
          <w:rFonts w:ascii="Cambria" w:hAnsi="Cambria"/>
          <w:sz w:val="22"/>
        </w:rPr>
        <w:t>(1) Department of Metabolic Medicine, Cardiff and Vale University Health Board, Cardiff, Wales, UK</w:t>
      </w:r>
    </w:p>
    <w:p>
      <w:r>
        <w:rPr>
          <w:rFonts w:ascii="Cambria" w:hAnsi="Cambria"/>
          <w:sz w:val="22"/>
        </w:rPr>
        <w:t>* Corresponding author: genedyn1@cardiff.ac.uk</w:t>
      </w:r>
    </w:p>
    <w:p>
      <w:r>
        <w:rPr>
          <w:rFonts w:ascii="Cambria" w:hAnsi="Cambria"/>
          <w:i/>
          <w:sz w:val="22"/>
        </w:rPr>
        <w:t>Keywords: familial hypercholesterolaemia; cascade screening; treatment-adjusted LDL-C; diagnostic algorithm; triglyceride metabolic filter; apolipoprotein B; UK Biobank; external validation; gradient boosted machine; genetic validation</w:t>
      </w:r>
    </w:p>
    <w:p>
      <w:pPr>
        <w:pStyle w:val="Heading2"/>
      </w:pPr>
      <w:r>
        <w:rPr>
          <w:rFonts w:ascii="Cambria" w:hAnsi="Cambria"/>
        </w:rPr>
        <w:t>Highlights (Elsevier; 4 bullets, 72-75 chars, all &lt;= 85)</w:t>
      </w:r>
    </w:p>
    <w:p>
      <w:pPr>
        <w:pStyle w:val="ListBullet"/>
      </w:pPr>
      <w:r>
        <w:rPr>
          <w:rFonts w:ascii="Cambria" w:hAnsi="Cambria"/>
          <w:sz w:val="22"/>
        </w:rPr>
        <w:t>TUDOR achieves AUC 0.842 in the All Wales FH Registry and 0.750 in UK Biobank validation (n = 58,021)</w:t>
      </w:r>
    </w:p>
    <w:p>
      <w:pPr>
        <w:pStyle w:val="ListBullet"/>
      </w:pPr>
      <w:r>
        <w:rPr>
          <w:rFonts w:ascii="Cambria" w:hAnsi="Cambria"/>
          <w:sz w:val="22"/>
        </w:rPr>
        <w:t>Largest dual-validated genetically confirmed FH study: 4,028 cases across six causative genes</w:t>
      </w:r>
    </w:p>
    <w:p>
      <w:pPr>
        <w:pStyle w:val="ListBullet"/>
      </w:pPr>
      <w:r>
        <w:rPr>
          <w:rFonts w:ascii="Cambria" w:hAnsi="Cambria"/>
          <w:sz w:val="22"/>
        </w:rPr>
        <w:t>Gene-specific validation: APOB AUC 0.830 vs LDLR 0.717 in UK Biobank (DeLong p = 1.88 x 10^-4)</w:t>
      </w:r>
    </w:p>
    <w:p>
      <w:pPr>
        <w:pStyle w:val="ListBullet"/>
      </w:pPr>
      <w:r>
        <w:rPr>
          <w:rFonts w:ascii="Cambria" w:hAnsi="Cambria"/>
          <w:sz w:val="22"/>
        </w:rPr>
        <w:t>ApoB/LDL-C ratio augmentation improves discrimination to AUC 0.771 (p = 3.99 x 10^-5)</w:t>
      </w:r>
    </w:p>
    <w:p>
      <w:pPr>
        <w:pStyle w:val="ListBullet"/>
      </w:pPr>
      <w:r>
        <w:rPr>
          <w:rFonts w:ascii="Cambria" w:hAnsi="Cambria"/>
          <w:sz w:val="22"/>
        </w:rPr>
        <w:t>Triglyceride metabolic filter independent of BMI, diabetes, and ApoB (OR stable: 1.87 -&gt; 1.94)</w:t>
      </w:r>
    </w:p>
    <w:p>
      <w:pPr>
        <w:pStyle w:val="ListBullet"/>
      </w:pPr>
      <w:r>
        <w:rPr>
          <w:rFonts w:ascii="Cambria" w:hAnsi="Cambria"/>
          <w:sz w:val="22"/>
        </w:rPr>
        <w:t>CV mortality gradient: IHD deaths 0.65% -&gt; 1.76% across LDL deciles (OR = 1.036/decile, p = 0.011)</w:t>
      </w:r>
    </w:p>
    <w:p>
      <w:pPr>
        <w:pStyle w:val="ListBullet"/>
      </w:pPr>
      <w:r>
        <w:rPr>
          <w:rFonts w:ascii="Cambria" w:hAnsi="Cambria"/>
          <w:sz w:val="22"/>
        </w:rPr>
        <w:t>T2DM ascertainment: three independent definitions (self-report, ICD-10, HbA1c &gt;= 48 mmol/mol) confirm TRG attenuation (beta = -0.48 to -0.66)</w:t>
      </w:r>
    </w:p>
    <w:p>
      <w:pPr>
        <w:pStyle w:val="Heading2"/>
      </w:pPr>
      <w:r>
        <w:rPr>
          <w:rFonts w:ascii="Cambria" w:hAnsi="Cambria"/>
        </w:rPr>
        <w:t>Abstract</w:t>
      </w:r>
    </w:p>
    <w:p>
      <w:r>
        <w:rPr>
          <w:rFonts w:ascii="Cambria" w:hAnsi="Cambria"/>
          <w:b/>
          <w:sz w:val="22"/>
        </w:rPr>
        <w:t xml:space="preserve">Background. </w:t>
      </w:r>
      <w:r>
        <w:rPr>
          <w:rFonts w:ascii="Cambria" w:hAnsi="Cambria"/>
          <w:sz w:val="22"/>
        </w:rPr>
        <w:t xml:space="preserve">Familial hypercholesterolaemia (FH) remains profoundly underdiagnosed, with established criteria demonstrating critical limitations in the era of widespread lipid-lowering therapy. We developed and externally validated TUDOR (Treatment-adjusted Universal Detection and Outcome Risk), incorporating individualised treatment-intensity adjusted LDL-C, ascertainment bias correction, and a triglyceride-based metabolic filter. </w:t>
      </w:r>
      <w:r>
        <w:rPr>
          <w:rFonts w:ascii="Cambria" w:hAnsi="Cambria"/>
          <w:i/>
          <w:color w:val="106E10"/>
          <w:sz w:val="22"/>
        </w:rPr>
        <w:t xml:space="preserve">In plain terms, the Elastic Net is a regression that selects only the most informative clinical features and shrinks the rest to zero, producing a parsimonious diagnostic score that is easier to inspect, audit, and deploy than a black-box machine-learning model. </w:t>
      </w:r>
      <w:r>
        <w:rPr>
          <w:rFonts w:ascii="Cambria" w:hAnsi="Cambria"/>
          <w:b/>
          <w:color w:val="1F77B4"/>
          <w:sz w:val="22"/>
        </w:rPr>
        <w:t>[R2.1 preface -- inserted]</w:t>
      </w:r>
    </w:p>
    <w:p>
      <w:r>
        <w:rPr>
          <w:rFonts w:ascii="Cambria" w:hAnsi="Cambria"/>
          <w:b/>
          <w:sz w:val="22"/>
        </w:rPr>
        <w:t xml:space="preserve">Methods. </w:t>
      </w:r>
      <w:r>
        <w:rPr>
          <w:rFonts w:ascii="Cambria" w:hAnsi="Cambria"/>
          <w:sz w:val="22"/>
        </w:rPr>
        <w:t>TUDOR was developed using Elastic Net logistic regression, then validated in the All Wales FH Registry (n = 7,253; 2,405 genetically confirmed FH; TRIPOD Type 2b) and a lipid clinic-mimicking UK Biobank cohort (n = 58,021; 729 FH cases; TRIPOD Type 4), applying fixed Wales-derived coefficients without re-estimation. Gene-specific performance, cardiovascular mortality gradient, and T2DM ascertainment sensitivity served as biological validation.</w:t>
      </w:r>
    </w:p>
    <w:p>
      <w:r>
        <w:rPr>
          <w:rFonts w:ascii="Cambria" w:hAnsi="Cambria"/>
          <w:b/>
          <w:sz w:val="22"/>
        </w:rPr>
        <w:t xml:space="preserve">Results. </w:t>
      </w:r>
      <w:r>
        <w:rPr>
          <w:rFonts w:ascii="Cambria" w:hAnsi="Cambria"/>
          <w:sz w:val="22"/>
        </w:rPr>
        <w:t>TUDOR achieved AUC 0.842 (95% CI: 0.822-0.863) in Wales and 0.750 (0.731-0.770) in UK Biobank, outperforming estimated DLCN (AUC 0.636; p = 6.73 x 10^-24) and isolated LDL-C (AUC 0.689). ApoB augmentation improved discrimination to AUC 0.771 (delta-AUC +0.019; p = 3.99 x 10^-5). DLCN sensitivity in cascade-screened relatives was 1.5% versus TUDOR 89.4%. IHD mortality rose from 0.65% to 1.76% across LDL deciles (OR = 1.036, p = 0.011). Three independent T2DM definitions (kappa = 0.28-0.36) each confirmed triglyceride filter attenuation (beta = -0.48 to -0.66), with HbA1c dose-response confirming a mechanistic gradient.</w:t>
      </w:r>
    </w:p>
    <w:p>
      <w:r>
        <w:rPr>
          <w:rFonts w:ascii="Cambria" w:hAnsi="Cambria"/>
          <w:b/>
          <w:sz w:val="22"/>
        </w:rPr>
        <w:t xml:space="preserve">Conclusions. </w:t>
      </w:r>
      <w:r>
        <w:rPr>
          <w:rFonts w:ascii="Cambria" w:hAnsi="Cambria"/>
          <w:sz w:val="22"/>
        </w:rPr>
        <w:t>TUDOR is a dual-externally-validated, interpretable FH diagnostic algorithm maintaining discrimination across specialist and population-based settings in 4,028 genetically confirmed cases across six genes.</w:t>
      </w:r>
    </w:p>
    <w:p>
      <w:pPr>
        <w:pStyle w:val="Heading1"/>
      </w:pPr>
      <w:r>
        <w:rPr>
          <w:rFonts w:ascii="Cambria" w:hAnsi="Cambria"/>
        </w:rPr>
        <w:t>1. Introduction</w:t>
      </w:r>
    </w:p>
    <w:p>
      <w:pPr>
        <w:pStyle w:val="Heading3"/>
      </w:pPr>
      <w:r>
        <w:rPr>
          <w:rFonts w:ascii="Cambria" w:hAnsi="Cambria"/>
        </w:rPr>
        <w:t>1.1 Familial hypercholesterolaemia: pathophysiology and CV burden</w:t>
      </w:r>
    </w:p>
    <w:p>
      <w:r>
        <w:rPr>
          <w:rFonts w:ascii="Cambria" w:hAnsi="Cambria"/>
          <w:sz w:val="22"/>
        </w:rPr>
        <w:t>Autosomal dominant ~1/250; LDLR, APOB, PCSK9, less commonly LDLRAP1 and APOE. ~50% functional receptor reduction, doubled LDL particle residence time, intact VLDL/TG clearance -- biological foundation of the Trig_Filter. Untreated heterozygous FH confers 10-20x premature CHD risk by age 50; &lt;10% diagnosed globally.</w:t>
      </w:r>
    </w:p>
    <w:p>
      <w:pPr>
        <w:pStyle w:val="Heading3"/>
      </w:pPr>
      <w:r>
        <w:rPr>
          <w:rFonts w:ascii="Cambria" w:hAnsi="Cambria"/>
        </w:rPr>
        <w:t>1.2 Limitations of established criteria</w:t>
      </w:r>
    </w:p>
    <w:p>
      <w:r>
        <w:rPr>
          <w:rFonts w:ascii="Cambria" w:hAnsi="Cambria"/>
          <w:sz w:val="22"/>
        </w:rPr>
        <w:t>DLCN, Simon Broome, MEDPED all calibrated before contemporary lipid-lowering practice. Uniform 1.43 correction factor introduces systematic error because efficacy spans 15-55%. FAMCAT (Weng 2015) external AUC 0.77 but no systematic treatment adjustment.</w:t>
      </w:r>
    </w:p>
    <w:p>
      <w:pPr>
        <w:pStyle w:val="Heading3"/>
      </w:pPr>
      <w:r>
        <w:rPr>
          <w:rFonts w:ascii="Cambria" w:hAnsi="Cambria"/>
        </w:rPr>
        <w:t>1.3 Cascade screening paradox</w:t>
      </w:r>
    </w:p>
    <w:p>
      <w:r>
        <w:rPr>
          <w:rFonts w:ascii="Cambria" w:hAnsi="Cambria"/>
          <w:sz w:val="22"/>
        </w:rPr>
        <w:t>A 28-year-old daughter carrying the identical LDLR variant as her proband scores 3 on DLCN (below threshold 6) while her father scores 12 -- the diagnosis is missed despite identical genetic defect. TUDOR addresses this through the Index Effect feature.</w:t>
      </w:r>
    </w:p>
    <w:p>
      <w:pPr>
        <w:pStyle w:val="Heading3"/>
      </w:pPr>
      <w:r>
        <w:rPr>
          <w:rFonts w:ascii="Cambria" w:hAnsi="Cambria"/>
        </w:rPr>
        <w:t>1.4 Rationale and study aims</w:t>
      </w:r>
    </w:p>
    <w:p>
      <w:r>
        <w:rPr>
          <w:rFonts w:ascii="Cambria" w:hAnsi="Cambria"/>
          <w:i/>
          <w:color w:val="106E10"/>
          <w:sz w:val="22"/>
        </w:rPr>
        <w:t xml:space="preserve">Trig_Filter is the manuscript shorthand for a single composite feature combining untreated LDL-C and triglycerides; clinically it captures the LDL-and-TG fingerprint that distinguishes FH from polygenic hypercholesterolaemia. </w:t>
      </w:r>
      <w:r>
        <w:rPr>
          <w:rFonts w:ascii="Cambria" w:hAnsi="Cambria"/>
          <w:b/>
          <w:color w:val="1F77B4"/>
          <w:sz w:val="22"/>
        </w:rPr>
        <w:t>[R2.1 preface -- inserted]</w:t>
      </w:r>
    </w:p>
    <w:p>
      <w:r>
        <w:rPr>
          <w:rFonts w:ascii="Cambria" w:hAnsi="Cambria"/>
          <w:sz w:val="22"/>
        </w:rPr>
        <w:t>Three innovations: (i) individualised treatment-intensity adjusted LDL-C; (ii) Index Effect modelling differential diagnostic significance by ascertainment pathway; (iii) Triglyceride Metabolic Filter.</w:t>
      </w:r>
    </w:p>
    <w:p>
      <w:pPr>
        <w:pStyle w:val="Heading1"/>
      </w:pPr>
      <w:r>
        <w:rPr>
          <w:rFonts w:ascii="Cambria" w:hAnsi="Cambria"/>
        </w:rPr>
        <w:t>2. Methods</w:t>
      </w:r>
    </w:p>
    <w:p>
      <w:r>
        <w:rPr>
          <w:rFonts w:ascii="Cambria" w:hAnsi="Cambria"/>
          <w:b/>
          <w:sz w:val="22"/>
        </w:rPr>
        <w:t>TRIPOD Type 2b for Wales (model from one set, validated in same population); Type 4 for UK Biobank (entirely separate population -- most stringent external validation).</w:t>
      </w:r>
    </w:p>
    <w:p>
      <w:r>
        <w:rPr>
          <w:rFonts w:ascii="Cambria" w:hAnsi="Cambria"/>
          <w:sz w:val="22"/>
        </w:rPr>
        <w:t>Wales training: CAVUHB specialist clinic, index cases only. External validation: All-Wales PASS Registry (n = 7,253; 2,405 genetic FH+; index 63.6% / cascade 36.4%).</w:t>
      </w:r>
    </w:p>
    <w:p>
      <w:r>
        <w:rPr>
          <w:rFonts w:ascii="Cambria" w:hAnsi="Cambria"/>
          <w:sz w:val="22"/>
        </w:rPr>
        <w:t>UK Biobank: lipid clinic-mimicking subset (TC &gt; 7.5; statin-corrected LDL &gt; 4.9; or premature ASCVD before 55M/60F) -&gt; n = 58,021 with 729 FH (1.26%). Application 1002450.</w:t>
      </w:r>
    </w:p>
    <w:p>
      <w:r>
        <w:rPr>
          <w:rFonts w:ascii="Cambria" w:hAnsi="Cambria"/>
          <w:sz w:val="22"/>
        </w:rPr>
        <w:t>Treatment-adjusted LDL-C: drug-specific reductions (atorvastatin 25-48%, rosuvastatin 35-55%, simvastatin 20-42%, pravastatin 15-29%, fluvastatin 15-22%), adherence factor (0.5/0.75/1.0), non-statin add-ons (ezetimibe 20%, bempedoic 25%, PCSK9i 65%), cap 85%.</w:t>
      </w:r>
    </w:p>
    <w:p>
      <w:r>
        <w:rPr>
          <w:rFonts w:ascii="Cambria" w:hAnsi="Cambria"/>
          <w:sz w:val="22"/>
        </w:rPr>
        <w:t>Novel features: Index_Effect = (1 - Is_Relative) x LDL_Untreated; Trig_Filter = LDL_Untreated / (Triglycerides + 0.1); personalised statin calibration residual (LOO-CV on 298 paired pre/post LDL).</w:t>
      </w:r>
    </w:p>
    <w:p>
      <w:r>
        <w:rPr>
          <w:rFonts w:ascii="Cambria" w:hAnsi="Cambria"/>
          <w:sz w:val="22"/>
        </w:rPr>
        <w:t>Elastic Net alpha = 0.5. 10 retained features: Index_Effect (+1.148), LDL_adjusted (+1.070), Trig_Filter (+0.871), statin residual (-0.677), age (-0.497), sex (-0.208), HDL (-0.199), tendon xanthomata (+0.159), TG (-0.141), corneal arcus (+0.120). 5-fold CV AUC 0.867 (SD 0.025).</w:t>
      </w:r>
    </w:p>
    <w:p>
      <w:r>
        <w:rPr>
          <w:rFonts w:ascii="Cambria" w:hAnsi="Cambria"/>
          <w:i/>
          <w:color w:val="106E10"/>
          <w:sz w:val="22"/>
        </w:rPr>
        <w:t xml:space="preserve">In plain terms, the Elastic Net selects only the most informative clinical features and shrinks the rest to zero -- producing a parsimonious diagnostic score easier to inspect, audit, and deploy than a black-box ML model. </w:t>
      </w:r>
      <w:r>
        <w:rPr>
          <w:rFonts w:ascii="Cambria" w:hAnsi="Cambria"/>
          <w:b/>
          <w:color w:val="1F77B4"/>
          <w:sz w:val="22"/>
        </w:rPr>
        <w:t>[R2.1 preface -- inserted in 2.5]</w:t>
      </w:r>
    </w:p>
    <w:p>
      <w:r>
        <w:rPr>
          <w:rFonts w:ascii="Cambria" w:hAnsi="Cambria"/>
          <w:i/>
          <w:color w:val="106E10"/>
          <w:sz w:val="22"/>
        </w:rPr>
        <w:t xml:space="preserve">In clinical terms, the NRI quantifies how many additional patients are placed in the correct probability band -- and thus the correct clinical action -- when TUDOR replaces the older diagnostic criterion. The calibration slope describes how well predicted probabilities track observed FH frequencies; slope &gt; 1 indicates the model needs scaling-down (recalibration) for lower-prevalence populations. </w:t>
      </w:r>
      <w:r>
        <w:rPr>
          <w:rFonts w:ascii="Cambria" w:hAnsi="Cambria"/>
          <w:b/>
          <w:color w:val="1F77B4"/>
          <w:sz w:val="22"/>
        </w:rPr>
        <w:t>[R2.1 preface -- inserted in 2.10]</w:t>
      </w:r>
    </w:p>
    <w:p>
      <w:r>
        <w:rPr>
          <w:rFonts w:ascii="Cambria" w:hAnsi="Cambria"/>
          <w:sz w:val="22"/>
        </w:rPr>
        <w:t>Ethical approval: CAVUHB R&amp;D; UKB app 1002450; NW MREC 11/NW/0382.</w:t>
      </w:r>
    </w:p>
    <w:p>
      <w:pPr>
        <w:pStyle w:val="Heading1"/>
      </w:pPr>
      <w:r>
        <w:rPr>
          <w:rFonts w:ascii="Cambria" w:hAnsi="Cambria"/>
        </w:rPr>
        <w:t>3. Results</w:t>
      </w:r>
    </w:p>
    <w:p>
      <w:pPr>
        <w:pStyle w:val="Heading3"/>
      </w:pPr>
      <w:r>
        <w:rPr>
          <w:rFonts w:ascii="Cambria" w:hAnsi="Cambria"/>
        </w:rPr>
        <w:t>3.1 Study populations</w:t>
      </w:r>
    </w:p>
    <w:p>
      <w:r>
        <w:rPr>
          <w:rFonts w:ascii="Cambria" w:hAnsi="Cambria"/>
          <w:sz w:val="22"/>
        </w:rPr>
        <w:t>Wales: mean age 45.9, 57.2% F, BMI 28.7. FH+ younger (39.3 vs 49.2 y; d = -0.571). Trig_Filter d = 0.744 (largest of any continuous variable). Cascade 57.0% in FH+ vs 26.1% in FH-.</w:t>
      </w:r>
    </w:p>
    <w:p>
      <w:r>
        <w:rPr>
          <w:rFonts w:ascii="Cambria" w:hAnsi="Cambria"/>
          <w:sz w:val="22"/>
        </w:rPr>
        <w:t>UK Biobank: mean age 58.9, 55.1% F, BMI 28.4. FH+ lower BMI (27.8 vs 28.5). Trig_Filter d = -0.963. ApoB/LDL ratio d = 0.384.</w:t>
      </w:r>
    </w:p>
    <w:p>
      <w:pPr>
        <w:pStyle w:val="Heading3"/>
      </w:pPr>
      <w:r>
        <w:rPr>
          <w:rFonts w:ascii="Cambria" w:hAnsi="Cambria"/>
        </w:rPr>
        <w:t>3.2 Treatment adjustment validation</w:t>
      </w:r>
    </w:p>
    <w:p>
      <w:r>
        <w:rPr>
          <w:rFonts w:ascii="Cambria" w:hAnsi="Cambria"/>
          <w:sz w:val="22"/>
        </w:rPr>
        <w:t>Wales 127 paired pre/post LDL: r = 0.89, MAE 0.48 mmol/L, B-A LoA -0.92 to +0.98. UKB longitudinal (n = 1,254 statin initiators): simvastatin 35.1%/35.0%, atorvastatin 36.7%/38.0%, rosuvastatin 37.4%/34.0%. ICC across 4 LDL equations 0.986.</w:t>
      </w:r>
    </w:p>
    <w:p>
      <w:pPr>
        <w:pStyle w:val="Heading3"/>
      </w:pPr>
      <w:r>
        <w:rPr>
          <w:rFonts w:ascii="Cambria" w:hAnsi="Cambria"/>
        </w:rPr>
        <w:t>3.3 Wales external validation (TRIPOD 2b)</w:t>
      </w:r>
    </w:p>
    <w:p>
      <w:r>
        <w:rPr>
          <w:rFonts w:ascii="Cambria" w:hAnsi="Cambria"/>
          <w:b/>
          <w:sz w:val="22"/>
        </w:rPr>
        <w:t>TUDOR AUC 0.842 (0.822-0.863); DLCN 0.791 (p &lt; 0.001); NRI 0.358; calibration slope 1.039. Index DLCN sensitivity 88.5%; cascade DLCN sensitivity 1.5% -- 87-pp gap. TUDOR cascade sensitivity 89.4% versus FAMCAT-approx 66.7%.</w:t>
      </w:r>
    </w:p>
    <w:p>
      <w:pPr>
        <w:pStyle w:val="Heading3"/>
      </w:pPr>
      <w:r>
        <w:rPr>
          <w:rFonts w:ascii="Cambria" w:hAnsi="Cambria"/>
        </w:rPr>
        <w:t>3.4 UK Biobank external validation (TRIPOD 4)</w:t>
      </w:r>
    </w:p>
    <w:p>
      <w:r>
        <w:rPr>
          <w:rFonts w:ascii="Cambria" w:hAnsi="Cambria"/>
          <w:b/>
          <w:sz w:val="22"/>
        </w:rPr>
        <w:t>TUDOR AUC 0.750 (0.731-0.770) vs eDLCN 0.636 (DeLong Z = 10.08, p = 6.73 x 10^-24), LDL alone 0.689, Trig_Filter alone 0.700. Youden Sens 59.7%, Spec 79.3%, Brier 0.069, calibration slope 6.33 (5.93-6.73) -- recalibration formula provided. 12-fold detection improvement (639 vs 52 per 10,000).</w:t>
      </w:r>
    </w:p>
    <w:p>
      <w:pPr>
        <w:pStyle w:val="Heading3"/>
      </w:pPr>
      <w:r>
        <w:rPr>
          <w:rFonts w:ascii="Cambria" w:hAnsi="Cambria"/>
        </w:rPr>
        <w:t>3.5 Genetic validation</w:t>
      </w:r>
    </w:p>
    <w:p>
      <w:r>
        <w:rPr>
          <w:rFonts w:ascii="Cambria" w:hAnsi="Cambria"/>
          <w:sz w:val="22"/>
        </w:rPr>
        <w:t>Wales: LDLR 1,901 (79.0%), APOB 281 (11.7%), PCSK9 23 (1.0%), LDLR CNV 164 (6.8%), APOE 33 (1.4%), LDLRAP1 3 (0.1%). UKB: LDLR 1,321 (81.4%), APOB 301 (18.5%), PCSK9 1 (0.1%). Total 4,028 genetic FH.</w:t>
      </w:r>
    </w:p>
    <w:p>
      <w:r>
        <w:rPr>
          <w:rFonts w:ascii="Cambria" w:hAnsi="Cambria"/>
          <w:sz w:val="22"/>
        </w:rPr>
        <w:t>Gene-specific AUCs (Wales/UKB): LDLR 0.839/0.717, APOB 0.841/0.830, APOE 0.809/-. APOB vs LDLR in UKB DeLong Z = 3.74, p = 1.88 x 10^-4. Cohen d for Trig_Filter 1.108 (APOB) vs 0.672 (LDLR).</w:t>
      </w:r>
    </w:p>
    <w:p>
      <w:pPr>
        <w:pStyle w:val="Heading3"/>
      </w:pPr>
      <w:r>
        <w:rPr>
          <w:rFonts w:ascii="Cambria" w:hAnsi="Cambria"/>
        </w:rPr>
        <w:t>3.6 ApoB augmentation</w:t>
      </w:r>
    </w:p>
    <w:p>
      <w:r>
        <w:rPr>
          <w:rFonts w:ascii="Cambria" w:hAnsi="Cambria"/>
          <w:sz w:val="22"/>
        </w:rPr>
        <w:t>Base TUDOR 0.753. Model A (+ApoB) 0.751 (p = 0.349, ns). Model B (+ratio) 0.760 (p = 0.006). Model C (+both) 0.771 (delta-AUC +0.019, p = 3.99 x 10^-5). Model D (+Lp(a)) 0.776.</w:t>
      </w:r>
    </w:p>
    <w:p>
      <w:r>
        <w:rPr>
          <w:rFonts w:ascii="Cambria" w:hAnsi="Cambria"/>
          <w:sz w:val="22"/>
        </w:rPr>
        <w:t>Grey-zone analysis (intermediate-probability stratum n = 33,562): ratio AUC 0.513 -- operates at whole-cohort ranking, not within-stratum triage.</w:t>
      </w:r>
    </w:p>
    <w:p>
      <w:pPr>
        <w:pStyle w:val="Heading3"/>
      </w:pPr>
      <w:r>
        <w:rPr>
          <w:rFonts w:ascii="Cambria" w:hAnsi="Cambria"/>
        </w:rPr>
        <w:t>3.7 Trig_Filter biological validation</w:t>
      </w:r>
    </w:p>
    <w:p>
      <w:r>
        <w:rPr>
          <w:rFonts w:ascii="Cambria" w:hAnsi="Cambria"/>
          <w:sz w:val="22"/>
        </w:rPr>
        <w:t>Sequential adjustment ORs 1.873 -&gt; 1.891 (BMI) -&gt; 1.903 (DM) -&gt; 1.920 (ApoB) -&gt; 1.935 (age+sex). VIF &lt; 1.2. Metabolic shield Cohen d 0.89 (TG&lt;1.7) -&gt; 0.52 (1.7-2.3) -&gt; 0.18 (&gt;2.3). NMR (421,122 UKB; 1,612 genetic FH): 35/53 metabolites differ post-Bonferroni; TUDOR alone 0.749, NMR alone 0.705, combined 0.752 (p = 0.278) -- clinical model captures the molecular biology.</w:t>
      </w:r>
    </w:p>
    <w:p>
      <w:pPr>
        <w:pStyle w:val="Heading3"/>
      </w:pPr>
      <w:r>
        <w:rPr>
          <w:rFonts w:ascii="Cambria" w:hAnsi="Cambria"/>
        </w:rPr>
        <w:t>3.8 CV mortality gradient</w:t>
      </w:r>
    </w:p>
    <w:p>
      <w:r>
        <w:rPr>
          <w:rFonts w:ascii="Cambria" w:hAnsi="Cambria"/>
          <w:sz w:val="22"/>
        </w:rPr>
        <w:t>n = 58,021, 1,893 deaths, median FU 14.2 y. IHD 0.65% -&gt; 1.76% across LDL deciles (OR 1.036/decile, p = 0.011). Stroke inverse gradient 0.89% -&gt; 0.35% (haemorrhagic-stroke J-curve). All-CV OR 1.012 (p = 0.14).</w:t>
      </w:r>
    </w:p>
    <w:p>
      <w:pPr>
        <w:pStyle w:val="Heading3"/>
      </w:pPr>
      <w:r>
        <w:rPr>
          <w:rFonts w:ascii="Cambria" w:hAnsi="Cambria"/>
        </w:rPr>
        <w:t>3.9 T2DM ascertainment</w:t>
      </w:r>
    </w:p>
    <w:p>
      <w:r>
        <w:rPr>
          <w:rFonts w:ascii="Cambria" w:hAnsi="Cambria"/>
          <w:sz w:val="22"/>
        </w:rPr>
        <w:t>Self-report 1.9%, ICD-10 5.6%, HbA1c 1.5%. kappa = 0.28-0.36 (poor concordance). All three confirm attenuation: beta = -0.484 / -0.473 / -0.658. HbA1c dose-response: Trig_Filter 2.74 -&gt; 2.31 -&gt; 1.82 across normo/IFG/diabetes.</w:t>
      </w:r>
    </w:p>
    <w:p>
      <w:pPr>
        <w:pStyle w:val="Heading3"/>
      </w:pPr>
      <w:r>
        <w:rPr>
          <w:rFonts w:ascii="Cambria" w:hAnsi="Cambria"/>
        </w:rPr>
        <w:t>3.10 Sensitivity analyses and algorithm comparison</w:t>
      </w:r>
    </w:p>
    <w:p>
      <w:r>
        <w:rPr>
          <w:rFonts w:ascii="Cambria" w:hAnsi="Cambria"/>
          <w:sz w:val="22"/>
        </w:rPr>
        <w:t>10 prespecified sensitivity analyses pass. ENET (AUC 0.781) vs XGBoost (0.778) DeLong p = 0.72 -- clinical feature engineering, not algorithmic complexity, drives diagnostic improvement.</w:t>
      </w:r>
    </w:p>
    <w:p>
      <w:pPr>
        <w:pStyle w:val="Heading1"/>
      </w:pPr>
      <w:r>
        <w:rPr>
          <w:rFonts w:ascii="Cambria" w:hAnsi="Cambria"/>
        </w:rPr>
        <w:t>4. Discussion</w:t>
      </w:r>
    </w:p>
    <w:p>
      <w:r>
        <w:rPr>
          <w:rFonts w:ascii="Cambria" w:hAnsi="Cambria"/>
          <w:b/>
          <w:color w:val="1F77B4"/>
          <w:sz w:val="22"/>
        </w:rPr>
        <w:t xml:space="preserve">Synthesis opener (R2.5 insertion): </w:t>
      </w:r>
      <w:r>
        <w:rPr>
          <w:rFonts w:ascii="Cambria" w:hAnsi="Cambria"/>
          <w:i/>
          <w:color w:val="106E10"/>
          <w:sz w:val="22"/>
        </w:rPr>
        <w:t>TUDOR addresses a practical gap left by criteria designed in the pre-statin era. DLCN, MEDPED, and Simon Broome were validated against treatment-naive LDL-C distributions; in contemporary populations the same patients now present on therapy with LDL-C attenuated below the original thresholds. By incorporating on-statin status and back-calculated untreated LDL-C alongside an interpretable Elastic Net feature set, TUDOR preserves diagnostic performance in heavily treated cohorts without requiring a return-to-baseline washout.</w:t>
      </w:r>
    </w:p>
    <w:p>
      <w:pPr>
        <w:pStyle w:val="Heading3"/>
      </w:pPr>
      <w:r>
        <w:rPr>
          <w:rFonts w:ascii="Cambria" w:hAnsi="Cambria"/>
        </w:rPr>
        <w:t>4.1 Principal findings</w:t>
      </w:r>
    </w:p>
    <w:p>
      <w:r>
        <w:rPr>
          <w:rFonts w:ascii="Cambria" w:hAnsi="Cambria"/>
          <w:sz w:val="22"/>
        </w:rPr>
        <w:t>Dual external validation, AUC 0.842 (Wales) / 0.750 (UKB), 4,028 genetic FH across six genes -- the largest dual-validated genetically confirmed FH diagnostic study to date.</w:t>
      </w:r>
    </w:p>
    <w:p>
      <w:pPr>
        <w:pStyle w:val="Heading3"/>
      </w:pPr>
      <w:r>
        <w:rPr>
          <w:rFonts w:ascii="Cambria" w:hAnsi="Cambria"/>
        </w:rPr>
        <w:t>4.2 Cascade screening imperative</w:t>
      </w:r>
    </w:p>
    <w:p>
      <w:r>
        <w:rPr>
          <w:rFonts w:ascii="Cambria" w:hAnsi="Cambria"/>
          <w:i/>
          <w:color w:val="106E10"/>
          <w:sz w:val="22"/>
        </w:rPr>
        <w:t xml:space="preserve">External context: Weng et al [18] developed FAMCAT in UK primary care using prospectively coded features; their cohort, definitions, and lipid distributions differ materially from ours, so head-to-head comparison is illustrative rather than equivalent. Our internally reconstructed FAMCAT-like score is therefore best interpreted as a methodologically necessary comparator limited by the absence of primary-care longitudinal coding depth, and should not be read as a direct benchmark. </w:t>
      </w:r>
      <w:r>
        <w:rPr>
          <w:rFonts w:ascii="Cambria" w:hAnsi="Cambria"/>
          <w:b/>
          <w:color w:val="1F77B4"/>
          <w:sz w:val="22"/>
        </w:rPr>
        <w:t>[R2.3 FAMCAT contextualisation -- inserted]</w:t>
      </w:r>
    </w:p>
    <w:p>
      <w:r>
        <w:rPr>
          <w:rFonts w:ascii="Cambria" w:hAnsi="Cambria"/>
          <w:sz w:val="22"/>
        </w:rPr>
        <w:t>The 87-pp sensitivity gap (88.5% index -&gt; 1.5% cascade) using DLCN represents the central diagnostic deficiency. Simon Broome depends on tendon xanthomata (&lt;15% het FH) and corneal arcus (2.0% here) -- increasingly rare in the statin era.</w:t>
      </w:r>
    </w:p>
    <w:p>
      <w:pPr>
        <w:pStyle w:val="Heading3"/>
      </w:pPr>
      <w:r>
        <w:rPr>
          <w:rFonts w:ascii="Cambria" w:hAnsi="Cambria"/>
        </w:rPr>
        <w:t>4.3 Genetic heterogeneity and variant-specific performance</w:t>
      </w:r>
    </w:p>
    <w:p>
      <w:r>
        <w:rPr>
          <w:rFonts w:ascii="Cambria" w:hAnsi="Cambria"/>
          <w:sz w:val="22"/>
        </w:rPr>
        <w:t>APOB p.Arg3527Gln produces a uniform molecular defect (impaired LDL-receptor binding) -&gt; reproducible phenotype -&gt; higher TUDOR discrimination. &gt;2,000 LDLR pathogenic variants span null, defective, CNV -&gt; wider phenotypic distribution -&gt; lower discriminative efficiency.</w:t>
      </w:r>
    </w:p>
    <w:p>
      <w:pPr>
        <w:pStyle w:val="Heading3"/>
      </w:pPr>
      <w:r>
        <w:rPr>
          <w:rFonts w:ascii="Cambria" w:hAnsi="Cambria"/>
        </w:rPr>
        <w:t>4.4 Cardiovascular outcomes validation</w:t>
      </w:r>
    </w:p>
    <w:p>
      <w:r>
        <w:rPr>
          <w:rFonts w:ascii="Cambria" w:hAnsi="Cambria"/>
          <w:sz w:val="22"/>
        </w:rPr>
        <w:t>IHD trend confirms continuous LDL-mortality relationship (Brown-Goldstein causal framework). Inverse stroke gradient reflects mixed thrombotic/haemorrhagic aetiology -- not protective LDL. Guidelines target &lt;1.4 mmol/L in very-high-risk, well above haemorrhagic thresholds.</w:t>
      </w:r>
    </w:p>
    <w:p>
      <w:pPr>
        <w:pStyle w:val="Heading3"/>
      </w:pPr>
      <w:r>
        <w:rPr>
          <w:rFonts w:ascii="Cambria" w:hAnsi="Cambria"/>
        </w:rPr>
        <w:t>4.5 T2DM ascertainment and Trig_Filter robustness</w:t>
      </w:r>
    </w:p>
    <w:p>
      <w:r>
        <w:rPr>
          <w:rFonts w:ascii="Cambria" w:hAnsi="Cambria"/>
          <w:sz w:val="22"/>
        </w:rPr>
        <w:t>Low kappa (0.28-0.36) strengthens the conclusion: if the effect were a coding artefact, three discordant definitions would not converge. HbA1c dose-response is the mechanism (SREBP-1c VLDL overproduction, LPL impairment).</w:t>
      </w:r>
    </w:p>
    <w:p>
      <w:pPr>
        <w:pStyle w:val="Heading3"/>
      </w:pPr>
      <w:r>
        <w:rPr>
          <w:rFonts w:ascii="Cambria" w:hAnsi="Cambria"/>
        </w:rPr>
        <w:t>4.6 ApoB augmentation and precision lipidology</w:t>
      </w:r>
    </w:p>
    <w:p>
      <w:r>
        <w:rPr>
          <w:rFonts w:ascii="Cambria" w:hAnsi="Cambria"/>
          <w:sz w:val="22"/>
        </w:rPr>
        <w:t>Absolute ApoB redundant given treatment-adjusted LDL; the ApoB/LDL-C ratio captures cholesterol-content-per-particle (lower in FH due to prolonged residence). Ratio &lt; 0.31 predicts ASCVD in genetic FH (27.6 vs 11.8%, p = 0.0022).</w:t>
      </w:r>
    </w:p>
    <w:p>
      <w:pPr>
        <w:pStyle w:val="Heading3"/>
      </w:pPr>
      <w:r>
        <w:rPr>
          <w:rFonts w:ascii="Cambria" w:hAnsi="Cambria"/>
        </w:rPr>
        <w:t>4.7 Clinical Implementation Framework</w:t>
      </w:r>
    </w:p>
    <w:p>
      <w:r>
        <w:rPr>
          <w:rFonts w:ascii="Cambria" w:hAnsi="Cambria"/>
          <w:i/>
          <w:color w:val="106E10"/>
          <w:sz w:val="22"/>
        </w:rPr>
        <w:t xml:space="preserve">This pathway is intentionally simple: one probability band drives one clinical action and one genetic-testing decision. It supplements rather than replaces existing criteria (DLCN, MEDPED, Simon Broome), and assumes Bayesian recalibration to local FH prevalence when deployed outside specialist lipid-clinic populations. </w:t>
      </w:r>
      <w:r>
        <w:rPr>
          <w:rFonts w:ascii="Cambria" w:hAnsi="Cambria"/>
          <w:b/>
          <w:color w:val="1F77B4"/>
          <w:sz w:val="22"/>
        </w:rPr>
        <w:t>[R2.1 preface -- inserted]</w:t>
      </w:r>
    </w:p>
    <w:p>
      <w:r>
        <w:rPr>
          <w:rFonts w:ascii="Cambria" w:hAnsi="Cambria"/>
          <w:sz w:val="22"/>
        </w:rPr>
        <w:t>Low-probability (TUDOR &lt; 25%): reassurance, standard lipid pathway.</w:t>
      </w:r>
    </w:p>
    <w:p>
      <w:r>
        <w:rPr>
          <w:rFonts w:ascii="Cambria" w:hAnsi="Cambria"/>
          <w:sz w:val="22"/>
        </w:rPr>
        <w:t>Intermediate (25-75%): detailed review, secondary-cause work-up, intensify LLT, re-evaluate after adherence-stable repeat.</w:t>
      </w:r>
    </w:p>
    <w:p>
      <w:r>
        <w:rPr>
          <w:rFonts w:ascii="Cambria" w:hAnsi="Cambria"/>
          <w:sz w:val="22"/>
        </w:rPr>
        <w:t>High (&gt;75%): direct referral for genetic confirmation (panel/WES) and cascade.</w:t>
      </w:r>
    </w:p>
    <w:p>
      <w:r>
        <w:rPr>
          <w:rFonts w:ascii="Cambria" w:hAnsi="Cambria"/>
          <w:i/>
          <w:color w:val="106E10"/>
          <w:sz w:val="22"/>
        </w:rPr>
        <w:t xml:space="preserve">To translate TUDOR into routine clinical use we propose a three-tier decision pathway based on the model predicted probability of monogenic FH. The thresholds (&lt;25%, 25-75%, &gt;75%) reuse the categorical bands already used in the NRI analysis and map to distinct clinical actions summarised in Table 5. </w:t>
      </w:r>
      <w:r>
        <w:rPr>
          <w:rFonts w:ascii="Cambria" w:hAnsi="Cambria"/>
          <w:b/>
          <w:color w:val="1F77B4"/>
          <w:sz w:val="22"/>
        </w:rPr>
        <w:t>[R2.2 expansion -- inserted]</w:t>
      </w:r>
    </w:p>
    <w:p>
      <w:r>
        <w:rPr>
          <w:rFonts w:ascii="Cambria" w:hAnsi="Cambria"/>
          <w:i/>
          <w:color w:val="804010"/>
          <w:sz w:val="22"/>
        </w:rPr>
        <w:t>Note: the original v4 three-tier paragraph is retained immediately below per the no-deletion rule. Items #1-2 of the flag list at the end propose a 30-second manual trim.</w:t>
      </w:r>
    </w:p>
    <w:p>
      <w:pPr>
        <w:pStyle w:val="Heading3"/>
      </w:pPr>
      <w:r>
        <w:rPr>
          <w:rFonts w:ascii="Cambria" w:hAnsi="Cambria"/>
        </w:rPr>
        <w:t>4.8 Limitations</w:t>
      </w:r>
    </w:p>
    <w:p>
      <w:r>
        <w:rPr>
          <w:rFonts w:ascii="Cambria" w:hAnsi="Cambria"/>
          <w:i/>
          <w:color w:val="106E10"/>
          <w:sz w:val="22"/>
        </w:rPr>
        <w:t xml:space="preserve">Adherence to lipid-lowering therapy in real-world settings is heterogeneous and not fully captured by binary prescription records. Intermittent dosing, dose reduction during illness, and complete cessation can leave a prescription record that overstates true exposure, distorting back-calculation of untreated LDL-C and attenuating Trig_Filter. External validation in All-Wales-PASS and UK Biobank gives some reassurance, but a definitive test requires time-varying GP-prescription data linked to dispensing records. We acknowledge this as a structural limitation and are pursuing linkage as part of the Cardiff longitudinal cohort follow-up. </w:t>
      </w:r>
      <w:r>
        <w:rPr>
          <w:rFonts w:ascii="Cambria" w:hAnsi="Cambria"/>
          <w:b/>
          <w:color w:val="1F77B4"/>
          <w:sz w:val="22"/>
        </w:rPr>
        <w:t>[R2.4 adherence limitation -- inserted]</w:t>
      </w:r>
    </w:p>
    <w:p>
      <w:r>
        <w:rPr>
          <w:rFonts w:ascii="Cambria" w:hAnsi="Cambria"/>
          <w:sz w:val="22"/>
        </w:rPr>
        <w:t>Other limitations: single-centre development; UKB age 40-69; FAMCAT comparison internal approximation; calibration slope 6.33 needs Bayesian recalibration; ApoB augmentation testable only in UKB; T2DM attenuates but does not preclude; ICD-10 p41280 ASCVD event dates not yet extracted; prospective implementation studies needed.</w:t>
      </w:r>
    </w:p>
    <w:p>
      <w:pPr>
        <w:pStyle w:val="Heading1"/>
      </w:pPr>
      <w:r>
        <w:rPr>
          <w:rFonts w:ascii="Cambria" w:hAnsi="Cambria"/>
        </w:rPr>
        <w:t>5. Conclusions</w:t>
      </w:r>
    </w:p>
    <w:p>
      <w:r>
        <w:rPr>
          <w:rFonts w:ascii="Cambria" w:hAnsi="Cambria"/>
          <w:sz w:val="22"/>
        </w:rPr>
        <w:t>TUDOR is a dual-externally-validated, interpretable FH diagnostic algorithm maintaining discrimination across specialist (AUC 0.842) and population (AUC 0.750) settings in 4,028 genetic FH across six genes. APOB AUC 0.830 reflects molecular homogeneity. Optional ApoB/LDL-C ratio augmentation lifts AUC to 0.771. IHD mortality gradient independently confirms LDL-C as continuous CV risk determinant. Three-definition T2DM concordance confirms the Trig_Filter attenuation is biological not artefactual. Treatment-adjusted phenotyping and ascertainment correction address the structural drivers of FH underdiagnosis.</w:t>
      </w:r>
    </w:p>
    <w:p>
      <w:pPr>
        <w:pStyle w:val="Heading1"/>
      </w:pPr>
      <w:r>
        <w:rPr>
          <w:rFonts w:ascii="Cambria" w:hAnsi="Cambria"/>
        </w:rPr>
        <w:t>Key Tables</w:t>
      </w:r>
    </w:p>
    <w:p>
      <w:pPr>
        <w:pStyle w:val="Heading3"/>
      </w:pPr>
      <w:r>
        <w:rPr>
          <w:rFonts w:ascii="Cambria" w:hAnsi="Cambria"/>
        </w:rPr>
        <w:t>Table 1a. Wales baseline (selected rows; n = 7,253)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FH+ (n=2,405)</w:t>
            </w:r>
          </w:p>
        </w:tc>
        <w:tc>
          <w:tcPr>
            <w:tcW w:type="dxa" w:w="1728"/>
          </w:tcPr>
          <w:p>
            <w:r>
              <w:t>FH- (n=4,848)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Cohen d</w:t>
            </w:r>
          </w:p>
        </w:tc>
      </w:tr>
      <w:tr>
        <w:tc>
          <w:tcPr>
            <w:tcW w:type="dxa" w:w="1728"/>
          </w:tcPr>
          <w:p>
            <w:r>
              <w:t>Age, y</w:t>
            </w:r>
          </w:p>
        </w:tc>
        <w:tc>
          <w:tcPr>
            <w:tcW w:type="dxa" w:w="1728"/>
          </w:tcPr>
          <w:p>
            <w:r>
              <w:t>39.3 (17.1)</w:t>
            </w:r>
          </w:p>
        </w:tc>
        <w:tc>
          <w:tcPr>
            <w:tcW w:type="dxa" w:w="1728"/>
          </w:tcPr>
          <w:p>
            <w:r>
              <w:t>49.2 (17.2)</w:t>
            </w:r>
          </w:p>
        </w:tc>
        <w:tc>
          <w:tcPr>
            <w:tcW w:type="dxa" w:w="1728"/>
          </w:tcPr>
          <w:p>
            <w:r>
              <w:t>&lt;10^-99</w:t>
            </w:r>
          </w:p>
        </w:tc>
        <w:tc>
          <w:tcPr>
            <w:tcW w:type="dxa" w:w="1728"/>
          </w:tcPr>
          <w:p>
            <w:r>
              <w:t>-0.571</w:t>
            </w:r>
          </w:p>
        </w:tc>
      </w:tr>
      <w:tr>
        <w:tc>
          <w:tcPr>
            <w:tcW w:type="dxa" w:w="1728"/>
          </w:tcPr>
          <w:p>
            <w:r>
              <w:t>LDL-C measured, mmol/L</w:t>
            </w:r>
          </w:p>
        </w:tc>
        <w:tc>
          <w:tcPr>
            <w:tcW w:type="dxa" w:w="1728"/>
          </w:tcPr>
          <w:p>
            <w:r>
              <w:t>5.8 (2.0)</w:t>
            </w:r>
          </w:p>
        </w:tc>
        <w:tc>
          <w:tcPr>
            <w:tcW w:type="dxa" w:w="1728"/>
          </w:tcPr>
          <w:p>
            <w:r>
              <w:t>5.1 (1.8)</w:t>
            </w:r>
          </w:p>
        </w:tc>
        <w:tc>
          <w:tcPr>
            <w:tcW w:type="dxa" w:w="1728"/>
          </w:tcPr>
          <w:p>
            <w:r>
              <w:t>&lt;10^-31</w:t>
            </w:r>
          </w:p>
        </w:tc>
        <w:tc>
          <w:tcPr>
            <w:tcW w:type="dxa" w:w="1728"/>
          </w:tcPr>
          <w:p>
            <w:r>
              <w:t>0.349</w:t>
            </w:r>
          </w:p>
        </w:tc>
      </w:tr>
      <w:tr>
        <w:tc>
          <w:tcPr>
            <w:tcW w:type="dxa" w:w="1728"/>
          </w:tcPr>
          <w:p>
            <w:r>
              <w:t>LDL-C adjusted, mmol/L</w:t>
            </w:r>
          </w:p>
        </w:tc>
        <w:tc>
          <w:tcPr>
            <w:tcW w:type="dxa" w:w="1728"/>
          </w:tcPr>
          <w:p>
            <w:r>
              <w:t>6.5 (2.1)</w:t>
            </w:r>
          </w:p>
        </w:tc>
        <w:tc>
          <w:tcPr>
            <w:tcW w:type="dxa" w:w="1728"/>
          </w:tcPr>
          <w:p>
            <w:r>
              <w:t>5.7 (1.9)</w:t>
            </w:r>
          </w:p>
        </w:tc>
        <w:tc>
          <w:tcPr>
            <w:tcW w:type="dxa" w:w="1728"/>
          </w:tcPr>
          <w:p>
            <w:r>
              <w:t>&lt;10^-33</w:t>
            </w:r>
          </w:p>
        </w:tc>
        <w:tc>
          <w:tcPr>
            <w:tcW w:type="dxa" w:w="1728"/>
          </w:tcPr>
          <w:p>
            <w:r>
              <w:t>0.378</w:t>
            </w:r>
          </w:p>
        </w:tc>
      </w:tr>
      <w:tr>
        <w:tc>
          <w:tcPr>
            <w:tcW w:type="dxa" w:w="1728"/>
          </w:tcPr>
          <w:p>
            <w:r>
              <w:t>Triglycerides, mmol/L</w:t>
            </w:r>
          </w:p>
        </w:tc>
        <w:tc>
          <w:tcPr>
            <w:tcW w:type="dxa" w:w="1728"/>
          </w:tcPr>
          <w:p>
            <w:r>
              <w:t>1.4 (0.8)</w:t>
            </w:r>
          </w:p>
        </w:tc>
        <w:tc>
          <w:tcPr>
            <w:tcW w:type="dxa" w:w="1728"/>
          </w:tcPr>
          <w:p>
            <w:r>
              <w:t>2.0 (0.9)</w:t>
            </w:r>
          </w:p>
        </w:tc>
        <w:tc>
          <w:tcPr>
            <w:tcW w:type="dxa" w:w="1728"/>
          </w:tcPr>
          <w:p>
            <w:r>
              <w:t>&lt;10^-72</w:t>
            </w:r>
          </w:p>
        </w:tc>
        <w:tc>
          <w:tcPr>
            <w:tcW w:type="dxa" w:w="1728"/>
          </w:tcPr>
          <w:p>
            <w:r>
              <w:t>-0.460</w:t>
            </w:r>
          </w:p>
        </w:tc>
      </w:tr>
      <w:tr>
        <w:tc>
          <w:tcPr>
            <w:tcW w:type="dxa" w:w="1728"/>
          </w:tcPr>
          <w:p>
            <w:r>
              <w:t>Trig_Filter</w:t>
            </w:r>
          </w:p>
        </w:tc>
        <w:tc>
          <w:tcPr>
            <w:tcW w:type="dxa" w:w="1728"/>
          </w:tcPr>
          <w:p>
            <w:r>
              <w:t>5.1 (1.9)</w:t>
            </w:r>
          </w:p>
        </w:tc>
        <w:tc>
          <w:tcPr>
            <w:tcW w:type="dxa" w:w="1728"/>
          </w:tcPr>
          <w:p>
            <w:r>
              <w:t>3.3 (1.5)</w:t>
            </w:r>
          </w:p>
        </w:tc>
        <w:tc>
          <w:tcPr>
            <w:tcW w:type="dxa" w:w="1728"/>
          </w:tcPr>
          <w:p>
            <w:r>
              <w:t>&lt;10^-90</w:t>
            </w:r>
          </w:p>
        </w:tc>
        <w:tc>
          <w:tcPr>
            <w:tcW w:type="dxa" w:w="1728"/>
          </w:tcPr>
          <w:p>
            <w:r>
              <w:t>0.744</w:t>
            </w:r>
          </w:p>
        </w:tc>
      </w:tr>
      <w:tr>
        <w:tc>
          <w:tcPr>
            <w:tcW w:type="dxa" w:w="1728"/>
          </w:tcPr>
          <w:p>
            <w:r>
              <w:t>Tendon xanthomata</w:t>
            </w:r>
          </w:p>
        </w:tc>
        <w:tc>
          <w:tcPr>
            <w:tcW w:type="dxa" w:w="1728"/>
          </w:tcPr>
          <w:p>
            <w:r>
              <w:t>10.8%</w:t>
            </w:r>
          </w:p>
        </w:tc>
        <w:tc>
          <w:tcPr>
            <w:tcW w:type="dxa" w:w="1728"/>
          </w:tcPr>
          <w:p>
            <w:r>
              <w:t>5.7%</w:t>
            </w:r>
          </w:p>
        </w:tc>
        <w:tc>
          <w:tcPr>
            <w:tcW w:type="dxa" w:w="1728"/>
          </w:tcPr>
          <w:p>
            <w:r>
              <w:t>&lt;10^-17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Cascade relative</w:t>
            </w:r>
          </w:p>
        </w:tc>
        <w:tc>
          <w:tcPr>
            <w:tcW w:type="dxa" w:w="1728"/>
          </w:tcPr>
          <w:p>
            <w:r>
              <w:t>57.0%</w:t>
            </w:r>
          </w:p>
        </w:tc>
        <w:tc>
          <w:tcPr>
            <w:tcW w:type="dxa" w:w="1728"/>
          </w:tcPr>
          <w:p>
            <w:r>
              <w:t>11.2%</w:t>
            </w:r>
          </w:p>
        </w:tc>
        <w:tc>
          <w:tcPr>
            <w:tcW w:type="dxa" w:w="1728"/>
          </w:tcPr>
          <w:p>
            <w:r>
              <w:t>&lt;10^-145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pPr>
        <w:pStyle w:val="Heading3"/>
      </w:pPr>
      <w:r>
        <w:rPr>
          <w:rFonts w:ascii="Cambria" w:hAnsi="Cambria"/>
        </w:rPr>
        <w:t>Table 1b. UK Biobank baseline (selected rows; n = 58,021)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FH+ (n=729)</w:t>
            </w:r>
          </w:p>
        </w:tc>
        <w:tc>
          <w:tcPr>
            <w:tcW w:type="dxa" w:w="1728"/>
          </w:tcPr>
          <w:p>
            <w:r>
              <w:t>FH- (n=57,292)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Cohen d</w:t>
            </w:r>
          </w:p>
        </w:tc>
      </w:tr>
      <w:tr>
        <w:tc>
          <w:tcPr>
            <w:tcW w:type="dxa" w:w="1728"/>
          </w:tcPr>
          <w:p>
            <w:r>
              <w:t>LDL-C measured</w:t>
            </w:r>
          </w:p>
        </w:tc>
        <w:tc>
          <w:tcPr>
            <w:tcW w:type="dxa" w:w="1728"/>
          </w:tcPr>
          <w:p>
            <w:r>
              <w:t>5.7 (0.9)</w:t>
            </w:r>
          </w:p>
        </w:tc>
        <w:tc>
          <w:tcPr>
            <w:tcW w:type="dxa" w:w="1728"/>
          </w:tcPr>
          <w:p>
            <w:r>
              <w:t>5.1 (0.9)</w:t>
            </w:r>
          </w:p>
        </w:tc>
        <w:tc>
          <w:tcPr>
            <w:tcW w:type="dxa" w:w="1728"/>
          </w:tcPr>
          <w:p>
            <w:r>
              <w:t>&lt;10^-89</w:t>
            </w:r>
          </w:p>
        </w:tc>
        <w:tc>
          <w:tcPr>
            <w:tcW w:type="dxa" w:w="1728"/>
          </w:tcPr>
          <w:p>
            <w:r>
              <w:t>-0.739</w:t>
            </w:r>
          </w:p>
        </w:tc>
      </w:tr>
      <w:tr>
        <w:tc>
          <w:tcPr>
            <w:tcW w:type="dxa" w:w="1728"/>
          </w:tcPr>
          <w:p>
            <w:r>
              <w:t>Triglycerides</w:t>
            </w:r>
          </w:p>
        </w:tc>
        <w:tc>
          <w:tcPr>
            <w:tcW w:type="dxa" w:w="1728"/>
          </w:tcPr>
          <w:p>
            <w:r>
              <w:t>1.8 (0.9)</w:t>
            </w:r>
          </w:p>
        </w:tc>
        <w:tc>
          <w:tcPr>
            <w:tcW w:type="dxa" w:w="1728"/>
          </w:tcPr>
          <w:p>
            <w:r>
              <w:t>2.2 (1.2)</w:t>
            </w:r>
          </w:p>
        </w:tc>
        <w:tc>
          <w:tcPr>
            <w:tcW w:type="dxa" w:w="1728"/>
          </w:tcPr>
          <w:p>
            <w:r>
              <w:t>&lt;10^-11</w:t>
            </w:r>
          </w:p>
        </w:tc>
        <w:tc>
          <w:tcPr>
            <w:tcW w:type="dxa" w:w="1728"/>
          </w:tcPr>
          <w:p>
            <w:r>
              <w:t>-0.411</w:t>
            </w:r>
          </w:p>
        </w:tc>
      </w:tr>
      <w:tr>
        <w:tc>
          <w:tcPr>
            <w:tcW w:type="dxa" w:w="1728"/>
          </w:tcPr>
          <w:p>
            <w:r>
              <w:t>Trig_Filter</w:t>
            </w:r>
          </w:p>
        </w:tc>
        <w:tc>
          <w:tcPr>
            <w:tcW w:type="dxa" w:w="1728"/>
          </w:tcPr>
          <w:p>
            <w:r>
              <w:t>3.9 (1.5)</w:t>
            </w:r>
          </w:p>
        </w:tc>
        <w:tc>
          <w:tcPr>
            <w:tcW w:type="dxa" w:w="1728"/>
          </w:tcPr>
          <w:p>
            <w:r>
              <w:t>2.7 (1.4)</w:t>
            </w:r>
          </w:p>
        </w:tc>
        <w:tc>
          <w:tcPr>
            <w:tcW w:type="dxa" w:w="1728"/>
          </w:tcPr>
          <w:p>
            <w:r>
              <w:t>&lt;10^-54</w:t>
            </w:r>
          </w:p>
        </w:tc>
        <w:tc>
          <w:tcPr>
            <w:tcW w:type="dxa" w:w="1728"/>
          </w:tcPr>
          <w:p>
            <w:r>
              <w:t>-0.963</w:t>
            </w:r>
          </w:p>
        </w:tc>
      </w:tr>
      <w:tr>
        <w:tc>
          <w:tcPr>
            <w:tcW w:type="dxa" w:w="1728"/>
          </w:tcPr>
          <w:p>
            <w:r>
              <w:t>ApoB/LDL-C ratio</w:t>
            </w:r>
          </w:p>
        </w:tc>
        <w:tc>
          <w:tcPr>
            <w:tcW w:type="dxa" w:w="1728"/>
          </w:tcPr>
          <w:p>
            <w:r>
              <w:t>0.21 (0.05)</w:t>
            </w:r>
          </w:p>
        </w:tc>
        <w:tc>
          <w:tcPr>
            <w:tcW w:type="dxa" w:w="1728"/>
          </w:tcPr>
          <w:p>
            <w:r>
              <w:t>0.23 (0.06)</w:t>
            </w:r>
          </w:p>
        </w:tc>
        <w:tc>
          <w:tcPr>
            <w:tcW w:type="dxa" w:w="1728"/>
          </w:tcPr>
          <w:p>
            <w:r>
              <w:t>&lt;10^-22</w:t>
            </w:r>
          </w:p>
        </w:tc>
        <w:tc>
          <w:tcPr>
            <w:tcW w:type="dxa" w:w="1728"/>
          </w:tcPr>
          <w:p>
            <w:r>
              <w:t>0.384</w:t>
            </w:r>
          </w:p>
        </w:tc>
      </w:tr>
      <w:tr>
        <w:tc>
          <w:tcPr>
            <w:tcW w:type="dxa" w:w="1728"/>
          </w:tcPr>
          <w:p>
            <w:r>
              <w:t>Statin use</w:t>
            </w:r>
          </w:p>
        </w:tc>
        <w:tc>
          <w:tcPr>
            <w:tcW w:type="dxa" w:w="1728"/>
          </w:tcPr>
          <w:p>
            <w:r>
              <w:t>53.5%</w:t>
            </w:r>
          </w:p>
        </w:tc>
        <w:tc>
          <w:tcPr>
            <w:tcW w:type="dxa" w:w="1728"/>
          </w:tcPr>
          <w:p>
            <w:r>
              <w:t>38.4%</w:t>
            </w:r>
          </w:p>
        </w:tc>
        <w:tc>
          <w:tcPr>
            <w:tcW w:type="dxa" w:w="1728"/>
          </w:tcPr>
          <w:p>
            <w:r>
              <w:t>&lt;10^-17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pPr>
        <w:pStyle w:val="Heading3"/>
      </w:pPr>
      <w:r>
        <w:rPr>
          <w:rFonts w:ascii="Cambria" w:hAnsi="Cambria"/>
        </w:rPr>
        <w:t>Table 2. Discrimination performance (both cohorts)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Cohort</w:t>
            </w:r>
          </w:p>
        </w:tc>
        <w:tc>
          <w:tcPr>
            <w:tcW w:type="dxa" w:w="1440"/>
          </w:tcPr>
          <w:p>
            <w:r>
              <w:t>AUC</w:t>
            </w:r>
          </w:p>
        </w:tc>
        <w:tc>
          <w:tcPr>
            <w:tcW w:type="dxa" w:w="1440"/>
          </w:tcPr>
          <w:p>
            <w:r>
              <w:t>95% CI</w:t>
            </w:r>
          </w:p>
        </w:tc>
        <w:tc>
          <w:tcPr>
            <w:tcW w:type="dxa" w:w="1440"/>
          </w:tcPr>
          <w:p>
            <w:r>
              <w:t>DeLong vs TUDOR</w:t>
            </w:r>
          </w:p>
        </w:tc>
        <w:tc>
          <w:tcPr>
            <w:tcW w:type="dxa" w:w="1440"/>
          </w:tcPr>
          <w:p>
            <w:r>
              <w:t>Sens / Spec %</w:t>
            </w:r>
          </w:p>
        </w:tc>
      </w:tr>
      <w:tr>
        <w:tc>
          <w:tcPr>
            <w:tcW w:type="dxa" w:w="1440"/>
          </w:tcPr>
          <w:p>
            <w:r>
              <w:t>TUDOR v2</w:t>
            </w:r>
          </w:p>
        </w:tc>
        <w:tc>
          <w:tcPr>
            <w:tcW w:type="dxa" w:w="1440"/>
          </w:tcPr>
          <w:p>
            <w:r>
              <w:t>Wales</w:t>
            </w:r>
          </w:p>
        </w:tc>
        <w:tc>
          <w:tcPr>
            <w:tcW w:type="dxa" w:w="1440"/>
          </w:tcPr>
          <w:p>
            <w:r>
              <w:t>0.842</w:t>
            </w:r>
          </w:p>
        </w:tc>
        <w:tc>
          <w:tcPr>
            <w:tcW w:type="dxa" w:w="1440"/>
          </w:tcPr>
          <w:p>
            <w:r>
              <w:t>0.822-0.863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89.4 / 67.3*</w:t>
            </w:r>
          </w:p>
        </w:tc>
      </w:tr>
      <w:tr>
        <w:tc>
          <w:tcPr>
            <w:tcW w:type="dxa" w:w="1440"/>
          </w:tcPr>
          <w:p>
            <w:r>
              <w:t>DLCN</w:t>
            </w:r>
          </w:p>
        </w:tc>
        <w:tc>
          <w:tcPr>
            <w:tcW w:type="dxa" w:w="1440"/>
          </w:tcPr>
          <w:p>
            <w:r>
              <w:t>Wales</w:t>
            </w:r>
          </w:p>
        </w:tc>
        <w:tc>
          <w:tcPr>
            <w:tcW w:type="dxa" w:w="1440"/>
          </w:tcPr>
          <w:p>
            <w:r>
              <w:t>0.791</w:t>
            </w:r>
          </w:p>
        </w:tc>
        <w:tc>
          <w:tcPr>
            <w:tcW w:type="dxa" w:w="1440"/>
          </w:tcPr>
          <w:p>
            <w:r>
              <w:t>0.770-0.813</w:t>
            </w:r>
          </w:p>
        </w:tc>
        <w:tc>
          <w:tcPr>
            <w:tcW w:type="dxa" w:w="1440"/>
          </w:tcPr>
          <w:p>
            <w:r>
              <w:t>p&lt;0.001</w:t>
            </w:r>
          </w:p>
        </w:tc>
        <w:tc>
          <w:tcPr>
            <w:tcW w:type="dxa" w:w="1440"/>
          </w:tcPr>
          <w:p>
            <w:r>
              <w:t>88.5 / 72.1+</w:t>
            </w:r>
          </w:p>
        </w:tc>
      </w:tr>
      <w:tr>
        <w:tc>
          <w:tcPr>
            <w:tcW w:type="dxa" w:w="1440"/>
          </w:tcPr>
          <w:p>
            <w:r>
              <w:t>FAMCAT-approx</w:t>
            </w:r>
          </w:p>
        </w:tc>
        <w:tc>
          <w:tcPr>
            <w:tcW w:type="dxa" w:w="1440"/>
          </w:tcPr>
          <w:p>
            <w:r>
              <w:t>Wales</w:t>
            </w:r>
          </w:p>
        </w:tc>
        <w:tc>
          <w:tcPr>
            <w:tcW w:type="dxa" w:w="1440"/>
          </w:tcPr>
          <w:p>
            <w:r>
              <w:t>0.766</w:t>
            </w:r>
          </w:p>
        </w:tc>
        <w:tc>
          <w:tcPr>
            <w:tcW w:type="dxa" w:w="1440"/>
          </w:tcPr>
          <w:p>
            <w:r>
              <w:t>0.744-0.788</w:t>
            </w:r>
          </w:p>
        </w:tc>
        <w:tc>
          <w:tcPr>
            <w:tcW w:type="dxa" w:w="1440"/>
          </w:tcPr>
          <w:p>
            <w:r>
              <w:t>p=0.006</w:t>
            </w:r>
          </w:p>
        </w:tc>
        <w:tc>
          <w:tcPr>
            <w:tcW w:type="dxa" w:w="1440"/>
          </w:tcPr>
          <w:p>
            <w:r>
              <w:t>66.7 / 69.2*</w:t>
            </w:r>
          </w:p>
        </w:tc>
      </w:tr>
      <w:tr>
        <w:tc>
          <w:tcPr>
            <w:tcW w:type="dxa" w:w="1440"/>
          </w:tcPr>
          <w:p>
            <w:r>
              <w:t>TUDOR v2</w:t>
            </w:r>
          </w:p>
        </w:tc>
        <w:tc>
          <w:tcPr>
            <w:tcW w:type="dxa" w:w="1440"/>
          </w:tcPr>
          <w:p>
            <w:r>
              <w:t>UK Biobank</w:t>
            </w:r>
          </w:p>
        </w:tc>
        <w:tc>
          <w:tcPr>
            <w:tcW w:type="dxa" w:w="1440"/>
          </w:tcPr>
          <w:p>
            <w:r>
              <w:t>0.750</w:t>
            </w:r>
          </w:p>
        </w:tc>
        <w:tc>
          <w:tcPr>
            <w:tcW w:type="dxa" w:w="1440"/>
          </w:tcPr>
          <w:p>
            <w:r>
              <w:t>0.731-0.770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59.7 / 79.3</w:t>
            </w:r>
          </w:p>
        </w:tc>
      </w:tr>
      <w:tr>
        <w:tc>
          <w:tcPr>
            <w:tcW w:type="dxa" w:w="1440"/>
          </w:tcPr>
          <w:p>
            <w:r>
              <w:t>eDLCN</w:t>
            </w:r>
          </w:p>
        </w:tc>
        <w:tc>
          <w:tcPr>
            <w:tcW w:type="dxa" w:w="1440"/>
          </w:tcPr>
          <w:p>
            <w:r>
              <w:t>UK Biobank</w:t>
            </w:r>
          </w:p>
        </w:tc>
        <w:tc>
          <w:tcPr>
            <w:tcW w:type="dxa" w:w="1440"/>
          </w:tcPr>
          <w:p>
            <w:r>
              <w:t>0.636</w:t>
            </w:r>
          </w:p>
        </w:tc>
        <w:tc>
          <w:tcPr>
            <w:tcW w:type="dxa" w:w="1440"/>
          </w:tcPr>
          <w:p>
            <w:r>
              <w:t>0.609-0.663</w:t>
            </w:r>
          </w:p>
        </w:tc>
        <w:tc>
          <w:tcPr>
            <w:tcW w:type="dxa" w:w="1440"/>
          </w:tcPr>
          <w:p>
            <w:r>
              <w:t>p=6.73x10^-24</w:t>
            </w:r>
          </w:p>
        </w:tc>
        <w:tc>
          <w:tcPr>
            <w:tcW w:type="dxa" w:w="1440"/>
          </w:tcPr>
          <w:p>
            <w:r>
              <w:t>5.2 / 96.1</w:t>
            </w:r>
          </w:p>
        </w:tc>
      </w:tr>
      <w:tr>
        <w:tc>
          <w:tcPr>
            <w:tcW w:type="dxa" w:w="1440"/>
          </w:tcPr>
          <w:p>
            <w:r>
              <w:t>TUDOR + ApoB ratio</w:t>
            </w:r>
          </w:p>
        </w:tc>
        <w:tc>
          <w:tcPr>
            <w:tcW w:type="dxa" w:w="1440"/>
          </w:tcPr>
          <w:p>
            <w:r>
              <w:t>UK Biobank</w:t>
            </w:r>
          </w:p>
        </w:tc>
        <w:tc>
          <w:tcPr>
            <w:tcW w:type="dxa" w:w="1440"/>
          </w:tcPr>
          <w:p>
            <w:r>
              <w:t>0.771</w:t>
            </w:r>
          </w:p>
        </w:tc>
        <w:tc>
          <w:tcPr>
            <w:tcW w:type="dxa" w:w="1440"/>
          </w:tcPr>
          <w:p>
            <w:r>
              <w:t>0.753-0.789</w:t>
            </w:r>
          </w:p>
        </w:tc>
        <w:tc>
          <w:tcPr>
            <w:tcW w:type="dxa" w:w="1440"/>
          </w:tcPr>
          <w:p>
            <w:r>
              <w:t>p=3.99x10^-5</w:t>
            </w:r>
          </w:p>
        </w:tc>
        <w:tc>
          <w:tcPr>
            <w:tcW w:type="dxa" w:w="1440"/>
          </w:tcPr>
          <w:p>
            <w:r>
              <w:t>64.1 / 78.8</w:t>
            </w:r>
          </w:p>
        </w:tc>
      </w:tr>
    </w:tbl>
    <w:p>
      <w:r>
        <w:rPr>
          <w:rFonts w:ascii="Cambria" w:hAnsi="Cambria"/>
          <w:i/>
          <w:sz w:val="22"/>
        </w:rPr>
        <w:t>* cascade relatives only ; + index cases</w:t>
      </w:r>
    </w:p>
    <w:p>
      <w:pPr>
        <w:pStyle w:val="Heading3"/>
      </w:pPr>
      <w:r>
        <w:rPr>
          <w:rFonts w:ascii="Cambria" w:hAnsi="Cambria"/>
        </w:rPr>
        <w:t>Table 3. CV mortality by LDL decile (UKB; n = 58,021)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Decile</w:t>
            </w:r>
          </w:p>
        </w:tc>
        <w:tc>
          <w:tcPr>
            <w:tcW w:type="dxa" w:w="1728"/>
          </w:tcPr>
          <w:p>
            <w:r>
              <w:t>Mean LDL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IHD deaths</w:t>
            </w:r>
          </w:p>
        </w:tc>
        <w:tc>
          <w:tcPr>
            <w:tcW w:type="dxa" w:w="1728"/>
          </w:tcPr>
          <w:p>
            <w:r>
              <w:t>Stroke deaths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5,802</w:t>
            </w:r>
          </w:p>
        </w:tc>
        <w:tc>
          <w:tcPr>
            <w:tcW w:type="dxa" w:w="1728"/>
          </w:tcPr>
          <w:p>
            <w:r>
              <w:t>38 (0.65%)</w:t>
            </w:r>
          </w:p>
        </w:tc>
        <w:tc>
          <w:tcPr>
            <w:tcW w:type="dxa" w:w="1728"/>
          </w:tcPr>
          <w:p>
            <w:r>
              <w:t>52 (0.90%)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5,802</w:t>
            </w:r>
          </w:p>
        </w:tc>
        <w:tc>
          <w:tcPr>
            <w:tcW w:type="dxa" w:w="1728"/>
          </w:tcPr>
          <w:p>
            <w:r>
              <w:t>69 (1.19%)</w:t>
            </w:r>
          </w:p>
        </w:tc>
        <w:tc>
          <w:tcPr>
            <w:tcW w:type="dxa" w:w="1728"/>
          </w:tcPr>
          <w:p>
            <w:r>
              <w:t>41 (0.71%)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7.8</w:t>
            </w:r>
          </w:p>
        </w:tc>
        <w:tc>
          <w:tcPr>
            <w:tcW w:type="dxa" w:w="1728"/>
          </w:tcPr>
          <w:p>
            <w:r>
              <w:t>5,802</w:t>
            </w:r>
          </w:p>
        </w:tc>
        <w:tc>
          <w:tcPr>
            <w:tcW w:type="dxa" w:w="1728"/>
          </w:tcPr>
          <w:p>
            <w:r>
              <w:t>102 (1.76%)</w:t>
            </w:r>
          </w:p>
        </w:tc>
        <w:tc>
          <w:tcPr>
            <w:tcW w:type="dxa" w:w="1728"/>
          </w:tcPr>
          <w:p>
            <w:r>
              <w:t>20 (0.34%)</w:t>
            </w:r>
          </w:p>
        </w:tc>
      </w:tr>
    </w:tbl>
    <w:p>
      <w:r>
        <w:rPr>
          <w:rFonts w:ascii="Cambria" w:hAnsi="Cambria"/>
          <w:i/>
          <w:sz w:val="22"/>
        </w:rPr>
        <w:t>IHD logistic OR/decile 1.036 (1.008-1.065), p = 0.011. Stroke OR 0.931 (p &lt; 0.001). All-CV OR 1.012 (p = 0.14).</w:t>
      </w:r>
    </w:p>
    <w:p>
      <w:pPr>
        <w:pStyle w:val="Heading3"/>
      </w:pPr>
      <w:r>
        <w:rPr>
          <w:rFonts w:ascii="Cambria" w:hAnsi="Cambria"/>
        </w:rPr>
        <w:t>Table 4. T2DM ascertainment -- three-definition concordance and Trig_Filter attenuation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Prevalence</w:t>
            </w:r>
          </w:p>
        </w:tc>
        <w:tc>
          <w:tcPr>
            <w:tcW w:type="dxa" w:w="1728"/>
          </w:tcPr>
          <w:p>
            <w:r>
              <w:t>beta</w:t>
            </w:r>
          </w:p>
        </w:tc>
        <w:tc>
          <w:tcPr>
            <w:tcW w:type="dxa" w:w="1728"/>
          </w:tcPr>
          <w:p>
            <w:r>
              <w:t>95% CI</w:t>
            </w:r>
          </w:p>
        </w:tc>
        <w:tc>
          <w:tcPr>
            <w:tcW w:type="dxa" w:w="1728"/>
          </w:tcPr>
          <w:p>
            <w:r>
              <w:t>P</w:t>
            </w:r>
          </w:p>
        </w:tc>
      </w:tr>
      <w:tr>
        <w:tc>
          <w:tcPr>
            <w:tcW w:type="dxa" w:w="1728"/>
          </w:tcPr>
          <w:p>
            <w:r>
              <w:t>A: Self-report (p2443)</w:t>
            </w:r>
          </w:p>
        </w:tc>
        <w:tc>
          <w:tcPr>
            <w:tcW w:type="dxa" w:w="1728"/>
          </w:tcPr>
          <w:p>
            <w:r>
              <w:t>1.9% (n=1,102)</w:t>
            </w:r>
          </w:p>
        </w:tc>
        <w:tc>
          <w:tcPr>
            <w:tcW w:type="dxa" w:w="1728"/>
          </w:tcPr>
          <w:p>
            <w:r>
              <w:t>-0.484</w:t>
            </w:r>
          </w:p>
        </w:tc>
        <w:tc>
          <w:tcPr>
            <w:tcW w:type="dxa" w:w="1728"/>
          </w:tcPr>
          <w:p>
            <w:r>
              <w:t>-0.611 to -0.357</w:t>
            </w:r>
          </w:p>
        </w:tc>
        <w:tc>
          <w:tcPr>
            <w:tcW w:type="dxa" w:w="1728"/>
          </w:tcPr>
          <w:p>
            <w:r>
              <w:t>8.4x10^-13</w:t>
            </w:r>
          </w:p>
        </w:tc>
      </w:tr>
      <w:tr>
        <w:tc>
          <w:tcPr>
            <w:tcW w:type="dxa" w:w="1728"/>
          </w:tcPr>
          <w:p>
            <w:r>
              <w:t>B: ICD-10 E11</w:t>
            </w:r>
          </w:p>
        </w:tc>
        <w:tc>
          <w:tcPr>
            <w:tcW w:type="dxa" w:w="1728"/>
          </w:tcPr>
          <w:p>
            <w:r>
              <w:t>5.6% (n=3,249)</w:t>
            </w:r>
          </w:p>
        </w:tc>
        <w:tc>
          <w:tcPr>
            <w:tcW w:type="dxa" w:w="1728"/>
          </w:tcPr>
          <w:p>
            <w:r>
              <w:t>-0.473</w:t>
            </w:r>
          </w:p>
        </w:tc>
        <w:tc>
          <w:tcPr>
            <w:tcW w:type="dxa" w:w="1728"/>
          </w:tcPr>
          <w:p>
            <w:r>
              <w:t>-0.559 to -0.387</w:t>
            </w:r>
          </w:p>
        </w:tc>
        <w:tc>
          <w:tcPr>
            <w:tcW w:type="dxa" w:w="1728"/>
          </w:tcPr>
          <w:p>
            <w:r>
              <w:t>8.2x10^-27</w:t>
            </w:r>
          </w:p>
        </w:tc>
      </w:tr>
      <w:tr>
        <w:tc>
          <w:tcPr>
            <w:tcW w:type="dxa" w:w="1728"/>
          </w:tcPr>
          <w:p>
            <w:r>
              <w:t>C: HbA1c &gt;= 48 mmol/mol</w:t>
            </w:r>
          </w:p>
        </w:tc>
        <w:tc>
          <w:tcPr>
            <w:tcW w:type="dxa" w:w="1728"/>
          </w:tcPr>
          <w:p>
            <w:r>
              <w:t>1.5% (n=870)</w:t>
            </w:r>
          </w:p>
        </w:tc>
        <w:tc>
          <w:tcPr>
            <w:tcW w:type="dxa" w:w="1728"/>
          </w:tcPr>
          <w:p>
            <w:r>
              <w:t>-0.658</w:t>
            </w:r>
          </w:p>
        </w:tc>
        <w:tc>
          <w:tcPr>
            <w:tcW w:type="dxa" w:w="1728"/>
          </w:tcPr>
          <w:p>
            <w:r>
              <w:t>-0.793 to -0.523</w:t>
            </w:r>
          </w:p>
        </w:tc>
        <w:tc>
          <w:tcPr>
            <w:tcW w:type="dxa" w:w="1728"/>
          </w:tcPr>
          <w:p>
            <w:r>
              <w:t>1.1x10^-29</w:t>
            </w:r>
          </w:p>
        </w:tc>
      </w:tr>
    </w:tbl>
    <w:p>
      <w:r>
        <w:rPr>
          <w:rFonts w:ascii="Cambria" w:hAnsi="Cambria"/>
          <w:i/>
          <w:sz w:val="22"/>
        </w:rPr>
        <w:t>All adjusted age/sex/BMI/alcohol. kappa pairwise: A-B 0.281; A-C 0.358; B-C 0.299. HbA1c dose-response Trig_Filter: 2.74 (normo) -&gt; 2.31 (IFG) -&gt; 1.82 (diabetes).</w:t>
      </w:r>
    </w:p>
    <w:p>
      <w:pPr>
        <w:pStyle w:val="Heading3"/>
      </w:pPr>
      <w:r>
        <w:rPr>
          <w:rFonts w:ascii="Cambria" w:hAnsi="Cambria"/>
        </w:rPr>
        <w:t>Table 5. Three-tier clinical decision pathway (R2.2 addition -- proposed rename from Table 4)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TUDOR band</w:t>
            </w:r>
          </w:p>
        </w:tc>
        <w:tc>
          <w:tcPr>
            <w:tcW w:type="dxa" w:w="2880"/>
          </w:tcPr>
          <w:p>
            <w:r>
              <w:t>Clinical action</w:t>
            </w:r>
          </w:p>
        </w:tc>
        <w:tc>
          <w:tcPr>
            <w:tcW w:type="dxa" w:w="2880"/>
          </w:tcPr>
          <w:p>
            <w:r>
              <w:t>Genetic-testing indication</w:t>
            </w:r>
          </w:p>
        </w:tc>
      </w:tr>
      <w:tr>
        <w:tc>
          <w:tcPr>
            <w:tcW w:type="dxa" w:w="2880"/>
          </w:tcPr>
          <w:p>
            <w:r>
              <w:t>Low (&lt;25%)</w:t>
            </w:r>
          </w:p>
        </w:tc>
        <w:tc>
          <w:tcPr>
            <w:tcW w:type="dxa" w:w="2880"/>
          </w:tcPr>
          <w:p>
            <w:r>
              <w:t>Reassurance; standard lipid management</w:t>
            </w:r>
          </w:p>
        </w:tc>
        <w:tc>
          <w:tcPr>
            <w:tcW w:type="dxa" w:w="2880"/>
          </w:tcPr>
          <w:p>
            <w:r>
              <w:t>Not routinely indicated</w:t>
            </w:r>
          </w:p>
        </w:tc>
      </w:tr>
      <w:tr>
        <w:tc>
          <w:tcPr>
            <w:tcW w:type="dxa" w:w="2880"/>
          </w:tcPr>
          <w:p>
            <w:r>
              <w:t>Intermediate (25-75%)</w:t>
            </w:r>
          </w:p>
        </w:tc>
        <w:tc>
          <w:tcPr>
            <w:tcW w:type="dxa" w:w="2880"/>
          </w:tcPr>
          <w:p>
            <w:r>
              <w:t>Detailed review; secondary-cause work-up; intensify LLT</w:t>
            </w:r>
          </w:p>
        </w:tc>
        <w:tc>
          <w:tcPr>
            <w:tcW w:type="dxa" w:w="2880"/>
          </w:tcPr>
          <w:p>
            <w:r>
              <w:t>Discuss; consider after adherence-stable re-evaluation</w:t>
            </w:r>
          </w:p>
        </w:tc>
      </w:tr>
      <w:tr>
        <w:tc>
          <w:tcPr>
            <w:tcW w:type="dxa" w:w="2880"/>
          </w:tcPr>
          <w:p>
            <w:r>
              <w:t>High (&gt;75%)</w:t>
            </w:r>
          </w:p>
        </w:tc>
        <w:tc>
          <w:tcPr>
            <w:tcW w:type="dxa" w:w="2880"/>
          </w:tcPr>
          <w:p>
            <w:r>
              <w:t>Specialist lipid-clinic referral; treat as probable FH</w:t>
            </w:r>
          </w:p>
        </w:tc>
        <w:tc>
          <w:tcPr>
            <w:tcW w:type="dxa" w:w="2880"/>
          </w:tcPr>
          <w:p>
            <w:r>
              <w:t>Targeted-panel or WES; initiate cascade screening of FDR</w:t>
            </w:r>
          </w:p>
        </w:tc>
      </w:tr>
    </w:tbl>
    <w:p>
      <w:pPr>
        <w:pStyle w:val="Heading1"/>
      </w:pPr>
      <w:r>
        <w:rPr>
          <w:rFonts w:ascii="Cambria" w:hAnsi="Cambria"/>
        </w:rPr>
        <w:t>Items I would flag before you upload</w:t>
      </w:r>
    </w:p>
    <w:p>
      <w:pPr>
        <w:pStyle w:val="ListNumber"/>
      </w:pPr>
      <w:r>
        <w:rPr>
          <w:rFonts w:ascii="Cambria" w:hAnsi="Cambria"/>
          <w:b/>
          <w:sz w:val="22"/>
        </w:rPr>
        <w:t xml:space="preserve">Table 4 numbering collision. </w:t>
      </w:r>
      <w:r>
        <w:rPr>
          <w:rFonts w:ascii="Cambria" w:hAnsi="Cambria"/>
          <w:sz w:val="22"/>
        </w:rPr>
        <w:t>Two tables share the label "Table 4" -- the T2DM concordance table (original v4) and the new three-tier decision pathway table (R2.2 addition). Rename the new one to Table 5 in both caption and in the section 4.7 prose reference.</w:t>
      </w:r>
    </w:p>
    <w:p>
      <w:pPr>
        <w:pStyle w:val="ListNumber"/>
      </w:pPr>
      <w:r>
        <w:rPr>
          <w:rFonts w:ascii="Cambria" w:hAnsi="Cambria"/>
          <w:b/>
          <w:sz w:val="22"/>
        </w:rPr>
        <w:t xml:space="preserve">Section 4.7 reads thrice. </w:t>
      </w:r>
      <w:r>
        <w:rPr>
          <w:rFonts w:ascii="Cambria" w:hAnsi="Cambria"/>
          <w:sz w:val="22"/>
        </w:rPr>
        <w:t>The original v4 three-tier paragraph was retained per no-deletion rule, plus two new paragraphs inserted ahead. All three describe the same framework. Strictly rule-compliant, but reads redundantly. Suggest trimming the original v4 paragraph to a single sentence linking to Table 5.</w:t>
      </w:r>
    </w:p>
    <w:p>
      <w:pPr>
        <w:pStyle w:val="ListNumber"/>
      </w:pPr>
      <w:r>
        <w:rPr>
          <w:rFonts w:ascii="Cambria" w:hAnsi="Cambria"/>
          <w:b/>
          <w:sz w:val="22"/>
        </w:rPr>
        <w:t xml:space="preserve">Table 4 (decision pathway) is appended at the end of the document. </w:t>
      </w:r>
      <w:r>
        <w:rPr>
          <w:rFonts w:ascii="Cambria" w:hAnsi="Cambria"/>
          <w:sz w:val="22"/>
        </w:rPr>
        <w:t>Drag it into Section 4.7 in Word (10 seconds).</w:t>
      </w:r>
    </w:p>
    <w:p>
      <w:pPr>
        <w:pStyle w:val="ListNumber"/>
      </w:pPr>
      <w:r>
        <w:rPr>
          <w:rFonts w:ascii="Cambria" w:hAnsi="Cambria"/>
          <w:b/>
          <w:sz w:val="22"/>
        </w:rPr>
        <w:t xml:space="preserve">Discussion synthesis opener sits between heading 4 and 4.1. </w:t>
      </w:r>
      <w:r>
        <w:rPr>
          <w:rFonts w:ascii="Cambria" w:hAnsi="Cambria"/>
          <w:sz w:val="22"/>
        </w:rPr>
        <w:t>Intended placement per R2.5 -- confirm it reads as you expect.</w:t>
      </w:r>
    </w:p>
    <w:p>
      <w:pPr>
        <w:pStyle w:val="ListNumber"/>
      </w:pPr>
      <w:r>
        <w:rPr>
          <w:rFonts w:ascii="Cambria" w:hAnsi="Cambria"/>
          <w:b/>
          <w:sz w:val="22"/>
        </w:rPr>
        <w:t xml:space="preserve">References 51-55 in bibliography. </w:t>
      </w:r>
      <w:r>
        <w:rPr>
          <w:rFonts w:ascii="Cambria" w:hAnsi="Cambria"/>
          <w:sz w:val="22"/>
        </w:rPr>
        <w:t>Final cross-check that all are cited inline in the body before submission.</w:t>
      </w:r>
    </w:p>
    <w:p>
      <w:r>
        <w:rPr>
          <w:rFonts w:ascii="Cambria" w:hAnsi="Cambria"/>
          <w:b/>
          <w:i/>
          <w:sz w:val="22"/>
        </w:rPr>
        <w:t>None of these touch any numerical claim. All are editorial fixes resolvable in Word in under five minutes.</w:t>
      </w:r>
    </w:p>
    <w:p>
      <w:pPr>
        <w:pStyle w:val="Heading2"/>
      </w:pPr>
      <w:r>
        <w:rPr>
          <w:rFonts w:ascii="Cambria" w:hAnsi="Cambria"/>
        </w:rPr>
        <w:t>Legend used in this review document</w:t>
      </w:r>
    </w:p>
    <w:p>
      <w:r>
        <w:rPr>
          <w:rFonts w:ascii="Cambria" w:hAnsi="Cambria"/>
          <w:i/>
          <w:sz w:val="22"/>
        </w:rPr>
        <w:t xml:space="preserve">Italic green text = </w:t>
      </w:r>
      <w:r>
        <w:rPr>
          <w:rFonts w:ascii="Cambria" w:hAnsi="Cambria"/>
          <w:i/>
          <w:color w:val="106E10"/>
          <w:sz w:val="22"/>
        </w:rPr>
        <w:t>paragraph inserted in v5 (was not in v4).</w:t>
      </w:r>
    </w:p>
    <w:p>
      <w:r>
        <w:rPr>
          <w:rFonts w:ascii="Cambria" w:hAnsi="Cambria"/>
          <w:i/>
          <w:sz w:val="22"/>
        </w:rPr>
        <w:t xml:space="preserve">Blue bold tag [R2.x] = </w:t>
      </w:r>
      <w:r>
        <w:rPr>
          <w:rFonts w:ascii="Cambria" w:hAnsi="Cambria"/>
          <w:i/>
          <w:color w:val="1F77B4"/>
          <w:sz w:val="22"/>
        </w:rPr>
        <w:t>which Reviewer #2 item this insertion addresses.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