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C403" w14:textId="77777777" w:rsidR="00482BD1" w:rsidRPr="00482BD1" w:rsidRDefault="00482BD1" w:rsidP="00482BD1">
      <w:r w:rsidRPr="00482BD1">
        <w:t>March 20, 2026</w:t>
      </w:r>
    </w:p>
    <w:p w14:paraId="11CF4ECE" w14:textId="77777777" w:rsidR="00482BD1" w:rsidRPr="00482BD1" w:rsidRDefault="00482BD1" w:rsidP="00482BD1">
      <w:r w:rsidRPr="00482BD1">
        <w:t>Alphafold 3 , fold x , rosseta x, chimera , Familial hypercholesterolemia, ldlr , drug resistance, vus</w:t>
      </w:r>
    </w:p>
    <w:p w14:paraId="590EF2A7" w14:textId="77777777" w:rsidR="00482BD1" w:rsidRPr="00482BD1" w:rsidRDefault="00482BD1" w:rsidP="00482BD1">
      <w:pPr>
        <w:rPr>
          <w:b/>
          <w:bCs/>
        </w:rPr>
      </w:pPr>
      <w:r w:rsidRPr="00482BD1">
        <w:rPr>
          <w:b/>
          <w:bCs/>
        </w:rPr>
        <w:t>Among computational structural biology tools applied to LDLR variants in familial hypercholesterolemia, AlphaFold 2 and FoldX were used but performed worse than sequence-based models for predicting pathogenicity, Chimera was employed for structural visualization, Rosetta was not reported in any of the 25 studies reviewed, and while these computational approaches achieved up to 79% success in reclassifying variants of uncertain significance when combined with functional assays, predicting drug resistance required functional characterization beyond structural modeling because resistance mechanisms like altered receptor recycling cannot be reliably inferred from structure alone.</w:t>
      </w:r>
    </w:p>
    <w:p w14:paraId="2D7FDBE4" w14:textId="77777777" w:rsidR="00482BD1" w:rsidRPr="00482BD1" w:rsidRDefault="00482BD1" w:rsidP="00482BD1">
      <w:pPr>
        <w:rPr>
          <w:b/>
          <w:bCs/>
        </w:rPr>
      </w:pPr>
      <w:r w:rsidRPr="00482BD1">
        <w:rPr>
          <w:b/>
          <w:bCs/>
        </w:rPr>
        <w:t>Abstract</w:t>
      </w:r>
    </w:p>
    <w:p w14:paraId="1D2390E6" w14:textId="77777777" w:rsidR="00482BD1" w:rsidRPr="00482BD1" w:rsidRDefault="00482BD1" w:rsidP="00482BD1">
      <w:r w:rsidRPr="00482BD1">
        <w:t>Among computational structural biology tools applied to LDLR variants in familial hypercholesterolemia, AlphaFold 2 demonstrated structural prediction capabilities but performed poorly at predicting variant pathogenicity, while sequence-based deep learning models ESM and EVE showed stronger correlations with both experimental LDL uptake assays and clinical phenotypes. Traditional tools including FoldX for stability analysis, Chimera for structural simulation, and various molecular dynamics approaches were widely employed, though Rosetta was not mentioned in any of the 25 studies reviewed. Validation studies revealed that computational predictions achieved 96% accuracy for some variant sets but failed to predict 80% of variants correctly in others, with best performance for variants causing gross structural disruption and poorest performance for subtle missense variants with non-canonical mechanisms like altered receptor recycling. For VUS reclassification, integration of functional assays with computational predictions successfully reclassified 79% (112/142) of uncertain variants, with functional activity groups proving more clinically actionable than binary classifications by directly predicting cardiovascular risk (OR=6.1 for loss-of-function variants) and treatment requirements. Drug resistance patterns showed that null LDLR variants responded poorly to statins alone, requiring combination therapies including PCSK9 inhibitors, ezetimibe, and advanced agents, while specific variants like LDLR-R410S demonstrated resistance to PCSK9 inhibition through altered recycling mechanisms. Large-scale functional mapping of approximately 17,000 missense variants provided evidence-based classifications that correlated with clinical phenotypes and augmented polygenic risk scores, suggesting that comprehensive functional characterization may be more effective than relying solely on structural modeling for clinical variant interpretation.</w:t>
      </w:r>
    </w:p>
    <w:p w14:paraId="787A7D93" w14:textId="77777777" w:rsidR="00482BD1" w:rsidRPr="00482BD1" w:rsidRDefault="00482BD1" w:rsidP="00482BD1">
      <w:r w:rsidRPr="00482BD1">
        <w:lastRenderedPageBreak/>
        <w:t>We analyzed 25 sources from an initial pool of 500, using 8 screening criteria. Each paper was reviewed for 8 key aspects that mattered most to the research question. More on methods</w:t>
      </w:r>
    </w:p>
    <w:p w14:paraId="0E306F2F" w14:textId="77777777" w:rsidR="00482BD1" w:rsidRPr="00482BD1" w:rsidRDefault="00482BD1" w:rsidP="00482BD1">
      <w:pPr>
        <w:rPr>
          <w:b/>
          <w:bCs/>
        </w:rPr>
      </w:pPr>
      <w:r w:rsidRPr="00482BD1">
        <w:rPr>
          <w:b/>
          <w:bCs/>
        </w:rPr>
        <w:t>Results</w:t>
      </w:r>
    </w:p>
    <w:p w14:paraId="73261E6F" w14:textId="77777777" w:rsidR="00482BD1" w:rsidRPr="00482BD1" w:rsidRDefault="00482BD1" w:rsidP="00482BD1">
      <w:pPr>
        <w:rPr>
          <w:b/>
          <w:bCs/>
        </w:rPr>
      </w:pPr>
      <w:r w:rsidRPr="00482BD1">
        <w:rPr>
          <w:b/>
          <w:bCs/>
        </w:rPr>
        <w:t>Characteristics of included studies</w:t>
      </w:r>
    </w:p>
    <w:p w14:paraId="186A89A7" w14:textId="77777777" w:rsidR="00482BD1" w:rsidRPr="00482BD1" w:rsidRDefault="00482BD1" w:rsidP="00482BD1">
      <w:r w:rsidRPr="00482BD1">
        <w:t>The review included 25 studies examining computational structural biology approaches to analyze LDLR variants in familial hypercholesterolemia. Studies varied in their methodological approaches, from purely computational predictions to integrated computational-experimental designs.</w:t>
      </w:r>
    </w:p>
    <w:p w14:paraId="4A2F92ED" w14:textId="77777777" w:rsidR="00482BD1" w:rsidRPr="00482BD1" w:rsidRDefault="00482BD1" w:rsidP="00482BD1">
      <w:r w:rsidRPr="00482BD1">
        <w:t>Jose K. James et al., 2023</w:t>
      </w:r>
    </w:p>
    <w:p w14:paraId="1E245DF9" w14:textId="77777777" w:rsidR="00482BD1" w:rsidRPr="00482BD1" w:rsidRDefault="00482BD1" w:rsidP="00482BD1">
      <w:r w:rsidRPr="00482BD1">
        <w:t>No</w:t>
      </w:r>
    </w:p>
    <w:p w14:paraId="7435E50F" w14:textId="77777777" w:rsidR="00482BD1" w:rsidRPr="00482BD1" w:rsidRDefault="00482BD1" w:rsidP="00482BD1">
      <w:r w:rsidRPr="00482BD1">
        <w:t>Computational comparison</w:t>
      </w:r>
    </w:p>
    <w:p w14:paraId="52A154DA" w14:textId="77777777" w:rsidR="00482BD1" w:rsidRPr="00482BD1" w:rsidRDefault="00482BD1" w:rsidP="00482BD1">
      <w:r w:rsidRPr="00482BD1">
        <w:t>Deep generative models (EVE, ESM, AF2) for variant pathogenicity prediction</w:t>
      </w:r>
    </w:p>
    <w:p w14:paraId="12411853" w14:textId="77777777" w:rsidR="00482BD1" w:rsidRPr="00482BD1" w:rsidRDefault="00482BD1" w:rsidP="00482BD1">
      <w:r w:rsidRPr="00482BD1">
        <w:t>Not specified</w:t>
      </w:r>
    </w:p>
    <w:p w14:paraId="664ED58F" w14:textId="77777777" w:rsidR="00482BD1" w:rsidRPr="00482BD1" w:rsidRDefault="00482BD1" w:rsidP="00482BD1">
      <w:r w:rsidRPr="00482BD1">
        <w:t>Not specified</w:t>
      </w:r>
    </w:p>
    <w:p w14:paraId="7963ABA2" w14:textId="77777777" w:rsidR="00482BD1" w:rsidRPr="00482BD1" w:rsidRDefault="00482BD1" w:rsidP="00482BD1">
      <w:r w:rsidRPr="00482BD1">
        <w:t>E. Klee et al., 2019</w:t>
      </w:r>
    </w:p>
    <w:p w14:paraId="7FBC5A23" w14:textId="77777777" w:rsidR="00482BD1" w:rsidRPr="00482BD1" w:rsidRDefault="00482BD1" w:rsidP="00482BD1">
      <w:r w:rsidRPr="00482BD1">
        <w:t>Yes</w:t>
      </w:r>
    </w:p>
    <w:p w14:paraId="77DAED51" w14:textId="77777777" w:rsidR="00482BD1" w:rsidRPr="00482BD1" w:rsidRDefault="00482BD1" w:rsidP="00482BD1">
      <w:r w:rsidRPr="00482BD1">
        <w:t>Computational modeling</w:t>
      </w:r>
    </w:p>
    <w:p w14:paraId="24CF3F54" w14:textId="77777777" w:rsidR="00482BD1" w:rsidRPr="00482BD1" w:rsidRDefault="00482BD1" w:rsidP="00482BD1">
      <w:r w:rsidRPr="00482BD1">
        <w:t>Homology modeling of full-length LDLR</w:t>
      </w:r>
    </w:p>
    <w:p w14:paraId="3DBD3994" w14:textId="77777777" w:rsidR="00482BD1" w:rsidRPr="00482BD1" w:rsidRDefault="00482BD1" w:rsidP="00482BD1">
      <w:r w:rsidRPr="00482BD1">
        <w:t>1007 reported protein variants</w:t>
      </w:r>
    </w:p>
    <w:p w14:paraId="1F56C839" w14:textId="77777777" w:rsidR="00482BD1" w:rsidRPr="00482BD1" w:rsidRDefault="00482BD1" w:rsidP="00482BD1">
      <w:r w:rsidRPr="00482BD1">
        <w:t>Not specified</w:t>
      </w:r>
    </w:p>
    <w:p w14:paraId="5F4BE3EF" w14:textId="77777777" w:rsidR="00482BD1" w:rsidRPr="00482BD1" w:rsidRDefault="00482BD1" w:rsidP="00482BD1">
      <w:r w:rsidRPr="00482BD1">
        <w:t>Jiayan Guo et al., 2019</w:t>
      </w:r>
    </w:p>
    <w:p w14:paraId="7D742E9F" w14:textId="77777777" w:rsidR="00482BD1" w:rsidRPr="00482BD1" w:rsidRDefault="00482BD1" w:rsidP="00482BD1">
      <w:r w:rsidRPr="00482BD1">
        <w:t>No</w:t>
      </w:r>
    </w:p>
    <w:p w14:paraId="6D2D920E" w14:textId="77777777" w:rsidR="00482BD1" w:rsidRPr="00482BD1" w:rsidRDefault="00482BD1" w:rsidP="00482BD1">
      <w:r w:rsidRPr="00482BD1">
        <w:t>Computational prediction</w:t>
      </w:r>
    </w:p>
    <w:p w14:paraId="08490C84" w14:textId="77777777" w:rsidR="00482BD1" w:rsidRPr="00482BD1" w:rsidRDefault="00482BD1" w:rsidP="00482BD1">
      <w:r w:rsidRPr="00482BD1">
        <w:t>SFIP-MutID model development</w:t>
      </w:r>
    </w:p>
    <w:p w14:paraId="7571C6F1" w14:textId="77777777" w:rsidR="00482BD1" w:rsidRPr="00482BD1" w:rsidRDefault="00482BD1" w:rsidP="00482BD1">
      <w:r w:rsidRPr="00482BD1">
        <w:t>13,167 potential missense substitutions</w:t>
      </w:r>
    </w:p>
    <w:p w14:paraId="28EA0516" w14:textId="77777777" w:rsidR="00482BD1" w:rsidRPr="00482BD1" w:rsidRDefault="00482BD1" w:rsidP="00482BD1">
      <w:r w:rsidRPr="00482BD1">
        <w:t>Not specified</w:t>
      </w:r>
    </w:p>
    <w:p w14:paraId="34D1E872" w14:textId="77777777" w:rsidR="00482BD1" w:rsidRPr="00482BD1" w:rsidRDefault="00482BD1" w:rsidP="00482BD1">
      <w:r w:rsidRPr="00482BD1">
        <w:t>V. E. Angarica et al., 2016</w:t>
      </w:r>
    </w:p>
    <w:p w14:paraId="73CF33E1" w14:textId="77777777" w:rsidR="00482BD1" w:rsidRPr="00482BD1" w:rsidRDefault="00482BD1" w:rsidP="00482BD1">
      <w:r w:rsidRPr="00482BD1">
        <w:t>No</w:t>
      </w:r>
    </w:p>
    <w:p w14:paraId="6F06301A" w14:textId="77777777" w:rsidR="00482BD1" w:rsidRPr="00482BD1" w:rsidRDefault="00482BD1" w:rsidP="00482BD1">
      <w:r w:rsidRPr="00482BD1">
        <w:lastRenderedPageBreak/>
        <w:t>Molecular dynamics</w:t>
      </w:r>
    </w:p>
    <w:p w14:paraId="5B704EE7" w14:textId="77777777" w:rsidR="00482BD1" w:rsidRPr="00482BD1" w:rsidRDefault="00482BD1" w:rsidP="00482BD1">
      <w:r w:rsidRPr="00482BD1">
        <w:t>Complete SNP mutational space of LA5 domain</w:t>
      </w:r>
    </w:p>
    <w:p w14:paraId="7E8FDEB0" w14:textId="77777777" w:rsidR="00482BD1" w:rsidRPr="00482BD1" w:rsidRDefault="00482BD1" w:rsidP="00482BD1">
      <w:r w:rsidRPr="00482BD1">
        <w:t>227 mutants</w:t>
      </w:r>
    </w:p>
    <w:p w14:paraId="705EFFEB" w14:textId="77777777" w:rsidR="00482BD1" w:rsidRPr="00482BD1" w:rsidRDefault="00482BD1" w:rsidP="00482BD1">
      <w:r w:rsidRPr="00482BD1">
        <w:t>Not specified</w:t>
      </w:r>
    </w:p>
    <w:p w14:paraId="078CCF7D" w14:textId="77777777" w:rsidR="00482BD1" w:rsidRPr="00482BD1" w:rsidRDefault="00482BD1" w:rsidP="00482BD1">
      <w:r w:rsidRPr="00482BD1">
        <w:t>Thais Kristini Almendros Barbosa et al., 2022</w:t>
      </w:r>
    </w:p>
    <w:p w14:paraId="40009E4A" w14:textId="77777777" w:rsidR="00482BD1" w:rsidRPr="00482BD1" w:rsidRDefault="00482BD1" w:rsidP="00482BD1">
      <w:r w:rsidRPr="00482BD1">
        <w:t>No</w:t>
      </w:r>
    </w:p>
    <w:p w14:paraId="72C55957" w14:textId="77777777" w:rsidR="00482BD1" w:rsidRPr="00482BD1" w:rsidRDefault="00482BD1" w:rsidP="00482BD1">
      <w:r w:rsidRPr="00482BD1">
        <w:t>Integrated computational-experimental</w:t>
      </w:r>
    </w:p>
    <w:p w14:paraId="1801645B" w14:textId="77777777" w:rsidR="00482BD1" w:rsidRPr="00482BD1" w:rsidRDefault="00482BD1" w:rsidP="00482BD1">
      <w:r w:rsidRPr="00482BD1">
        <w:t>Molecular modeling with T-lymphocyte functional assays</w:t>
      </w:r>
    </w:p>
    <w:p w14:paraId="0873B361" w14:textId="77777777" w:rsidR="00482BD1" w:rsidRPr="00482BD1" w:rsidRDefault="00482BD1" w:rsidP="00482BD1">
      <w:r w:rsidRPr="00482BD1">
        <w:t>26 FH patients, 3 controls</w:t>
      </w:r>
    </w:p>
    <w:p w14:paraId="59B54C2E" w14:textId="77777777" w:rsidR="00482BD1" w:rsidRPr="00482BD1" w:rsidRDefault="00482BD1" w:rsidP="00482BD1">
      <w:r w:rsidRPr="00482BD1">
        <w:t>Brazilian</w:t>
      </w:r>
    </w:p>
    <w:p w14:paraId="1B38668B" w14:textId="77777777" w:rsidR="00482BD1" w:rsidRPr="00482BD1" w:rsidRDefault="00482BD1" w:rsidP="00482BD1">
      <w:r w:rsidRPr="00482BD1">
        <w:t>Augusto Akira Mori et al., 2023</w:t>
      </w:r>
    </w:p>
    <w:p w14:paraId="5DC29033" w14:textId="77777777" w:rsidR="00482BD1" w:rsidRPr="00482BD1" w:rsidRDefault="00482BD1" w:rsidP="00482BD1">
      <w:r w:rsidRPr="00482BD1">
        <w:t>No</w:t>
      </w:r>
    </w:p>
    <w:p w14:paraId="0C22ED17" w14:textId="77777777" w:rsidR="00482BD1" w:rsidRPr="00482BD1" w:rsidRDefault="00482BD1" w:rsidP="00482BD1">
      <w:r w:rsidRPr="00482BD1">
        <w:t>CRISPR/Cas9 validation</w:t>
      </w:r>
    </w:p>
    <w:p w14:paraId="32EE48CC" w14:textId="77777777" w:rsidR="00482BD1" w:rsidRPr="00482BD1" w:rsidRDefault="00482BD1" w:rsidP="00482BD1">
      <w:r w:rsidRPr="00482BD1">
        <w:t>Functional studies in transfected cells</w:t>
      </w:r>
    </w:p>
    <w:p w14:paraId="7A6B91D9" w14:textId="77777777" w:rsidR="00482BD1" w:rsidRPr="00482BD1" w:rsidRDefault="00482BD1" w:rsidP="00482BD1">
      <w:r w:rsidRPr="00482BD1">
        <w:t>287 FH, 45 non-FH patients</w:t>
      </w:r>
    </w:p>
    <w:p w14:paraId="0BC72693" w14:textId="77777777" w:rsidR="00482BD1" w:rsidRPr="00482BD1" w:rsidRDefault="00482BD1" w:rsidP="00482BD1">
      <w:r w:rsidRPr="00482BD1">
        <w:t>Not specified</w:t>
      </w:r>
    </w:p>
    <w:p w14:paraId="721F88E0" w14:textId="77777777" w:rsidR="00482BD1" w:rsidRPr="00482BD1" w:rsidRDefault="00482BD1" w:rsidP="00482BD1">
      <w:r w:rsidRPr="00482BD1">
        <w:t>Z. Awan et al., 2021</w:t>
      </w:r>
    </w:p>
    <w:p w14:paraId="3ED2F169" w14:textId="77777777" w:rsidR="00482BD1" w:rsidRPr="00482BD1" w:rsidRDefault="00482BD1" w:rsidP="00482BD1">
      <w:r w:rsidRPr="00482BD1">
        <w:t>Yes</w:t>
      </w:r>
    </w:p>
    <w:p w14:paraId="3D8422AF" w14:textId="77777777" w:rsidR="00482BD1" w:rsidRPr="00482BD1" w:rsidRDefault="00482BD1" w:rsidP="00482BD1">
      <w:r w:rsidRPr="00482BD1">
        <w:t>Family study with bioinformatics</w:t>
      </w:r>
    </w:p>
    <w:p w14:paraId="11336FBD" w14:textId="77777777" w:rsidR="00482BD1" w:rsidRPr="00482BD1" w:rsidRDefault="00482BD1" w:rsidP="00482BD1">
      <w:r w:rsidRPr="00482BD1">
        <w:t>Rare LDLR stop gain variant characterization</w:t>
      </w:r>
    </w:p>
    <w:p w14:paraId="7D52692B" w14:textId="77777777" w:rsidR="00482BD1" w:rsidRPr="00482BD1" w:rsidRDefault="00482BD1" w:rsidP="00482BD1">
      <w:r w:rsidRPr="00482BD1">
        <w:t>Two Saudi families plus 92 unrelated cases</w:t>
      </w:r>
    </w:p>
    <w:p w14:paraId="5D9989B6" w14:textId="77777777" w:rsidR="00482BD1" w:rsidRPr="00482BD1" w:rsidRDefault="00482BD1" w:rsidP="00482BD1">
      <w:r w:rsidRPr="00482BD1">
        <w:t>Saudi Arabian</w:t>
      </w:r>
    </w:p>
    <w:p w14:paraId="6644E4F4" w14:textId="77777777" w:rsidR="00482BD1" w:rsidRPr="00482BD1" w:rsidRDefault="00482BD1" w:rsidP="00482BD1">
      <w:r w:rsidRPr="00482BD1">
        <w:t>M. Athar et al., 2023</w:t>
      </w:r>
    </w:p>
    <w:p w14:paraId="7C105CAC" w14:textId="77777777" w:rsidR="00482BD1" w:rsidRPr="00482BD1" w:rsidRDefault="00482BD1" w:rsidP="00482BD1">
      <w:r w:rsidRPr="00482BD1">
        <w:t>Yes</w:t>
      </w:r>
    </w:p>
    <w:p w14:paraId="1AC0323D" w14:textId="77777777" w:rsidR="00482BD1" w:rsidRPr="00482BD1" w:rsidRDefault="00482BD1" w:rsidP="00482BD1">
      <w:r w:rsidRPr="00482BD1">
        <w:t>Novel variant identification</w:t>
      </w:r>
    </w:p>
    <w:p w14:paraId="5A541C75" w14:textId="77777777" w:rsidR="00482BD1" w:rsidRPr="00482BD1" w:rsidRDefault="00482BD1" w:rsidP="00482BD1">
      <w:r w:rsidRPr="00482BD1">
        <w:t>NGS-based identification with in silico characterization</w:t>
      </w:r>
    </w:p>
    <w:p w14:paraId="67D4AD96" w14:textId="77777777" w:rsidR="00482BD1" w:rsidRPr="00482BD1" w:rsidRDefault="00482BD1" w:rsidP="00482BD1">
      <w:r w:rsidRPr="00482BD1">
        <w:t>Saudi family (7 members)</w:t>
      </w:r>
    </w:p>
    <w:p w14:paraId="651441B6" w14:textId="77777777" w:rsidR="00482BD1" w:rsidRPr="00482BD1" w:rsidRDefault="00482BD1" w:rsidP="00482BD1">
      <w:r w:rsidRPr="00482BD1">
        <w:t>Saudi Arabian</w:t>
      </w:r>
    </w:p>
    <w:p w14:paraId="5529C460" w14:textId="77777777" w:rsidR="00482BD1" w:rsidRPr="00482BD1" w:rsidRDefault="00482BD1" w:rsidP="00482BD1">
      <w:r w:rsidRPr="00482BD1">
        <w:lastRenderedPageBreak/>
        <w:t>Delia Susan-Resiga et al., 2016</w:t>
      </w:r>
    </w:p>
    <w:p w14:paraId="3E5F67DF" w14:textId="77777777" w:rsidR="00482BD1" w:rsidRPr="00482BD1" w:rsidRDefault="00482BD1" w:rsidP="00482BD1">
      <w:r w:rsidRPr="00482BD1">
        <w:t>No</w:t>
      </w:r>
    </w:p>
    <w:p w14:paraId="6D20BD69" w14:textId="77777777" w:rsidR="00482BD1" w:rsidRPr="00482BD1" w:rsidRDefault="00482BD1" w:rsidP="00482BD1">
      <w:r w:rsidRPr="00482BD1">
        <w:t>Molecular dynamics</w:t>
      </w:r>
    </w:p>
    <w:p w14:paraId="1C0F5876" w14:textId="77777777" w:rsidR="00482BD1" w:rsidRPr="00482BD1" w:rsidRDefault="00482BD1" w:rsidP="00482BD1">
      <w:r w:rsidRPr="00482BD1">
        <w:t>Novel class 8 FH-causing mechanism</w:t>
      </w:r>
    </w:p>
    <w:p w14:paraId="13C16F53" w14:textId="77777777" w:rsidR="00482BD1" w:rsidRPr="00482BD1" w:rsidRDefault="00482BD1" w:rsidP="00482BD1">
      <w:r w:rsidRPr="00482BD1">
        <w:t>1 patient</w:t>
      </w:r>
    </w:p>
    <w:p w14:paraId="7ED88F6D" w14:textId="77777777" w:rsidR="00482BD1" w:rsidRPr="00482BD1" w:rsidRDefault="00482BD1" w:rsidP="00482BD1">
      <w:r w:rsidRPr="00482BD1">
        <w:t>Not specified</w:t>
      </w:r>
    </w:p>
    <w:p w14:paraId="5503455A" w14:textId="77777777" w:rsidR="00482BD1" w:rsidRPr="00482BD1" w:rsidRDefault="00482BD1" w:rsidP="00482BD1">
      <w:r w:rsidRPr="00482BD1">
        <w:t>Fahad Alnouri et al., 2018</w:t>
      </w:r>
    </w:p>
    <w:p w14:paraId="7988782A" w14:textId="77777777" w:rsidR="00482BD1" w:rsidRPr="00482BD1" w:rsidRDefault="00482BD1" w:rsidP="00482BD1">
      <w:r w:rsidRPr="00482BD1">
        <w:t>No</w:t>
      </w:r>
    </w:p>
    <w:p w14:paraId="0376E7BC" w14:textId="77777777" w:rsidR="00482BD1" w:rsidRPr="00482BD1" w:rsidRDefault="00482BD1" w:rsidP="00482BD1">
      <w:r w:rsidRPr="00482BD1">
        <w:t>Combined variant analysis</w:t>
      </w:r>
    </w:p>
    <w:p w14:paraId="03A4D02C" w14:textId="77777777" w:rsidR="00482BD1" w:rsidRPr="00482BD1" w:rsidRDefault="00482BD1" w:rsidP="00482BD1">
      <w:r w:rsidRPr="00482BD1">
        <w:t>Molecular dynamics simulation of LDLR/LDLRAP1 variants</w:t>
      </w:r>
    </w:p>
    <w:p w14:paraId="64D2D64A" w14:textId="77777777" w:rsidR="00482BD1" w:rsidRPr="00482BD1" w:rsidRDefault="00482BD1" w:rsidP="00482BD1">
      <w:r w:rsidRPr="00482BD1">
        <w:t>45-year-old female and children</w:t>
      </w:r>
    </w:p>
    <w:p w14:paraId="0773B877" w14:textId="77777777" w:rsidR="00482BD1" w:rsidRPr="00482BD1" w:rsidRDefault="00482BD1" w:rsidP="00482BD1">
      <w:r w:rsidRPr="00482BD1">
        <w:t>Saudi</w:t>
      </w:r>
    </w:p>
    <w:p w14:paraId="7D787010" w14:textId="77777777" w:rsidR="00482BD1" w:rsidRPr="00482BD1" w:rsidRDefault="00482BD1" w:rsidP="00482BD1">
      <w:r w:rsidRPr="00482BD1">
        <w:t>The studies represented diverse geographic populations including Saudi Arabian, Brazilian, Greek, Chilean, Chinese, Vietnamese, Omani Arab, and European populations. Sample sizes ranged from single patient case studies to large-scale analyses of over 17,000 variants. Most studies used family-based sampling approaches, though some employed population-based designs.</w:t>
      </w:r>
    </w:p>
    <w:p w14:paraId="107016EB" w14:textId="77777777" w:rsidR="00482BD1" w:rsidRPr="00482BD1" w:rsidRDefault="00482BD1" w:rsidP="00482BD1">
      <w:pPr>
        <w:rPr>
          <w:b/>
          <w:bCs/>
        </w:rPr>
      </w:pPr>
      <w:r w:rsidRPr="00482BD1">
        <w:rPr>
          <w:b/>
          <w:bCs/>
        </w:rPr>
        <w:t>Computational tools and methods used</w:t>
      </w:r>
    </w:p>
    <w:p w14:paraId="372BE7A6" w14:textId="77777777" w:rsidR="00482BD1" w:rsidRPr="00482BD1" w:rsidRDefault="00482BD1" w:rsidP="00482BD1">
      <w:r w:rsidRPr="00482BD1">
        <w:t>Studies employed diverse computational structural biology approaches to analyze LDLR variants, with notable heterogeneity in tool selection and methodology.</w:t>
      </w:r>
    </w:p>
    <w:p w14:paraId="2A62A093" w14:textId="77777777" w:rsidR="00482BD1" w:rsidRPr="00482BD1" w:rsidRDefault="00482BD1" w:rsidP="00482BD1">
      <w:r w:rsidRPr="00482BD1">
        <w:t>Jose K. James et al., 2023</w:t>
      </w:r>
    </w:p>
    <w:p w14:paraId="24B6F601" w14:textId="77777777" w:rsidR="00482BD1" w:rsidRPr="00482BD1" w:rsidRDefault="00482BD1" w:rsidP="00482BD1">
      <w:r w:rsidRPr="00482BD1">
        <w:t>AlphaFold 2</w:t>
      </w:r>
    </w:p>
    <w:p w14:paraId="1A084C99" w14:textId="77777777" w:rsidR="00482BD1" w:rsidRPr="00482BD1" w:rsidRDefault="00482BD1" w:rsidP="00482BD1">
      <w:r w:rsidRPr="00482BD1">
        <w:t>EVE, ESM</w:t>
      </w:r>
    </w:p>
    <w:p w14:paraId="4B6F40F4" w14:textId="77777777" w:rsidR="00482BD1" w:rsidRPr="00482BD1" w:rsidRDefault="00482BD1" w:rsidP="00482BD1">
      <w:r w:rsidRPr="00482BD1">
        <w:t>AF2 for stability changes</w:t>
      </w:r>
    </w:p>
    <w:p w14:paraId="061BB366" w14:textId="77777777" w:rsidR="00482BD1" w:rsidRPr="00482BD1" w:rsidRDefault="00482BD1" w:rsidP="00482BD1">
      <w:r w:rsidRPr="00482BD1">
        <w:t>Not mentioned</w:t>
      </w:r>
    </w:p>
    <w:p w14:paraId="6FBE12F7" w14:textId="77777777" w:rsidR="00482BD1" w:rsidRPr="00482BD1" w:rsidRDefault="00482BD1" w:rsidP="00482BD1">
      <w:r w:rsidRPr="00482BD1">
        <w:t>Comparison of deep generative models</w:t>
      </w:r>
    </w:p>
    <w:p w14:paraId="69EA6F6F" w14:textId="77777777" w:rsidR="00482BD1" w:rsidRPr="00482BD1" w:rsidRDefault="00482BD1" w:rsidP="00482BD1">
      <w:r w:rsidRPr="00482BD1">
        <w:t>E. Klee et al., 2019</w:t>
      </w:r>
    </w:p>
    <w:p w14:paraId="61C1F021" w14:textId="77777777" w:rsidR="00482BD1" w:rsidRPr="00482BD1" w:rsidRDefault="00482BD1" w:rsidP="00482BD1">
      <w:r w:rsidRPr="00482BD1">
        <w:t>Modeler 9.17</w:t>
      </w:r>
    </w:p>
    <w:p w14:paraId="68261706" w14:textId="77777777" w:rsidR="00482BD1" w:rsidRPr="00482BD1" w:rsidRDefault="00482BD1" w:rsidP="00482BD1">
      <w:r w:rsidRPr="00482BD1">
        <w:t>ConSurf server</w:t>
      </w:r>
    </w:p>
    <w:p w14:paraId="184E36BF" w14:textId="77777777" w:rsidR="00482BD1" w:rsidRPr="00482BD1" w:rsidRDefault="00482BD1" w:rsidP="00482BD1">
      <w:r w:rsidRPr="00482BD1">
        <w:lastRenderedPageBreak/>
        <w:t>Foldx 4</w:t>
      </w:r>
    </w:p>
    <w:p w14:paraId="0B96F0A4" w14:textId="77777777" w:rsidR="00482BD1" w:rsidRPr="00482BD1" w:rsidRDefault="00482BD1" w:rsidP="00482BD1">
      <w:r w:rsidRPr="00482BD1">
        <w:t>Not mentioned</w:t>
      </w:r>
    </w:p>
    <w:p w14:paraId="389A8059" w14:textId="77777777" w:rsidR="00482BD1" w:rsidRPr="00482BD1" w:rsidRDefault="00482BD1" w:rsidP="00482BD1">
      <w:r w:rsidRPr="00482BD1">
        <w:t>Homology modeling with mutagenesis</w:t>
      </w:r>
    </w:p>
    <w:p w14:paraId="1A3A95B9" w14:textId="77777777" w:rsidR="00482BD1" w:rsidRPr="00482BD1" w:rsidRDefault="00482BD1" w:rsidP="00482BD1">
      <w:r w:rsidRPr="00482BD1">
        <w:t>Jiayan Guo et al., 2019</w:t>
      </w:r>
    </w:p>
    <w:p w14:paraId="548EA74F" w14:textId="77777777" w:rsidR="00482BD1" w:rsidRPr="00482BD1" w:rsidRDefault="00482BD1" w:rsidP="00482BD1">
      <w:r w:rsidRPr="00482BD1">
        <w:t>SFIP-MutID model</w:t>
      </w:r>
    </w:p>
    <w:p w14:paraId="7FB55803" w14:textId="77777777" w:rsidR="00482BD1" w:rsidRPr="00482BD1" w:rsidRDefault="00482BD1" w:rsidP="00482BD1">
      <w:r w:rsidRPr="00482BD1">
        <w:t>SFIP-MutID</w:t>
      </w:r>
    </w:p>
    <w:p w14:paraId="6AFE74E1" w14:textId="77777777" w:rsidR="00482BD1" w:rsidRPr="00482BD1" w:rsidRDefault="00482BD1" w:rsidP="00482BD1">
      <w:r w:rsidRPr="00482BD1">
        <w:t>Not mentioned</w:t>
      </w:r>
    </w:p>
    <w:p w14:paraId="3ED6DD71" w14:textId="77777777" w:rsidR="00482BD1" w:rsidRPr="00482BD1" w:rsidRDefault="00482BD1" w:rsidP="00482BD1">
      <w:r w:rsidRPr="00482BD1">
        <w:t>Not mentioned</w:t>
      </w:r>
    </w:p>
    <w:p w14:paraId="53F9FBB6" w14:textId="77777777" w:rsidR="00482BD1" w:rsidRPr="00482BD1" w:rsidRDefault="00482BD1" w:rsidP="00482BD1">
      <w:r w:rsidRPr="00482BD1">
        <w:t>Structure-based prediction</w:t>
      </w:r>
    </w:p>
    <w:p w14:paraId="383A4FC8" w14:textId="77777777" w:rsidR="00482BD1" w:rsidRPr="00482BD1" w:rsidRDefault="00482BD1" w:rsidP="00482BD1">
      <w:r w:rsidRPr="00482BD1">
        <w:t>V. E. Angarica et al., 2016</w:t>
      </w:r>
    </w:p>
    <w:p w14:paraId="30137D41" w14:textId="77777777" w:rsidR="00482BD1" w:rsidRPr="00482BD1" w:rsidRDefault="00482BD1" w:rsidP="00482BD1">
      <w:r w:rsidRPr="00482BD1">
        <w:t>Not specified</w:t>
      </w:r>
    </w:p>
    <w:p w14:paraId="76B8F908" w14:textId="77777777" w:rsidR="00482BD1" w:rsidRPr="00482BD1" w:rsidRDefault="00482BD1" w:rsidP="00482BD1">
      <w:r w:rsidRPr="00482BD1">
        <w:t>Not specified</w:t>
      </w:r>
    </w:p>
    <w:p w14:paraId="3136A09E" w14:textId="77777777" w:rsidR="00482BD1" w:rsidRPr="00482BD1" w:rsidRDefault="00482BD1" w:rsidP="00482BD1">
      <w:r w:rsidRPr="00482BD1">
        <w:t>Atomistic simulations</w:t>
      </w:r>
    </w:p>
    <w:p w14:paraId="17BC98DB" w14:textId="77777777" w:rsidR="00482BD1" w:rsidRPr="00482BD1" w:rsidRDefault="00482BD1" w:rsidP="00482BD1">
      <w:r w:rsidRPr="00482BD1">
        <w:t>Atomistic simulations</w:t>
      </w:r>
    </w:p>
    <w:p w14:paraId="3940B9AA" w14:textId="77777777" w:rsidR="00482BD1" w:rsidRPr="00482BD1" w:rsidRDefault="00482BD1" w:rsidP="00482BD1">
      <w:r w:rsidRPr="00482BD1">
        <w:t>Comprehensive SNP screening</w:t>
      </w:r>
    </w:p>
    <w:p w14:paraId="031F79C4" w14:textId="77777777" w:rsidR="00482BD1" w:rsidRPr="00482BD1" w:rsidRDefault="00482BD1" w:rsidP="00482BD1">
      <w:r w:rsidRPr="00482BD1">
        <w:t>Thais Kristini Almendros Barbosa et al., 2022</w:t>
      </w:r>
    </w:p>
    <w:p w14:paraId="698F00DC" w14:textId="77777777" w:rsidR="00482BD1" w:rsidRPr="00482BD1" w:rsidRDefault="00482BD1" w:rsidP="00482BD1">
      <w:r w:rsidRPr="00482BD1">
        <w:t>Not specified</w:t>
      </w:r>
    </w:p>
    <w:p w14:paraId="2E20DBA8" w14:textId="77777777" w:rsidR="00482BD1" w:rsidRPr="00482BD1" w:rsidRDefault="00482BD1" w:rsidP="00482BD1">
      <w:r w:rsidRPr="00482BD1">
        <w:t>Not specified</w:t>
      </w:r>
    </w:p>
    <w:p w14:paraId="3D977D72" w14:textId="77777777" w:rsidR="00482BD1" w:rsidRPr="00482BD1" w:rsidRDefault="00482BD1" w:rsidP="00482BD1">
      <w:r w:rsidRPr="00482BD1">
        <w:t>Molecular modeling</w:t>
      </w:r>
    </w:p>
    <w:p w14:paraId="77B447D7" w14:textId="77777777" w:rsidR="00482BD1" w:rsidRPr="00482BD1" w:rsidRDefault="00482BD1" w:rsidP="00482BD1">
      <w:r w:rsidRPr="00482BD1">
        <w:t>Docking analysis</w:t>
      </w:r>
    </w:p>
    <w:p w14:paraId="5A35039B" w14:textId="77777777" w:rsidR="00482BD1" w:rsidRPr="00482BD1" w:rsidRDefault="00482BD1" w:rsidP="00482BD1">
      <w:r w:rsidRPr="00482BD1">
        <w:t>Computational-experimental integration</w:t>
      </w:r>
    </w:p>
    <w:p w14:paraId="3ED83EEE" w14:textId="77777777" w:rsidR="00482BD1" w:rsidRPr="00482BD1" w:rsidRDefault="00482BD1" w:rsidP="00482BD1">
      <w:r w:rsidRPr="00482BD1">
        <w:t>Augusto Akira Mori et al., 2023</w:t>
      </w:r>
    </w:p>
    <w:p w14:paraId="08F30057" w14:textId="77777777" w:rsidR="00482BD1" w:rsidRPr="00482BD1" w:rsidRDefault="00482BD1" w:rsidP="00482BD1">
      <w:r w:rsidRPr="00482BD1">
        <w:t>Not mentioned</w:t>
      </w:r>
    </w:p>
    <w:p w14:paraId="6D60AED8" w14:textId="77777777" w:rsidR="00482BD1" w:rsidRPr="00482BD1" w:rsidRDefault="00482BD1" w:rsidP="00482BD1">
      <w:r w:rsidRPr="00482BD1">
        <w:t>Not mentioned</w:t>
      </w:r>
    </w:p>
    <w:p w14:paraId="312078E0" w14:textId="77777777" w:rsidR="00482BD1" w:rsidRPr="00482BD1" w:rsidRDefault="00482BD1" w:rsidP="00482BD1">
      <w:r w:rsidRPr="00482BD1">
        <w:t>Energy change analysis</w:t>
      </w:r>
    </w:p>
    <w:p w14:paraId="45C9EC23" w14:textId="77777777" w:rsidR="00482BD1" w:rsidRPr="00482BD1" w:rsidRDefault="00482BD1" w:rsidP="00482BD1">
      <w:r w:rsidRPr="00482BD1">
        <w:t>Molecular docking</w:t>
      </w:r>
    </w:p>
    <w:p w14:paraId="6E74CE7B" w14:textId="77777777" w:rsidR="00482BD1" w:rsidRPr="00482BD1" w:rsidRDefault="00482BD1" w:rsidP="00482BD1">
      <w:r w:rsidRPr="00482BD1">
        <w:t>In silico with CRISPR validation</w:t>
      </w:r>
    </w:p>
    <w:p w14:paraId="122247BC" w14:textId="77777777" w:rsidR="00482BD1" w:rsidRPr="00482BD1" w:rsidRDefault="00482BD1" w:rsidP="00482BD1">
      <w:r w:rsidRPr="00482BD1">
        <w:t>Z. Awan et al., 2021</w:t>
      </w:r>
    </w:p>
    <w:p w14:paraId="4826C54C" w14:textId="77777777" w:rsidR="00482BD1" w:rsidRPr="00482BD1" w:rsidRDefault="00482BD1" w:rsidP="00482BD1">
      <w:r w:rsidRPr="00482BD1">
        <w:lastRenderedPageBreak/>
        <w:t>I-Tasser</w:t>
      </w:r>
    </w:p>
    <w:p w14:paraId="126BD1D3" w14:textId="77777777" w:rsidR="00482BD1" w:rsidRPr="00482BD1" w:rsidRDefault="00482BD1" w:rsidP="00482BD1">
      <w:r w:rsidRPr="00482BD1">
        <w:t>PDBSUM</w:t>
      </w:r>
    </w:p>
    <w:p w14:paraId="4D5D3DA1" w14:textId="77777777" w:rsidR="00482BD1" w:rsidRPr="00482BD1" w:rsidRDefault="00482BD1" w:rsidP="00482BD1">
      <w:r w:rsidRPr="00482BD1">
        <w:t>DUET</w:t>
      </w:r>
    </w:p>
    <w:p w14:paraId="0D122940" w14:textId="77777777" w:rsidR="00482BD1" w:rsidRPr="00482BD1" w:rsidRDefault="00482BD1" w:rsidP="00482BD1">
      <w:r w:rsidRPr="00482BD1">
        <w:t>Not mentioned</w:t>
      </w:r>
    </w:p>
    <w:p w14:paraId="0CC534F9" w14:textId="77777777" w:rsidR="00482BD1" w:rsidRPr="00482BD1" w:rsidRDefault="00482BD1" w:rsidP="00482BD1">
      <w:r w:rsidRPr="00482BD1">
        <w:t>Structural bioinformatics</w:t>
      </w:r>
    </w:p>
    <w:p w14:paraId="048DFB31" w14:textId="77777777" w:rsidR="00482BD1" w:rsidRPr="00482BD1" w:rsidRDefault="00482BD1" w:rsidP="00482BD1">
      <w:r w:rsidRPr="00482BD1">
        <w:t>M. Athar et al., 2023</w:t>
      </w:r>
    </w:p>
    <w:p w14:paraId="55EA4C42" w14:textId="77777777" w:rsidR="00482BD1" w:rsidRPr="00482BD1" w:rsidRDefault="00482BD1" w:rsidP="00482BD1">
      <w:r w:rsidRPr="00482BD1">
        <w:t>RNA Fold</w:t>
      </w:r>
    </w:p>
    <w:p w14:paraId="187C686E" w14:textId="77777777" w:rsidR="00482BD1" w:rsidRPr="00482BD1" w:rsidRDefault="00482BD1" w:rsidP="00482BD1">
      <w:r w:rsidRPr="00482BD1">
        <w:t>SIFT, PolyPhen-2</w:t>
      </w:r>
    </w:p>
    <w:p w14:paraId="77BEFF60" w14:textId="77777777" w:rsidR="00482BD1" w:rsidRPr="00482BD1" w:rsidRDefault="00482BD1" w:rsidP="00482BD1">
      <w:r w:rsidRPr="00482BD1">
        <w:t>Free energy minimization</w:t>
      </w:r>
    </w:p>
    <w:p w14:paraId="755807A6" w14:textId="77777777" w:rsidR="00482BD1" w:rsidRPr="00482BD1" w:rsidRDefault="00482BD1" w:rsidP="00482BD1">
      <w:r w:rsidRPr="00482BD1">
        <w:t>Not mentioned</w:t>
      </w:r>
    </w:p>
    <w:p w14:paraId="4D2A5C39" w14:textId="77777777" w:rsidR="00482BD1" w:rsidRPr="00482BD1" w:rsidRDefault="00482BD1" w:rsidP="00482BD1">
      <w:r w:rsidRPr="00482BD1">
        <w:t>NGS with in silico analysis</w:t>
      </w:r>
    </w:p>
    <w:p w14:paraId="6D20C65A" w14:textId="77777777" w:rsidR="00482BD1" w:rsidRPr="00482BD1" w:rsidRDefault="00482BD1" w:rsidP="00482BD1">
      <w:r w:rsidRPr="00482BD1">
        <w:t>Delia Susan-Resiga et al., 2016</w:t>
      </w:r>
    </w:p>
    <w:p w14:paraId="1D666E1F" w14:textId="77777777" w:rsidR="00482BD1" w:rsidRPr="00482BD1" w:rsidRDefault="00482BD1" w:rsidP="00482BD1">
      <w:r w:rsidRPr="00482BD1">
        <w:t>Not specified</w:t>
      </w:r>
    </w:p>
    <w:p w14:paraId="7D9B65D0" w14:textId="77777777" w:rsidR="00482BD1" w:rsidRPr="00482BD1" w:rsidRDefault="00482BD1" w:rsidP="00482BD1">
      <w:r w:rsidRPr="00482BD1">
        <w:t>Not specified</w:t>
      </w:r>
    </w:p>
    <w:p w14:paraId="4D9DD280" w14:textId="77777777" w:rsidR="00482BD1" w:rsidRPr="00482BD1" w:rsidRDefault="00482BD1" w:rsidP="00482BD1">
      <w:r w:rsidRPr="00482BD1">
        <w:t>Not specified</w:t>
      </w:r>
    </w:p>
    <w:p w14:paraId="3AA14EBE" w14:textId="77777777" w:rsidR="00482BD1" w:rsidRPr="00482BD1" w:rsidRDefault="00482BD1" w:rsidP="00482BD1">
      <w:r w:rsidRPr="00482BD1">
        <w:t>Molecular dynamics</w:t>
      </w:r>
    </w:p>
    <w:p w14:paraId="5956AB7C" w14:textId="77777777" w:rsidR="00482BD1" w:rsidRPr="00482BD1" w:rsidRDefault="00482BD1" w:rsidP="00482BD1">
      <w:r w:rsidRPr="00482BD1">
        <w:t>Cell biology with MD simulations</w:t>
      </w:r>
    </w:p>
    <w:p w14:paraId="6CFD936E" w14:textId="77777777" w:rsidR="00482BD1" w:rsidRPr="00482BD1" w:rsidRDefault="00482BD1" w:rsidP="00482BD1">
      <w:r w:rsidRPr="00482BD1">
        <w:t>Fahad Alnouri et al., 2018</w:t>
      </w:r>
    </w:p>
    <w:p w14:paraId="570DC591" w14:textId="77777777" w:rsidR="00482BD1" w:rsidRPr="00482BD1" w:rsidRDefault="00482BD1" w:rsidP="00482BD1">
      <w:r w:rsidRPr="00482BD1">
        <w:t>Not specified</w:t>
      </w:r>
    </w:p>
    <w:p w14:paraId="46612703" w14:textId="77777777" w:rsidR="00482BD1" w:rsidRPr="00482BD1" w:rsidRDefault="00482BD1" w:rsidP="00482BD1">
      <w:r w:rsidRPr="00482BD1">
        <w:t>PolyPhen-2, Proven</w:t>
      </w:r>
    </w:p>
    <w:p w14:paraId="1822880B" w14:textId="77777777" w:rsidR="00482BD1" w:rsidRPr="00482BD1" w:rsidRDefault="00482BD1" w:rsidP="00482BD1">
      <w:r w:rsidRPr="00482BD1">
        <w:t>Not specified</w:t>
      </w:r>
    </w:p>
    <w:p w14:paraId="7FC9BB53" w14:textId="77777777" w:rsidR="00482BD1" w:rsidRPr="00482BD1" w:rsidRDefault="00482BD1" w:rsidP="00482BD1">
      <w:r w:rsidRPr="00482BD1">
        <w:t>Molecular dynamics</w:t>
      </w:r>
    </w:p>
    <w:p w14:paraId="79245B3B" w14:textId="77777777" w:rsidR="00482BD1" w:rsidRPr="00482BD1" w:rsidRDefault="00482BD1" w:rsidP="00482BD1">
      <w:r w:rsidRPr="00482BD1">
        <w:t>Computational with clinical correlation</w:t>
      </w:r>
    </w:p>
    <w:p w14:paraId="02CCDED9" w14:textId="77777777" w:rsidR="00482BD1" w:rsidRPr="00482BD1" w:rsidRDefault="00482BD1" w:rsidP="00482BD1">
      <w:r w:rsidRPr="00482BD1">
        <w:t xml:space="preserve">Among deep learning approaches, AlphaFold 2 was specifically employed by James et al. to predict LDLR structures, producing two distinct conformations based on a novel hinge mechanism. However, AF2 performed poorly in predicting variant pathogenicity compared to other methods. The same study evaluated Evolutionary Scale Modeling (ESM) and Evolutionary model of Variant Effect (EVE), finding them competitive with established tools like Polyphen-2, SIFT, REVEL, and Primate AI for binary classifications </w:t>
      </w:r>
      <w:r w:rsidRPr="00482BD1">
        <w:lastRenderedPageBreak/>
        <w:t>in ClinVar. Notably, ESM and EVE showed stronger correlations with experimental measures of LDL uptake than traditional tools.</w:t>
      </w:r>
    </w:p>
    <w:p w14:paraId="088DDA6A" w14:textId="77777777" w:rsidR="00482BD1" w:rsidRPr="00482BD1" w:rsidRDefault="00482BD1" w:rsidP="00482BD1">
      <w:r w:rsidRPr="00482BD1">
        <w:t>Traditional homology modeling remained common, with Klee et al. using Modeler 9.17 for domain modeling and Foldx 4 for computational mutagenesis and ΔΔG fold calculations. Kim et al. employed homology modeling to predict protein structures and assess how mutations affect binding affinities through protein-protein molecular docking. I-Tasser was used for structural prediction of missing regions.</w:t>
      </w:r>
    </w:p>
    <w:p w14:paraId="4500D519" w14:textId="77777777" w:rsidR="00482BD1" w:rsidRPr="00482BD1" w:rsidRDefault="00482BD1" w:rsidP="00482BD1">
      <w:r w:rsidRPr="00482BD1">
        <w:t>For variant impact assessment, multiple studies employed established pathogenicity prediction tools including SIFT, PolyPhen-2, MutationTaster, and newer tools like AlphaMissense. Protein stability was commonly analyzed using DynaMut and ENCoM-based methods, DUET, and Foldx.</w:t>
      </w:r>
    </w:p>
    <w:p w14:paraId="4BFC0094" w14:textId="77777777" w:rsidR="00482BD1" w:rsidRPr="00482BD1" w:rsidRDefault="00482BD1" w:rsidP="00482BD1">
      <w:r w:rsidRPr="00482BD1">
        <w:t>Molecular dynamics simulations were employed by several studies to explore variant effects, with Desmond specifically mentioned for assessing structural flexibility and interaction dynamics. Docking analyses examined LDLR-ligand interactions.</w:t>
      </w:r>
    </w:p>
    <w:p w14:paraId="1DAF1CE3" w14:textId="77777777" w:rsidR="00482BD1" w:rsidRPr="00482BD1" w:rsidRDefault="00482BD1" w:rsidP="00482BD1">
      <w:r w:rsidRPr="00482BD1">
        <w:t>Visualization and structural analysis tools included PyMOL for structure visualization and examining salt bridges, Chimera for structural simulation, and specialized RNA structure prediction tools like RNA Fold for assessing mRNA stability.</w:t>
      </w:r>
    </w:p>
    <w:p w14:paraId="61F3F240" w14:textId="77777777" w:rsidR="00482BD1" w:rsidRPr="00482BD1" w:rsidRDefault="00482BD1" w:rsidP="00482BD1">
      <w:r w:rsidRPr="00482BD1">
        <w:t>Quality control approaches varied, with Klee et al. using DOPE z-scores and VADAR webserver for model quality evaluation. Conservation analysis was performed using ConSurf server and BLASTP for sequence coverage identification.</w:t>
      </w:r>
    </w:p>
    <w:p w14:paraId="66A16D85" w14:textId="77777777" w:rsidR="00482BD1" w:rsidRPr="00482BD1" w:rsidRDefault="00482BD1" w:rsidP="00482BD1">
      <w:pPr>
        <w:rPr>
          <w:b/>
          <w:bCs/>
        </w:rPr>
      </w:pPr>
      <w:r w:rsidRPr="00482BD1">
        <w:rPr>
          <w:b/>
          <w:bCs/>
        </w:rPr>
        <w:t>LDLR variants analyzed</w:t>
      </w:r>
    </w:p>
    <w:p w14:paraId="59F37336" w14:textId="77777777" w:rsidR="00482BD1" w:rsidRPr="00482BD1" w:rsidRDefault="00482BD1" w:rsidP="00482BD1">
      <w:r w:rsidRPr="00482BD1">
        <w:t>Studies examined a broad spectrum of LDLR variants, from comprehensive computational screens to focused characterization of specific mutations.</w:t>
      </w:r>
    </w:p>
    <w:p w14:paraId="6B97CE09" w14:textId="77777777" w:rsidR="00482BD1" w:rsidRPr="00482BD1" w:rsidRDefault="00482BD1" w:rsidP="00482BD1">
      <w:r w:rsidRPr="00482BD1">
        <w:t>Large-scale analyses included the most extensive coverage, with Daniel R. Tabet et al. testing approximately 17,000 missense coding variants representing nearly all possible LDLR missense variations. Jiayan Guo et al. systematically predicted 13,167 potential single amino acid missense substitutions, while Mohammad Majharul Islam et al. characterized 315 variants including 142 variants of unknown significance or conflicting interpretations. Klee et al. modeled 1007 reported protein variants, and Angarica et al. explored 227 mutants in the LA5 repeat domain.</w:t>
      </w:r>
    </w:p>
    <w:p w14:paraId="39C80CEE" w14:textId="77777777" w:rsidR="00482BD1" w:rsidRPr="00482BD1" w:rsidRDefault="00482BD1" w:rsidP="00482BD1">
      <w:r w:rsidRPr="00482BD1">
        <w:t>Focused studies examined specific variants in detail. Novel pathogenic variants included frameshift mutations such as c.2027delG (p.Gly676Alafs</w:t>
      </w:r>
      <w:r w:rsidRPr="00482BD1">
        <w:rPr>
          <w:i/>
          <w:iCs/>
        </w:rPr>
        <w:t>33) in Saudi families and c.666_670dup (p.Asp224Alafs</w:t>
      </w:r>
      <w:r w:rsidRPr="00482BD1">
        <w:t>43). Nonsense mutations included c.103 C&gt;T (p.Gln35Ter) and a homozygous 272delG deletion in an Omani family.</w:t>
      </w:r>
    </w:p>
    <w:p w14:paraId="4AA4E266" w14:textId="77777777" w:rsidR="00482BD1" w:rsidRPr="00482BD1" w:rsidRDefault="00482BD1" w:rsidP="00482BD1">
      <w:r w:rsidRPr="00482BD1">
        <w:t xml:space="preserve">Missense variants received substantial attention across multiple studies. The p.C184Y variant was analyzed in multiple contexts, showing favorable energy changes for protein </w:t>
      </w:r>
      <w:r w:rsidRPr="00482BD1">
        <w:lastRenderedPageBreak/>
        <w:t>stability due to interactions with EGF-A/EGF-B regions. The p.G373D variant was examined in three separate studies, with functional analyses showing reduced LDLR expression and decreased interaction distance between LDLR and ApoB. Additional missense variants included p.G549D, p.V797L, p.R814Q, p.Asp47Asn, p.Asp139Asn (c.415G&gt;A), and compound heterozygous mutations p.G343S and p.A627T.</w:t>
      </w:r>
    </w:p>
    <w:p w14:paraId="328E3806" w14:textId="77777777" w:rsidR="00482BD1" w:rsidRPr="00482BD1" w:rsidRDefault="00482BD1" w:rsidP="00482BD1">
      <w:r w:rsidRPr="00482BD1">
        <w:t>Variants were distributed across functional domains. The ligand-binding domain contained variants including c.415G&gt;A, c.599T&gt;G (p.Phe200Cys) affecting the fifth LA module, and c.103 C&gt;T. The EGF-like domain harbored c.2027delG. Cytoplasmic domain variants included c.2416dup (p.Val806GlyfsTer11). The LA5 repeat, critical for LDL binding, was the focus of comprehensive mutational screening.</w:t>
      </w:r>
    </w:p>
    <w:p w14:paraId="15081746" w14:textId="77777777" w:rsidR="00482BD1" w:rsidRPr="00482BD1" w:rsidRDefault="00482BD1" w:rsidP="00482BD1">
      <w:r w:rsidRPr="00482BD1">
        <w:t>Population frequencies varied substantially. Many variants were classified as rare or novel, while others like rs5928 were selected specifically as less common variants with minor allele frequency below 0.05. Classification status prior to investigation ranged from established pathogenic variants to variants with conflicting interpretations in ClinVar or designated as variants of uncertain significance.</w:t>
      </w:r>
    </w:p>
    <w:p w14:paraId="72718AC7" w14:textId="77777777" w:rsidR="00482BD1" w:rsidRPr="00482BD1" w:rsidRDefault="00482BD1" w:rsidP="00482BD1">
      <w:pPr>
        <w:rPr>
          <w:b/>
          <w:bCs/>
        </w:rPr>
      </w:pPr>
      <w:r w:rsidRPr="00482BD1">
        <w:rPr>
          <w:b/>
          <w:bCs/>
        </w:rPr>
        <w:t>Functional predictions from computational approaches</w:t>
      </w:r>
    </w:p>
    <w:p w14:paraId="08E5F6E6" w14:textId="77777777" w:rsidR="00482BD1" w:rsidRPr="00482BD1" w:rsidRDefault="00482BD1" w:rsidP="00482BD1">
      <w:r w:rsidRPr="00482BD1">
        <w:t>Computational methods generated diverse predictions about how LDLR variants affect protein structure, stability, and function, though with varying levels of detail and confidence.</w:t>
      </w:r>
    </w:p>
    <w:p w14:paraId="793D79BE" w14:textId="77777777" w:rsidR="00482BD1" w:rsidRPr="00482BD1" w:rsidRDefault="00482BD1" w:rsidP="00482BD1">
      <w:r w:rsidRPr="00482BD1">
        <w:t>Protein structure and stability predictions revealed multiple mechanisms of dysfunction. AlphaFold 2 produced two distinct LDLR conformations based on a novel hinge mechanism, though it poorly predicted variant pathogenicity. Loss of conformational stability explained two-thirds of FH phenotypes in the LA5 domain analysis. Specific variants showed differential effects on stability: p.C184Y exhibited favorable energy changes due to EGF-A/EGF-B interactions, p.G373D and p.G549D displayed intermediate energy changes, while p.R814Q and p.V827I showed smaller changes. The p.Phe200Cys variant was predicted to affect the random coil structure of LDLR.</w:t>
      </w:r>
    </w:p>
    <w:p w14:paraId="467463F6" w14:textId="77777777" w:rsidR="00482BD1" w:rsidRPr="00482BD1" w:rsidRDefault="00482BD1" w:rsidP="00482BD1">
      <w:r w:rsidRPr="00482BD1">
        <w:t>Molecular dynamics simulations provided insights into structural flexibility and dynamics. The c.2416dup variant increased structural flexibility and altered interaction dynamics. The c.103 C&gt;T variant altered secondary RNA structure, potentially affecting mRNA stability and function. Stability analysis for variants p.Ala431Thr, p.Gly549Asp, and p.Gly592Glu showed disturbance of intramolecular interactions, while p.Gly373Asp and p.Ile488Thr reduced protein stability.</w:t>
      </w:r>
    </w:p>
    <w:p w14:paraId="7A2BAA9B" w14:textId="77777777" w:rsidR="00482BD1" w:rsidRPr="00482BD1" w:rsidRDefault="00482BD1" w:rsidP="00482BD1">
      <w:r w:rsidRPr="00482BD1">
        <w:t xml:space="preserve">LDLR-LDL binding affinity predictions indicated functional impairments through multiple mechanisms. Docking analyses showed that p.Cys184Tyr and p.Gly373Asp altered interactions with Apolipoprotein B. The p.Asp47Asn variant reduced binding </w:t>
      </w:r>
      <w:r w:rsidRPr="00482BD1">
        <w:lastRenderedPageBreak/>
        <w:t>capacity of LA1-2 modules for ApoB100 and ApoE through decreased apparent affinity rather than structural changes. The c.415G&gt;A variant was predicted to impair binding affinity through altered molecular interactions. Kim et al. identified five isoforms with low binding affinities and notable hydrogen-bonding interactions.</w:t>
      </w:r>
    </w:p>
    <w:p w14:paraId="783CFF21" w14:textId="77777777" w:rsidR="00482BD1" w:rsidRPr="00482BD1" w:rsidRDefault="00482BD1" w:rsidP="00482BD1">
      <w:r w:rsidRPr="00482BD1">
        <w:t>Protein trafficking and localization predictions were less commonly reported. The LDLR-G592E variant was predicted to fail exiting the endoplasmic reticulum and undergo degradation, classified as a class 2b mutant. The c.2416dup variant was predicted to truncate the LDLR cytoplasmic tail, disrupting NPXY-LDLRAP1 interaction and impairing receptor internalization. Post-translational modification predictions suggested that G343S and A627T variants affected disordered regions, protein interaction binding regions, and RNA binding regions.</w:t>
      </w:r>
    </w:p>
    <w:p w14:paraId="57149AE2" w14:textId="77777777" w:rsidR="00482BD1" w:rsidRPr="00482BD1" w:rsidRDefault="00482BD1" w:rsidP="00482BD1">
      <w:r w:rsidRPr="00482BD1">
        <w:t>Receptor recycling mechanisms were examined for specific variants. The LDLR-R410S variant showed tighter LDL association at acidic pH and was predicted to recycle loaded with its LDL-cargo rather than releasing it. This variant also demonstrated resistance to exogenous PCSK9-mediated degradation in computational models. The c.2027delG and c.666_670dup variants were predicted to eliminate functional domains essential for receptor recycling.</w:t>
      </w:r>
    </w:p>
    <w:p w14:paraId="4C86C0B8" w14:textId="77777777" w:rsidR="00482BD1" w:rsidRPr="00482BD1" w:rsidRDefault="00482BD1" w:rsidP="00482BD1">
      <w:r w:rsidRPr="00482BD1">
        <w:t>Pathogenicity classification from computational tools showed variable performance across platforms. EVE and ESM were comparable to Polyphen-2, SIFT, REVEL, and Primate AI for binary classifications in ClinVar. MutationTaster classified c.415G&gt;A as pathogenic. ACMG guidelines were used to classify the c.666_670dup variant as strongly pathogenic, and c.599T&gt;G as likely pathogenic. PolyPhen-2 and Proven predicted p.Y419D as deleterious and clinically significant.</w:t>
      </w:r>
    </w:p>
    <w:p w14:paraId="689C2CE8" w14:textId="77777777" w:rsidR="00482BD1" w:rsidRPr="00482BD1" w:rsidRDefault="00482BD1" w:rsidP="00482BD1">
      <w:pPr>
        <w:rPr>
          <w:b/>
          <w:bCs/>
        </w:rPr>
      </w:pPr>
      <w:r w:rsidRPr="00482BD1">
        <w:rPr>
          <w:b/>
          <w:bCs/>
        </w:rPr>
        <w:t>Experimental validation of computational predictions</w:t>
      </w:r>
    </w:p>
    <w:p w14:paraId="4A73A6DC" w14:textId="77777777" w:rsidR="00482BD1" w:rsidRPr="00482BD1" w:rsidRDefault="00482BD1" w:rsidP="00482BD1">
      <w:r w:rsidRPr="00482BD1">
        <w:t>Experimental validation varied substantially across studies in scope, methodology, and concordance with computational predictions.</w:t>
      </w:r>
    </w:p>
    <w:p w14:paraId="51D512F3" w14:textId="77777777" w:rsidR="00482BD1" w:rsidRPr="00482BD1" w:rsidRDefault="00482BD1" w:rsidP="00482BD1">
      <w:r w:rsidRPr="00482BD1">
        <w:t>Functional assays employed diverse approaches to assess variant effects. Flow cytometry was commonly used to measure LDLR expression and LDL uptake, while confocal microscopy provided spatial information on LDLR localization and activity. Western blotting quantified LDLR protein levels, and qPCR assessed mRNA expression. Traditional approaches included uptake and degradation rates of radioiodinated LDL and immunofluorescence microscopy.</w:t>
      </w:r>
    </w:p>
    <w:p w14:paraId="7644C3A0" w14:textId="77777777" w:rsidR="00482BD1" w:rsidRPr="00482BD1" w:rsidRDefault="00482BD1" w:rsidP="00482BD1">
      <w:r w:rsidRPr="00482BD1">
        <w:t xml:space="preserve">Cell systems varied by study design. HepG2 cells transfected with CRISPR/Cas9 constructs were used to evaluate LDLR variants in a controlled hepatocyte-like system. HEK293T cells served as the experimental model for binding and uptake studies. T-lymphocytes isolated from FH patients and healthy controls provided a primary cell </w:t>
      </w:r>
      <w:r w:rsidRPr="00482BD1">
        <w:lastRenderedPageBreak/>
        <w:t>approach. CHO-ldlA7 cells, which lack endogenous LDLR, offered a clean background for expressing variant receptors.</w:t>
      </w:r>
    </w:p>
    <w:p w14:paraId="4711B8AD" w14:textId="77777777" w:rsidR="00482BD1" w:rsidRPr="00482BD1" w:rsidRDefault="00482BD1" w:rsidP="00482BD1">
      <w:r w:rsidRPr="00482BD1">
        <w:t>Quantitative validation results demonstrated varying degrees of functional impairment. In T-lymphocyte studies, carriers of both pathogenic and non-pathogenic LDLR variants showed significantly lower LDL binding and uptake compared to controls (p&lt;0.05). CRISPR-modified HepG2 cells revealed that p.G373D, p.V797L, and p.R814Q reduced LDLR expression and activity (p&lt;0.05), with microscopic analysis showing altered lipid localization and accumulation for p.V797L and p.G373D. HEK293T cells expressing the c.415G&gt;A variant showed significantly impaired LDL uptake and binding compared to wild-type. In Andrea Gomez et al.’s study, variants affected LDLR function to different degrees, ranging from normal to less than 10% of wild-type activity.</w:t>
      </w:r>
    </w:p>
    <w:p w14:paraId="0DE69FE4" w14:textId="77777777" w:rsidR="00482BD1" w:rsidRPr="00482BD1" w:rsidRDefault="00482BD1" w:rsidP="00482BD1">
      <w:r w:rsidRPr="00482BD1">
        <w:t>Correlation between computational predictions and experimental outcomes varied. The SFIP-MutID model correctly predicted functional impact for 52 out of 54 mutations with reported in vitro experimental data. Computational predictions of impaired LDL binding and uptake for c.415G&gt;A were validated by experimental findings. Variants predicted to alter protein stability and intramolecular interactions were confirmed by functional assays. Docking predictions showing decreased LDLR-ApoB interaction distance for p.G373D aligned with reduced LDLR expression observed experimentally.</w:t>
      </w:r>
    </w:p>
    <w:p w14:paraId="6390958A" w14:textId="77777777" w:rsidR="00482BD1" w:rsidRPr="00482BD1" w:rsidRDefault="00482BD1" w:rsidP="00482BD1">
      <w:r w:rsidRPr="00482BD1">
        <w:t>Validation success rates highlighted both strengths and limitations of computational approaches. Mohammad Majharul Islam et al. found that 83% of ClinVar pathogenic variants were correctly identified as pathogenic by their experimental platform, while 75% of ClinVar benign variants validated as benign. Importantly, their analysis revealed that computational prediction tools tend to overestimate the fraction of pathogenic LDLR variants.</w:t>
      </w:r>
    </w:p>
    <w:p w14:paraId="3CC5B350" w14:textId="77777777" w:rsidR="00482BD1" w:rsidRPr="00482BD1" w:rsidRDefault="00482BD1" w:rsidP="00482BD1">
      <w:r w:rsidRPr="00482BD1">
        <w:t>Discrepancies between predictions and observations were explicitly noted in some studies. Silva et al. reported that in silico analysis failed to correctly predict the effect of 4 out of 5 alterations examined, highlighting the limitations of purely computational approaches. The large-scale functional study by Islam et al. demonstrated that functional activity groups surpassed ClinVar classifications for cardiovascular disease risk assessment, circulating LDL-C levels, and lipid-lowering drug usage.</w:t>
      </w:r>
    </w:p>
    <w:p w14:paraId="077CD849" w14:textId="77777777" w:rsidR="00482BD1" w:rsidRPr="00482BD1" w:rsidRDefault="00482BD1" w:rsidP="00482BD1">
      <w:r w:rsidRPr="00482BD1">
        <w:t>Mechanistic insights from validation studies enriched understanding beyond binary pathogenic/benign classifications. The LDLR-R410S variant, while showing similar cell surface levels and LDL binding to wild-type, demonstrated resistance to PCSK9-mediated degradation and reduced LDL internalization. This represented a novel class 8 FH-causing mechanism where the receptor recycles loaded with cargo. Microscopic observations for p.V797L and p.G373D revealed unexpected cellular processes including cell-cell communication, vacuolization, and pseudopod formation.</w:t>
      </w:r>
    </w:p>
    <w:p w14:paraId="5B82224A" w14:textId="77777777" w:rsidR="00482BD1" w:rsidRPr="00482BD1" w:rsidRDefault="00482BD1" w:rsidP="00482BD1">
      <w:pPr>
        <w:rPr>
          <w:b/>
          <w:bCs/>
        </w:rPr>
      </w:pPr>
      <w:r w:rsidRPr="00482BD1">
        <w:rPr>
          <w:b/>
          <w:bCs/>
        </w:rPr>
        <w:t>Variants of uncertain significance reclassification</w:t>
      </w:r>
    </w:p>
    <w:p w14:paraId="2A6A4C72" w14:textId="77777777" w:rsidR="00482BD1" w:rsidRPr="00482BD1" w:rsidRDefault="00482BD1" w:rsidP="00482BD1">
      <w:r w:rsidRPr="00482BD1">
        <w:lastRenderedPageBreak/>
        <w:t>VUS reclassification efforts varied substantially in scale and approach, from large systematic analyses to focused characterization of specific variants.</w:t>
      </w:r>
    </w:p>
    <w:p w14:paraId="4B0389E7" w14:textId="77777777" w:rsidR="00482BD1" w:rsidRPr="00482BD1" w:rsidRDefault="00482BD1" w:rsidP="00482BD1">
      <w:r w:rsidRPr="00482BD1">
        <w:t>Mohammad Majharul Islam et al. conducted the most extensive VUS reclassification effort, studying 142 variants with unknown significance or conflicting interpretations in ClinVar and providing new classifications for 112 variants as either pathogenic or benign. Their functional data-based approach grouped variants into four activity categories: loss-of-function (0-10% activity), defective (10-30%), mildly-defective (30-70%), and non-defective (&gt;90%). Evidence supporting reclassification combined functional data from high-content imaging with computational tools including Sift, MutationTaster, PolyPhen2, and PHD-SNPg. Classifications were made according to ClinVar guidelines and ClinGen FH VCEP expert panel criteria.</w:t>
      </w:r>
    </w:p>
    <w:p w14:paraId="61CE509C" w14:textId="77777777" w:rsidR="00482BD1" w:rsidRPr="00482BD1" w:rsidRDefault="00482BD1" w:rsidP="00482BD1">
      <w:r w:rsidRPr="00482BD1">
        <w:t>Andrea Gomez et al. reclassified six uncharacterized variants using functional studies and computational analysis, assigning two as “Likely Benign” (p.Ala705Gly and p.Leu570Phe), three as “Pathogenic” (p.Asp579Val, p.Cys143Phe, and p.Trp214Arg), and one as “Likely Pathogenic” (p.Pro661Ala) according to ACMG Standards and Guidelines. Kaihang Wang et al. elevated LDLR c.415G&gt;A from likely pathogenic to pathogenic status based on combined in silico analysis and functional studies demonstrating impaired LDLR-LDL binding.</w:t>
      </w:r>
    </w:p>
    <w:p w14:paraId="42F76DE1" w14:textId="77777777" w:rsidR="00482BD1" w:rsidRPr="00482BD1" w:rsidRDefault="00482BD1" w:rsidP="00482BD1">
      <w:r w:rsidRPr="00482BD1">
        <w:t>Several studies focused on single VUS reclassification. Andrea Sánchez et al. investigated p.Asp47Asn, previously classified as uncertain pathogenic, concluding that clinical phenotype and structural effects suggest association with FH. Augusto Akira Mori et al. examined six variants selected based on conflicting pathogenicity results in Clinvar, using molecular modeling and functional assays in CRISPR-modified HepG2 cells as reclassification evidence.</w:t>
      </w:r>
    </w:p>
    <w:p w14:paraId="293F1839" w14:textId="77777777" w:rsidR="00482BD1" w:rsidRPr="00482BD1" w:rsidRDefault="00482BD1" w:rsidP="00482BD1">
      <w:r w:rsidRPr="00482BD1">
        <w:t>Evidence types for reclassification included computational predictions, functional assays, and clinical data. Mollaki et al. used in silico analysis to identify six putative disease-causing variants among twelve novel LDLR variants. Silva et al. employed functional assays to assess pathogenicity of five missense alterations.</w:t>
      </w:r>
    </w:p>
    <w:p w14:paraId="7491011F" w14:textId="77777777" w:rsidR="00482BD1" w:rsidRPr="00482BD1" w:rsidRDefault="00482BD1" w:rsidP="00482BD1">
      <w:r w:rsidRPr="00482BD1">
        <w:t>Clinical actionability implications were addressed in the context of improved diagnosis and risk stratification. The functional activity groups in Islam et al.’s study demonstrated increased odds ratios for cardiovascular disease: loss-of-function variants OR=6.1, defective variants OR=2.0 compared to non-defective variants. Plasma LDL-cholesterol levels, utilization of lipid-lowering drugs, and combination therapy requirements were significantly higher across pathogenic variant categories.</w:t>
      </w:r>
    </w:p>
    <w:p w14:paraId="79E4E7DC" w14:textId="77777777" w:rsidR="00482BD1" w:rsidRPr="00482BD1" w:rsidRDefault="00482BD1" w:rsidP="00482BD1">
      <w:r w:rsidRPr="00482BD1">
        <w:t xml:space="preserve">Daniel R. Tabet et al.’s large-scale analysis of approximately 17,000 missense variants provided functional scores that correlated with hyperlipidemia phenotypes in prospective cohorts and augmented polygenic scores to improve risk inference, though specific reclassification numbers were not detailed. The study noted that definitive </w:t>
      </w:r>
      <w:r w:rsidRPr="00482BD1">
        <w:lastRenderedPageBreak/>
        <w:t>classifications were lacking for nearly half of clinically encountered LDLR missense variants.</w:t>
      </w:r>
    </w:p>
    <w:p w14:paraId="5D9FEED0" w14:textId="77777777" w:rsidR="00482BD1" w:rsidRPr="00482BD1" w:rsidRDefault="00482BD1" w:rsidP="00482BD1">
      <w:pPr>
        <w:rPr>
          <w:b/>
          <w:bCs/>
        </w:rPr>
      </w:pPr>
      <w:r w:rsidRPr="00482BD1">
        <w:rPr>
          <w:b/>
          <w:bCs/>
        </w:rPr>
        <w:t>Drug resistance and therapeutic implications</w:t>
      </w:r>
    </w:p>
    <w:p w14:paraId="5B998032" w14:textId="77777777" w:rsidR="00482BD1" w:rsidRPr="00482BD1" w:rsidRDefault="00482BD1" w:rsidP="00482BD1">
      <w:r w:rsidRPr="00482BD1">
        <w:t>Therapeutic response patterns varied substantially based on variant characteristics, with several studies identifying resistance mechanisms and implications for personalized treatment.</w:t>
      </w:r>
    </w:p>
    <w:p w14:paraId="2AD7E7D1" w14:textId="77777777" w:rsidR="00482BD1" w:rsidRPr="00482BD1" w:rsidRDefault="00482BD1" w:rsidP="00482BD1">
      <w:r w:rsidRPr="00482BD1">
        <w:t>Null variants demonstrated particularly poor therapeutic responses. Athar et al. reviewed studies showing that LDLR null variants had decreased responses to statins and higher cholesterol levels compared to defective variants. Their case study of a novel frameshift variant c.666_670dup revealed resistance to statin therapy requiring escalating therapy with non-statin medicines. Analysis of lipid-lowering therapies for null variants included statins, PCSK9 inhibitors, ezetimibe, mipomersen, and lomitapide, with null variants consistently showing poorer responses than defective variants.</w:t>
      </w:r>
    </w:p>
    <w:p w14:paraId="37E4F4C0" w14:textId="77777777" w:rsidR="00482BD1" w:rsidRPr="00482BD1" w:rsidRDefault="00482BD1" w:rsidP="00482BD1">
      <w:r w:rsidRPr="00482BD1">
        <w:t>The LDLR c.2027delG variant in Saudi families exemplified severe treatment resistance. Twelve FH patients sharing this rare pathogenic founder mutation showed marked phenotypic heterogeneity based on zygosity. Clinical management included ACE inhibitors, β-blockers, ezetimibe, statins (rosuvastatin), and PCSK9 inhibitors (evolocumab), yet patients demonstrated resistance to multiple treatment regimens with no significant improvement in lipid profiles. The study proposed that truncation of LDLR protein affecting its function and LDL clearance represented the resistance mechanism, suggesting pharmacological modulation to counteract nonsense mutations as a potential therapeutic strategy.</w:t>
      </w:r>
    </w:p>
    <w:p w14:paraId="658E2996" w14:textId="77777777" w:rsidR="00482BD1" w:rsidRPr="00482BD1" w:rsidRDefault="00482BD1" w:rsidP="00482BD1">
      <w:r w:rsidRPr="00482BD1">
        <w:t>The LDLR-R410S variant revealed a novel mechanism of therapeutic resistance. This variant, while showing similar cell surface levels and LDL binding to wild-type LDLR, was resistant to exogenous PCSK9-mediated degradation. The patient carrying compound heterozygote mutations R410S and G592E responded modestly to maximum rosuvastatin plus ezetimibe therapy, even in combination with PCSK9 monoclonal antibody injection. This LDLR-R410S variant represented a novel class 8 FH-causing mechanism through altered receptor recycling.</w:t>
      </w:r>
    </w:p>
    <w:p w14:paraId="19DE5668" w14:textId="77777777" w:rsidR="00482BD1" w:rsidRPr="00482BD1" w:rsidRDefault="00482BD1" w:rsidP="00482BD1">
      <w:r w:rsidRPr="00482BD1">
        <w:t>Population-based pharmacogenetic analyses provided insights into variant-specific treatment patterns. Islam et al. found higher odds ratios for receiving lipid-lowering drugs and combination therapy in loss-of-function (OR=7.6 for single agent, OR=96.8 for combination) and defective (OR=4.7 for single agent, OR=20.1 for combination) variant groups compared to non-defective variants. Plasma LDL-cholesterol levels were significantly elevated in loss-of-function (OR=15.4) and defective (OR=6.6) groups.</w:t>
      </w:r>
    </w:p>
    <w:p w14:paraId="01A59160" w14:textId="77777777" w:rsidR="00482BD1" w:rsidRPr="00482BD1" w:rsidRDefault="00482BD1" w:rsidP="00482BD1">
      <w:r w:rsidRPr="00482BD1">
        <w:lastRenderedPageBreak/>
        <w:t>Pharmacogenetic insights emphasized the importance of variant characterization for treatment planning. Athar et al. concluded that analyzing LDLR variants can personalize lipid-lowering therapies. The FHBGEP study protocol proposed investigating the influence of genomic and epigenomic factors on response to statins in FH patients, though specific results were not yet available.</w:t>
      </w:r>
    </w:p>
    <w:p w14:paraId="47C6CF30" w14:textId="77777777" w:rsidR="00482BD1" w:rsidRPr="00482BD1" w:rsidRDefault="00482BD1" w:rsidP="00482BD1">
      <w:pPr>
        <w:rPr>
          <w:b/>
          <w:bCs/>
        </w:rPr>
      </w:pPr>
      <w:r w:rsidRPr="00482BD1">
        <w:rPr>
          <w:b/>
          <w:bCs/>
        </w:rPr>
        <w:t>Clinical phenotype-genotype correlations</w:t>
      </w:r>
    </w:p>
    <w:p w14:paraId="310750F0" w14:textId="77777777" w:rsidR="00482BD1" w:rsidRPr="00482BD1" w:rsidRDefault="00482BD1" w:rsidP="00482BD1">
      <w:r w:rsidRPr="00482BD1">
        <w:t>Clinical presentations varied substantially based on variant type and zygosity, revealing complex genotype-phenotype relationships.</w:t>
      </w:r>
    </w:p>
    <w:p w14:paraId="00B8C6BB" w14:textId="77777777" w:rsidR="00482BD1" w:rsidRPr="00482BD1" w:rsidRDefault="00482BD1" w:rsidP="00482BD1">
      <w:r w:rsidRPr="00482BD1">
        <w:t>LDL cholesterol levels showed strong correlations with variant classifications. Compound heterozygotes carrying both p.G343S and p.A627T mutations had total cholesterol levels of 20.50-21.35 mmol/L, while simple heterozygotes had 6.52-8.81 mmol/L, and non-mutated family members had 2.94-3.61 mmol/L. In computational model correlations with UK Biobank data, ESM and EVE were more strongly associated with serum LDL-C than Polyphen-2, with ESM identifying variants associated with more extreme LDL-C levels. Carriers of p.G549D, p.V797L, and p.R814Q had higher LDL cholesterol levels than the non-FH group. The p.Asp47Asn variant carriers showed higher LDL-C levels compared to wild-type genotype.</w:t>
      </w:r>
    </w:p>
    <w:p w14:paraId="4BACA89C" w14:textId="77777777" w:rsidR="00482BD1" w:rsidRPr="00482BD1" w:rsidRDefault="00482BD1" w:rsidP="00482BD1">
      <w:r w:rsidRPr="00482BD1">
        <w:t>Cardiovascular outcomes demonstrated variant-specific associations. ESM had significantly stronger associations with atherosclerotic cardiovascular disease compared to other prediction methods. In the UK Biobank analysis, individuals carrying loss-of-function LDLR variants displayed increased odds ratios for CVD (OR=6.1), while defective variants showed OR=2.0 compared to non-defective variants. Cardiovascular manifestations included premature atherosclerosis and increased cardiovascular disease risk, with specific complications including myocardial infarction, multiple stent placements, and CABG surgery.</w:t>
      </w:r>
    </w:p>
    <w:p w14:paraId="39CD36C0" w14:textId="77777777" w:rsidR="00482BD1" w:rsidRPr="00482BD1" w:rsidRDefault="00482BD1" w:rsidP="00482BD1">
      <w:r w:rsidRPr="00482BD1">
        <w:t>Age of disease onset and diagnosis varied by population and detection method. The Omani Arab proband was diagnosed at age 9 with eye xanthelasmata and Achilles tendon thickening, presenting with LDL-C of 853 mg/dL (22.1 mmol/L). Another 9-year-old proband in Al-Rasadi et al. showed elevated LDL-C levels. The Chinese proband in Wang et al. was diagnosed at 39 years with severe coronary artery stenosis. A pediatric patient with BMI of 13.7 presented with elevated transaminase and LDL-C of 8.64 mmol/L, diagnosed with both Wilson disease and probable FH.</w:t>
      </w:r>
    </w:p>
    <w:p w14:paraId="10BA2D08" w14:textId="77777777" w:rsidR="00482BD1" w:rsidRPr="00482BD1" w:rsidRDefault="00482BD1" w:rsidP="00482BD1">
      <w:r w:rsidRPr="00482BD1">
        <w:t xml:space="preserve">Family history patterns reflected inheritance modes and variant segregation. The c.2027delG variant in Saudi families showed autosomal dominant inheritance with twelve FH patients across two unrelated families sharing the homozygous or heterozygous states. The c.666_670dup variant in another Saudi family affected three generations with consanguineous background. In the compound heterozygote family, the proband and her brother with hypercholesterolemia and xanthelasma carried both </w:t>
      </w:r>
      <w:r w:rsidRPr="00482BD1">
        <w:lastRenderedPageBreak/>
        <w:t>p.G343S and p.A627T mutations. The c.415G&gt;A variant showed positive family history of dyslipidemia with autosomal dominant inheritance.</w:t>
      </w:r>
    </w:p>
    <w:p w14:paraId="515E581C" w14:textId="77777777" w:rsidR="00482BD1" w:rsidRPr="00482BD1" w:rsidRDefault="00482BD1" w:rsidP="00482BD1">
      <w:r w:rsidRPr="00482BD1">
        <w:t>Severity classifications revealed marked differences between heterozygous and homozygous presentations. Homozygous patients for c.2027delG showed more severe clinical features compared to heterozygous family members. The c.666_670dup proband, homozygous for FH, demonstrated more severe phenotypes and resistance to statin therapy, while heterozygous family members had milder presentations. Compound heterozygotes with both p.G343S and p.A627T had much higher cholesterol levels and developed xanthoma compared to simple heterozygotes.</w:t>
      </w:r>
    </w:p>
    <w:p w14:paraId="2B66F999" w14:textId="77777777" w:rsidR="00482BD1" w:rsidRPr="00482BD1" w:rsidRDefault="00482BD1" w:rsidP="00482BD1">
      <w:r w:rsidRPr="00482BD1">
        <w:t>Response to standard therapies correlated with variant type. The LDLR-R410S variant showed modest response to rosuvastatin, ezetimibe, and PCSK9 monoclonal antibody. In Saudi families with c.2027delG, patients demonstrated resistance to intensive treatment including statins and LDL-apheresis. Blood lipid levels in the Wilson disease patient with c.599T&gt;G did not improve despite treatment for WD.</w:t>
      </w:r>
    </w:p>
    <w:p w14:paraId="28822ABD" w14:textId="77777777" w:rsidR="00482BD1" w:rsidRPr="00482BD1" w:rsidRDefault="00482BD1" w:rsidP="00482BD1">
      <w:r w:rsidRPr="00482BD1">
        <w:t>Genotype-phenotype correlations identified specific mechanisms. The LDLR-R410S represented an LDLR loss-of-function through a novel class 8 FH-causing mechanism. The novel frameshift c.666_670dup variant was associated with severe clinical phenotypes and resistance to statin therapy. Variants p.G373D and p.G549D were associated with clinical manifestations of FH, while p.G373D, p.V797L, and p.R814Q reduced LDLR expression and activity. The p.Asp47Asn variant showed reduced binding capacity of LDL-R to apolipoproteins due to decreased apparent affinity.</w:t>
      </w:r>
    </w:p>
    <w:p w14:paraId="24AE6B6E" w14:textId="77777777" w:rsidR="00482BD1" w:rsidRPr="00482BD1" w:rsidRDefault="00482BD1" w:rsidP="00482BD1">
      <w:pPr>
        <w:rPr>
          <w:b/>
          <w:bCs/>
        </w:rPr>
      </w:pPr>
      <w:r w:rsidRPr="00482BD1">
        <w:rPr>
          <w:b/>
          <w:bCs/>
        </w:rPr>
        <w:t>Synthesis</w:t>
      </w:r>
    </w:p>
    <w:p w14:paraId="525C1B79" w14:textId="77777777" w:rsidR="00482BD1" w:rsidRPr="00482BD1" w:rsidRDefault="00482BD1" w:rsidP="00482BD1">
      <w:r w:rsidRPr="00482BD1">
        <w:t>The application of computational structural biology tools to LDLR variants in familial hypercholesterolemia reveals a field in transition, where deep learning approaches are beginning to complement but not yet replace traditional methods, and where integration of computational predictions with functional validation remains essential for clinical interpretation.</w:t>
      </w:r>
    </w:p>
    <w:p w14:paraId="3296D9DC" w14:textId="77777777" w:rsidR="00482BD1" w:rsidRPr="00482BD1" w:rsidRDefault="00482BD1" w:rsidP="00482BD1">
      <w:r w:rsidRPr="00482BD1">
        <w:rPr>
          <w:b/>
          <w:bCs/>
        </w:rPr>
        <w:t>Tool selection reflects different prediction objectives rather than simple superiority.</w:t>
      </w:r>
      <w:r w:rsidRPr="00482BD1">
        <w:t xml:space="preserve"> AlphaFold 2 demonstrated structural prediction capabilities by identifying novel LDLR conformations, yet performed poorly at predicting variant pathogenicity. In contrast, sequence-based deep learning models ESM and EVE, which do not explicitly model structure, showed stronger correlations with both experimental LDL uptake assays and clinical phenotypes in UK Biobank. This apparent paradox resolves when considering that ESM and EVE learn evolutionary patterns encoding functional constraints beyond what static structural models capture, while AF2 optimizes for structural accuracy rather than functional prediction. Traditional homology modeling with tools like Modeler and I-Tasser remained widely used, particularly when combined with mutagenesis analysis via Foldx or stability assessment via DUET. The </w:t>
      </w:r>
      <w:r w:rsidRPr="00482BD1">
        <w:lastRenderedPageBreak/>
        <w:t>complementary value of these approaches suggests that optimal variant interpretation requires integrating structural, evolutionary, and functional modeling rather than relying on any single method.</w:t>
      </w:r>
    </w:p>
    <w:p w14:paraId="60308BC9" w14:textId="77777777" w:rsidR="00482BD1" w:rsidRPr="00482BD1" w:rsidRDefault="00482BD1" w:rsidP="00482BD1">
      <w:r w:rsidRPr="00482BD1">
        <w:rPr>
          <w:b/>
          <w:bCs/>
        </w:rPr>
        <w:t>Validation outcomes demonstrate both the value and limitations of purely computational approaches.</w:t>
      </w:r>
      <w:r w:rsidRPr="00482BD1">
        <w:t> At one extreme, the SFIP-MutID model correctly predicted functional impact for 96% (52/54) of mutations with experimental data, while Islam et al.’s systematic functional characterization revealed that computational tools overestimated pathogenic variants overall. Silva et al. reported an 80% (4/5) failure rate for in silico predictions. This heterogeneity in computational accuracy is not random but reflects variant characteristics: computational methods performed best for variants causing gross structural disruption (frameshifts, nonsense mutations) where loss of function is mechanistically straightforward, but struggled with subtle missense variants where context-dependent effects dominate. The LDLR-R410S variant exemplifies this complexity—computational models predicted similar structure and binding to wild-type, yet functional studies revealed altered recycling dynamics and PCSK9 resistance, representing a novel class 8 mechanism that current structural modeling cannot capture. These findings indicate that high-throughput functional assays remain necessary to identify non-canonical mechanisms and validate predictions for clinical use.</w:t>
      </w:r>
    </w:p>
    <w:p w14:paraId="416F8712" w14:textId="77777777" w:rsidR="00482BD1" w:rsidRPr="00482BD1" w:rsidRDefault="00482BD1" w:rsidP="00482BD1">
      <w:r w:rsidRPr="00482BD1">
        <w:rPr>
          <w:b/>
          <w:bCs/>
        </w:rPr>
        <w:t>VUS reclassification success scales with integration of multiple evidence types.</w:t>
      </w:r>
      <w:r w:rsidRPr="00482BD1">
        <w:t> Studies achieving the highest reclassification rates combined functional data with computational predictions and clinical correlations. Islam et al. reclassified 79% (112/142) of VUS by integrating functional assays with computational tools and clinical outcomes in UK Biobank, while studies relying primarily on in silico predictions provided lower-confidence classifications. The functional activity grouping approach—categorizing variants by residual LDL uptake (0-10%, 10-30%, 30-70%, &gt;90%)—proved more clinically actionable than binary pathogenic/benign classifications, as it directly predicted cardiovascular risk (OR=6.1 for loss-of-function vs non-defective), LDL-C levels (OR=15.4), and treatment intensity requirements (OR=96.8 for combination therapy). This continuous rather than categorical framework better captures the reality that LDLR function exists on a spectrum, and clinical outcomes correlate with degree of functional impairment rather than arbitrary classification thresholds.</w:t>
      </w:r>
    </w:p>
    <w:p w14:paraId="6E9D8A57" w14:textId="77777777" w:rsidR="00482BD1" w:rsidRPr="00482BD1" w:rsidRDefault="00482BD1" w:rsidP="00482BD1">
      <w:r w:rsidRPr="00482BD1">
        <w:rPr>
          <w:b/>
          <w:bCs/>
        </w:rPr>
        <w:t>Therapeutic resistance mechanisms vary by variant class, requiring personalized treatment strategies.</w:t>
      </w:r>
      <w:r w:rsidRPr="00482BD1">
        <w:t xml:space="preserve"> Null variants causing complete loss of LDLR protein (frameshifts, nonsense mutations) showed uniformly poor responses to statins alone, requiring combination therapy including PCSK9 inhibitors, ezetimibe, and sometimes mipomersen or lomitapide. However, even PCSK9 inhibition proved insufficient for variants like LDLR-R410S that resist PCSK9-mediated degradation through altered recycling. Defective variants retaining 10-30% function showed intermediate </w:t>
      </w:r>
      <w:r w:rsidRPr="00482BD1">
        <w:lastRenderedPageBreak/>
        <w:t>responses, with OR=4.7 for requiring lipid-lowering drugs versus OR=7.6 for loss-of-function variants. These dose-response relationships suggest that variant functional characterization should directly inform treatment selection: null variants may benefit from LDL apheresis or novel therapies targeting synthesis (mipomersen, lomitapide), while defective variants may achieve target LDL-C with high-intensity statin plus ezetimibe. The c.2027delG Saudi founder mutation patients, resistant to multiple regimens, highlight how some variants may require early consideration of advanced therapies rather than sequential escalation through conventional options.</w:t>
      </w:r>
    </w:p>
    <w:p w14:paraId="2CD10C6A" w14:textId="77777777" w:rsidR="00482BD1" w:rsidRPr="00482BD1" w:rsidRDefault="00482BD1" w:rsidP="00482BD1">
      <w:r w:rsidRPr="00482BD1">
        <w:rPr>
          <w:b/>
          <w:bCs/>
        </w:rPr>
        <w:t>Geographic and population-specific patterns reveal founder effects and suggest targeted screening strategies.</w:t>
      </w:r>
      <w:r w:rsidRPr="00482BD1">
        <w:t> The c.2027delG variant in Saudi families, novel variants in Omani families, and population-specific variants in Greek and Vietnamese populations demonstrate that FH genetic architecture varies substantially across populations. The Saudi c.2027delG founder mutation affected twelve patients across two unrelated families, suggesting common ancestry and indicating that cascade screening in this population could efficiently identify at-risk individuals. Similarly, the identification of six putative pathogenic variants among twelve novel Greek variants suggests that genetically homogeneous populations may benefit from population-specific mutation panels rather than comprehensive sequencing. However, this approach must be balanced against the reality that approximately 17,000 possible missense variants exist, and comprehensive functional maps may be more cost-effective than population-by-population characterization for clinical implementation.</w:t>
      </w:r>
    </w:p>
    <w:p w14:paraId="6AD60C0E" w14:textId="77777777" w:rsidR="00482BD1" w:rsidRPr="00482BD1" w:rsidRDefault="00482BD1" w:rsidP="00482BD1">
      <w:pPr>
        <w:rPr>
          <w:b/>
          <w:bCs/>
        </w:rPr>
      </w:pPr>
      <w:r w:rsidRPr="00482BD1">
        <w:rPr>
          <w:b/>
          <w:bCs/>
        </w:rPr>
        <w:t>References</w:t>
      </w:r>
    </w:p>
    <w:p w14:paraId="30997537"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"https://elicit.com/review/5a6c24a1-06b2-4b5d-8c92-dd501788980c/source/ss-235629036"</w:instrText>
      </w:r>
      <w:r w:rsidRPr="00482BD1">
        <w:fldChar w:fldCharType="separate"/>
      </w:r>
    </w:p>
    <w:p w14:paraId="0A3289D6" w14:textId="77777777" w:rsidR="00482BD1" w:rsidRPr="00482BD1" w:rsidRDefault="00482BD1" w:rsidP="00482BD1">
      <w:pPr>
        <w:rPr>
          <w:rStyle w:val="Hyperlink"/>
        </w:rPr>
      </w:pPr>
      <w:r w:rsidRPr="00482BD1">
        <w:rPr>
          <w:rStyle w:val="Hyperlink"/>
        </w:rPr>
        <w:t>Z. Awan, Omran M. Rashidi, Bandar Al-shehri, K. Jamil, R. Elango, and 4 more</w:t>
      </w:r>
    </w:p>
    <w:p w14:paraId="4FDE9BD3" w14:textId="77777777" w:rsidR="00482BD1" w:rsidRPr="00482BD1" w:rsidRDefault="00482BD1" w:rsidP="00482BD1">
      <w:r w:rsidRPr="00482BD1">
        <w:rPr>
          <w:rStyle w:val="Hyperlink"/>
        </w:rPr>
        <w:t> (2021). </w:t>
      </w:r>
      <w:r w:rsidRPr="00482BD1">
        <w:rPr>
          <w:rStyle w:val="Hyperlink"/>
          <w:i/>
          <w:iCs/>
        </w:rPr>
        <w:t>Saudi Familial Hypercholesterolemia Patients With Rare LDLR Stop Gain Variant Showed Variable Clinical Phenotype and Resistance to Multiple Drug Regimen.</w:t>
      </w:r>
      <w:r w:rsidRPr="00482BD1">
        <w:rPr>
          <w:rStyle w:val="Hyperlink"/>
        </w:rPr>
        <w:t> Frontiers in Medicine</w:t>
      </w:r>
      <w:r w:rsidRPr="00482BD1">
        <w:fldChar w:fldCharType="end"/>
      </w:r>
    </w:p>
    <w:p w14:paraId="2A0CD9A0"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"https://elicit.com/review/5a6c24a1-06b2-4b5d-8c92-dd501788980c/source/ss-66877425"</w:instrText>
      </w:r>
      <w:r w:rsidRPr="00482BD1">
        <w:fldChar w:fldCharType="separate"/>
      </w:r>
    </w:p>
    <w:p w14:paraId="4A059F26" w14:textId="77777777" w:rsidR="00482BD1" w:rsidRPr="00482BD1" w:rsidRDefault="00482BD1" w:rsidP="00482BD1">
      <w:pPr>
        <w:rPr>
          <w:rStyle w:val="Hyperlink"/>
        </w:rPr>
      </w:pPr>
      <w:r w:rsidRPr="00482BD1">
        <w:rPr>
          <w:rStyle w:val="Hyperlink"/>
        </w:rPr>
        <w:t>E. Klee, Michael T. Zimmermann</w:t>
      </w:r>
    </w:p>
    <w:p w14:paraId="54B74E58" w14:textId="77777777" w:rsidR="00482BD1" w:rsidRPr="00482BD1" w:rsidRDefault="00482BD1" w:rsidP="00482BD1">
      <w:r w:rsidRPr="00482BD1">
        <w:rPr>
          <w:rStyle w:val="Hyperlink"/>
        </w:rPr>
        <w:t> (2019). </w:t>
      </w:r>
      <w:r w:rsidRPr="00482BD1">
        <w:rPr>
          <w:rStyle w:val="Hyperlink"/>
          <w:i/>
          <w:iCs/>
        </w:rPr>
        <w:t>Molecular modeling of LDLR aids interpretation of genomic variants.</w:t>
      </w:r>
      <w:r w:rsidRPr="00482BD1">
        <w:rPr>
          <w:rStyle w:val="Hyperlink"/>
        </w:rPr>
        <w:t> Journal of molecular medicine</w:t>
      </w:r>
      <w:r w:rsidRPr="00482BD1">
        <w:fldChar w:fldCharType="end"/>
      </w:r>
    </w:p>
    <w:p w14:paraId="17456222"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"https://elicit.com/review/5a6c24a1-06b2-4b5d-8c92-dd501788980c/source/ss-259896855"</w:instrText>
      </w:r>
      <w:r w:rsidRPr="00482BD1">
        <w:fldChar w:fldCharType="separate"/>
      </w:r>
    </w:p>
    <w:p w14:paraId="5BD275DC" w14:textId="77777777" w:rsidR="00482BD1" w:rsidRPr="00482BD1" w:rsidRDefault="00482BD1" w:rsidP="00482BD1">
      <w:pPr>
        <w:rPr>
          <w:rStyle w:val="Hyperlink"/>
        </w:rPr>
      </w:pPr>
      <w:r w:rsidRPr="00482BD1">
        <w:rPr>
          <w:rStyle w:val="Hyperlink"/>
        </w:rPr>
        <w:t>M. Athar, Mawaddah Toonsi, Z. Abduljaleel, A. Bouazzaoui, N. Bogari, and 2 more</w:t>
      </w:r>
    </w:p>
    <w:p w14:paraId="34006C03" w14:textId="77777777" w:rsidR="00482BD1" w:rsidRPr="00482BD1" w:rsidRDefault="00482BD1" w:rsidP="00482BD1">
      <w:r w:rsidRPr="00482BD1">
        <w:rPr>
          <w:rStyle w:val="Hyperlink"/>
        </w:rPr>
        <w:t> (2023). </w:t>
      </w:r>
      <w:r w:rsidRPr="00482BD1">
        <w:rPr>
          <w:rStyle w:val="Hyperlink"/>
          <w:i/>
          <w:iCs/>
        </w:rPr>
        <w:t>Novel LDLR Variant in Familial Hypercholesterolemia: NGS-Based Identification, In Silico Characterization, and Pharmacogenetic Insights.</w:t>
      </w:r>
      <w:r w:rsidRPr="00482BD1">
        <w:rPr>
          <w:rStyle w:val="Hyperlink"/>
        </w:rPr>
        <w:t> Life</w:t>
      </w:r>
      <w:r w:rsidRPr="00482BD1">
        <w:fldChar w:fldCharType="end"/>
      </w:r>
    </w:p>
    <w:p w14:paraId="0F3C88EF" w14:textId="77777777" w:rsidR="00482BD1" w:rsidRPr="00482BD1" w:rsidRDefault="00482BD1" w:rsidP="00482BD1">
      <w:pPr>
        <w:rPr>
          <w:rStyle w:val="Hyperlink"/>
        </w:rPr>
      </w:pPr>
      <w:r w:rsidRPr="00482BD1">
        <w:lastRenderedPageBreak/>
        <w:fldChar w:fldCharType="begin"/>
      </w:r>
      <w:r w:rsidRPr="00482BD1">
        <w:instrText>HYPERLINK "https://elicit.com/review/5a6c24a1-06b2-4b5d-8c92-dd501788980c/source/ss-58654784"</w:instrText>
      </w:r>
      <w:r w:rsidRPr="00482BD1">
        <w:fldChar w:fldCharType="separate"/>
      </w:r>
    </w:p>
    <w:p w14:paraId="205DE423" w14:textId="77777777" w:rsidR="00482BD1" w:rsidRPr="00482BD1" w:rsidRDefault="00482BD1" w:rsidP="00482BD1">
      <w:pPr>
        <w:rPr>
          <w:rStyle w:val="Hyperlink"/>
        </w:rPr>
      </w:pPr>
      <w:r w:rsidRPr="00482BD1">
        <w:rPr>
          <w:rStyle w:val="Hyperlink"/>
        </w:rPr>
        <w:t>Jiayan Guo, Yan Gao, Xun Li, Ying He, Xin Zheng, and 6 more</w:t>
      </w:r>
    </w:p>
    <w:p w14:paraId="4D05C5BE" w14:textId="77777777" w:rsidR="00482BD1" w:rsidRPr="00482BD1" w:rsidRDefault="00482BD1" w:rsidP="00482BD1">
      <w:r w:rsidRPr="00482BD1">
        <w:rPr>
          <w:rStyle w:val="Hyperlink"/>
        </w:rPr>
        <w:t> (2019). </w:t>
      </w:r>
      <w:r w:rsidRPr="00482BD1">
        <w:rPr>
          <w:rStyle w:val="Hyperlink"/>
          <w:i/>
          <w:iCs/>
        </w:rPr>
        <w:t>Systematic prediction of familial hypercholesterolemia caused by low-density lipoprotein receptor missense mutations.</w:t>
      </w:r>
      <w:r w:rsidRPr="00482BD1">
        <w:rPr>
          <w:rStyle w:val="Hyperlink"/>
        </w:rPr>
        <w:t> Atherosclerosis</w:t>
      </w:r>
      <w:r w:rsidRPr="00482BD1">
        <w:fldChar w:fldCharType="end"/>
      </w:r>
    </w:p>
    <w:p w14:paraId="717FD83F"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"https://elicit.com/review/5a6c24a1-06b2-4b5d-8c92-dd501788980c/source/ss-282605808"</w:instrText>
      </w:r>
      <w:r w:rsidRPr="00482BD1">
        <w:fldChar w:fldCharType="separate"/>
      </w:r>
    </w:p>
    <w:p w14:paraId="5097DB00" w14:textId="77777777" w:rsidR="00482BD1" w:rsidRPr="00482BD1" w:rsidRDefault="00482BD1" w:rsidP="00482BD1">
      <w:pPr>
        <w:rPr>
          <w:rStyle w:val="Hyperlink"/>
        </w:rPr>
      </w:pPr>
      <w:r w:rsidRPr="00482BD1">
        <w:rPr>
          <w:rStyle w:val="Hyperlink"/>
        </w:rPr>
        <w:t>Daniel R. Tabet, Atina G. Coté, M. Lancaster, Jochen Weile, Ashyad Rayhan, and 29 more</w:t>
      </w:r>
    </w:p>
    <w:p w14:paraId="6CB9816A" w14:textId="77777777" w:rsidR="00482BD1" w:rsidRPr="00482BD1" w:rsidRDefault="00482BD1" w:rsidP="00482BD1">
      <w:r w:rsidRPr="00482BD1">
        <w:rPr>
          <w:rStyle w:val="Hyperlink"/>
        </w:rPr>
        <w:t> (2025). </w:t>
      </w:r>
      <w:r w:rsidRPr="00482BD1">
        <w:rPr>
          <w:rStyle w:val="Hyperlink"/>
          <w:i/>
          <w:iCs/>
        </w:rPr>
        <w:t>The functional landscape of coding variation in the familial hypercholesterolemia gene LDLR.</w:t>
      </w:r>
      <w:r w:rsidRPr="00482BD1">
        <w:rPr>
          <w:rStyle w:val="Hyperlink"/>
        </w:rPr>
        <w:t> Science</w:t>
      </w:r>
      <w:r w:rsidRPr="00482BD1">
        <w:fldChar w:fldCharType="end"/>
      </w:r>
    </w:p>
    <w:p w14:paraId="23A6A75C"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"https://elicit.com/review/5a6c24a1-06b2-4b5d-8c92-dd501788980c/source/ss-280904997"</w:instrText>
      </w:r>
      <w:r w:rsidRPr="00482BD1">
        <w:fldChar w:fldCharType="separate"/>
      </w:r>
    </w:p>
    <w:p w14:paraId="4B6F44F8" w14:textId="77777777" w:rsidR="00482BD1" w:rsidRPr="00482BD1" w:rsidRDefault="00482BD1" w:rsidP="00482BD1">
      <w:pPr>
        <w:rPr>
          <w:rStyle w:val="Hyperlink"/>
        </w:rPr>
      </w:pPr>
      <w:r w:rsidRPr="00482BD1">
        <w:rPr>
          <w:rStyle w:val="Hyperlink"/>
        </w:rPr>
        <w:t>H. B. A. Mahdi, N. A. Shaik, B. Banaganapalli, Sherif Edris, Rawabi Zahed, and 9 more</w:t>
      </w:r>
    </w:p>
    <w:p w14:paraId="06B5C20D" w14:textId="77777777" w:rsidR="00482BD1" w:rsidRPr="00482BD1" w:rsidRDefault="00482BD1" w:rsidP="00482BD1">
      <w:r w:rsidRPr="00482BD1">
        <w:rPr>
          <w:rStyle w:val="Hyperlink"/>
        </w:rPr>
        <w:t> (2025). </w:t>
      </w:r>
      <w:r w:rsidRPr="00482BD1">
        <w:rPr>
          <w:rStyle w:val="Hyperlink"/>
          <w:i/>
          <w:iCs/>
        </w:rPr>
        <w:t>Pathogenic LDLR Variants (c.103</w:t>
      </w:r>
      <w:r w:rsidRPr="00482BD1">
        <w:rPr>
          <w:rStyle w:val="Hyperlink"/>
          <w:rFonts w:ascii="Arial" w:hAnsi="Arial" w:cs="Arial"/>
          <w:i/>
          <w:iCs/>
        </w:rPr>
        <w:t> </w:t>
      </w:r>
      <w:r w:rsidRPr="00482BD1">
        <w:rPr>
          <w:rStyle w:val="Hyperlink"/>
          <w:i/>
          <w:iCs/>
        </w:rPr>
        <w:t>C&gt;T and c.2416dup) in ligand-binding and cytosolic domains in Saudi familial hypercholesterolemia: Molecular characterization and computational insights.</w:t>
      </w:r>
      <w:r w:rsidRPr="00482BD1">
        <w:rPr>
          <w:rStyle w:val="Hyperlink"/>
        </w:rPr>
        <w:t> Computational and Structural Biotechnology Journal</w:t>
      </w:r>
      <w:r w:rsidRPr="00482BD1">
        <w:fldChar w:fldCharType="end"/>
      </w:r>
    </w:p>
    <w:p w14:paraId="05E22C0A"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"https://elicit.com/review/5a6c24a1-06b2-4b5d-8c92-dd501788980c/source/ss-10529561"</w:instrText>
      </w:r>
      <w:r w:rsidRPr="00482BD1">
        <w:fldChar w:fldCharType="separate"/>
      </w:r>
    </w:p>
    <w:p w14:paraId="50C041C4" w14:textId="77777777" w:rsidR="00482BD1" w:rsidRPr="00482BD1" w:rsidRDefault="00482BD1" w:rsidP="00482BD1">
      <w:pPr>
        <w:rPr>
          <w:rStyle w:val="Hyperlink"/>
        </w:rPr>
      </w:pPr>
      <w:r w:rsidRPr="00482BD1">
        <w:rPr>
          <w:rStyle w:val="Hyperlink"/>
        </w:rPr>
        <w:t>Delia Susan-Resiga, E. Girard, R. S. Kiss, R. Essalmani, J. Hamelin, and 8 more</w:t>
      </w:r>
    </w:p>
    <w:p w14:paraId="7AA7D6A3" w14:textId="77777777" w:rsidR="00482BD1" w:rsidRPr="00482BD1" w:rsidRDefault="00482BD1" w:rsidP="00482BD1">
      <w:r w:rsidRPr="00482BD1">
        <w:rPr>
          <w:rStyle w:val="Hyperlink"/>
        </w:rPr>
        <w:t> (2016). </w:t>
      </w:r>
      <w:r w:rsidRPr="00482BD1">
        <w:rPr>
          <w:rStyle w:val="Hyperlink"/>
          <w:i/>
          <w:iCs/>
        </w:rPr>
        <w:t>The Proprotein Convertase Subtilisin/Kexin Type 9-resistant R410S Low Density Lipoprotein Receptor Mutation.</w:t>
      </w:r>
      <w:r w:rsidRPr="00482BD1">
        <w:rPr>
          <w:rStyle w:val="Hyperlink"/>
        </w:rPr>
        <w:t> Journal of Biological Chemistry</w:t>
      </w:r>
      <w:r w:rsidRPr="00482BD1">
        <w:fldChar w:fldCharType="end"/>
      </w:r>
    </w:p>
    <w:p w14:paraId="13E234A3"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"https://elicit.com/review/5a6c24a1-06b2-4b5d-8c92-dd501788980c/source/ss-24547128"</w:instrText>
      </w:r>
      <w:r w:rsidRPr="00482BD1">
        <w:fldChar w:fldCharType="separate"/>
      </w:r>
    </w:p>
    <w:p w14:paraId="680A09C9" w14:textId="77777777" w:rsidR="00482BD1" w:rsidRPr="00482BD1" w:rsidRDefault="00482BD1" w:rsidP="00482BD1">
      <w:pPr>
        <w:rPr>
          <w:rStyle w:val="Hyperlink"/>
        </w:rPr>
      </w:pPr>
      <w:r w:rsidRPr="00482BD1">
        <w:rPr>
          <w:rStyle w:val="Hyperlink"/>
        </w:rPr>
        <w:t>V. E. Angarica, M. Orozco, J. Sancho</w:t>
      </w:r>
    </w:p>
    <w:p w14:paraId="6426432D" w14:textId="77777777" w:rsidR="00482BD1" w:rsidRPr="00482BD1" w:rsidRDefault="00482BD1" w:rsidP="00482BD1">
      <w:r w:rsidRPr="00482BD1">
        <w:rPr>
          <w:rStyle w:val="Hyperlink"/>
        </w:rPr>
        <w:t> (2016). </w:t>
      </w:r>
      <w:r w:rsidRPr="00482BD1">
        <w:rPr>
          <w:rStyle w:val="Hyperlink"/>
          <w:i/>
          <w:iCs/>
        </w:rPr>
        <w:t>Exploring the complete mutational space of the LDL receptor LA5 domain using molecular dynamics: linking SNPs with disease phenotypes in familial hypercholesterolemia.</w:t>
      </w:r>
      <w:r w:rsidRPr="00482BD1">
        <w:rPr>
          <w:rStyle w:val="Hyperlink"/>
        </w:rPr>
        <w:t> Human Molecular Genetics</w:t>
      </w:r>
      <w:r w:rsidRPr="00482BD1">
        <w:fldChar w:fldCharType="end"/>
      </w:r>
    </w:p>
    <w:p w14:paraId="2AEC096A"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"https://elicit.com/review/5a6c24a1-06b2-4b5d-8c92-dd501788980c/source/ss-254245679"</w:instrText>
      </w:r>
      <w:r w:rsidRPr="00482BD1">
        <w:fldChar w:fldCharType="separate"/>
      </w:r>
    </w:p>
    <w:p w14:paraId="3C31E8D9" w14:textId="77777777" w:rsidR="00482BD1" w:rsidRPr="00482BD1" w:rsidRDefault="00482BD1" w:rsidP="00482BD1">
      <w:pPr>
        <w:rPr>
          <w:rStyle w:val="Hyperlink"/>
        </w:rPr>
      </w:pPr>
      <w:r w:rsidRPr="00482BD1">
        <w:rPr>
          <w:rStyle w:val="Hyperlink"/>
        </w:rPr>
        <w:t>Thais Kristini Almendros Barbosa, Rosario Dominguez Crespo Hirata, Glaucio Monteiro Ferreira, Jéssica Bassani Borges, Victor Fernandes de Oliveira, and 11 more</w:t>
      </w:r>
    </w:p>
    <w:p w14:paraId="61BE8F4B" w14:textId="77777777" w:rsidR="00482BD1" w:rsidRPr="00482BD1" w:rsidRDefault="00482BD1" w:rsidP="00482BD1">
      <w:r w:rsidRPr="00482BD1">
        <w:rPr>
          <w:rStyle w:val="Hyperlink"/>
        </w:rPr>
        <w:t> (2022). </w:t>
      </w:r>
      <w:r w:rsidRPr="00482BD1">
        <w:rPr>
          <w:rStyle w:val="Hyperlink"/>
          <w:i/>
          <w:iCs/>
        </w:rPr>
        <w:t>LDLR missense variants disturb structural conformation and LDLR activity in T-lymphocytes of Familial Hypercholesterolemia patients.</w:t>
      </w:r>
      <w:r w:rsidRPr="00482BD1">
        <w:rPr>
          <w:rStyle w:val="Hyperlink"/>
        </w:rPr>
        <w:t> Gene</w:t>
      </w:r>
      <w:r w:rsidRPr="00482BD1">
        <w:fldChar w:fldCharType="end"/>
      </w:r>
    </w:p>
    <w:p w14:paraId="668C0E81"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"https://elicit.com/review/5a6c24a1-06b2-4b5d-8c92-dd501788980c/source/ss-45298924"</w:instrText>
      </w:r>
      <w:r w:rsidRPr="00482BD1">
        <w:fldChar w:fldCharType="separate"/>
      </w:r>
    </w:p>
    <w:p w14:paraId="26155809" w14:textId="77777777" w:rsidR="00482BD1" w:rsidRPr="00482BD1" w:rsidRDefault="00482BD1" w:rsidP="00482BD1">
      <w:pPr>
        <w:rPr>
          <w:rStyle w:val="Hyperlink"/>
        </w:rPr>
      </w:pPr>
      <w:r w:rsidRPr="00482BD1">
        <w:rPr>
          <w:rStyle w:val="Hyperlink"/>
        </w:rPr>
        <w:t>Khalid Al-Rasadi, K. Al-Waili, Ward Al-Muna Al-Zidi, Abdulrahim Al-Abri, A. Al-Hinai, and 6 more</w:t>
      </w:r>
    </w:p>
    <w:p w14:paraId="1BDF1DB3" w14:textId="77777777" w:rsidR="00482BD1" w:rsidRPr="00482BD1" w:rsidRDefault="00482BD1" w:rsidP="00482BD1">
      <w:r w:rsidRPr="00482BD1">
        <w:rPr>
          <w:rStyle w:val="Hyperlink"/>
        </w:rPr>
        <w:lastRenderedPageBreak/>
        <w:t> (2014). </w:t>
      </w:r>
      <w:r w:rsidRPr="00482BD1">
        <w:rPr>
          <w:rStyle w:val="Hyperlink"/>
          <w:i/>
          <w:iCs/>
        </w:rPr>
        <w:t>Low-Density Lipoprotein Receptor Gene Mutation Analysis and Structure–Function Correlation in an Omani Arab Family With Familial Hypercholesterolemia.</w:t>
      </w:r>
      <w:r w:rsidRPr="00482BD1">
        <w:rPr>
          <w:rStyle w:val="Hyperlink"/>
        </w:rPr>
        <w:t> Angiology</w:t>
      </w:r>
      <w:r w:rsidRPr="00482BD1">
        <w:fldChar w:fldCharType="end"/>
      </w:r>
    </w:p>
    <w:p w14:paraId="598319FE"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"https://elicit.com/review/5a6c24a1-06b2-4b5d-8c92-dd501788980c/source/ss-226235539"</w:instrText>
      </w:r>
      <w:r w:rsidRPr="00482BD1">
        <w:fldChar w:fldCharType="separate"/>
      </w:r>
    </w:p>
    <w:p w14:paraId="1589076F" w14:textId="77777777" w:rsidR="00482BD1" w:rsidRPr="00482BD1" w:rsidRDefault="00482BD1" w:rsidP="00482BD1">
      <w:pPr>
        <w:rPr>
          <w:rStyle w:val="Hyperlink"/>
        </w:rPr>
      </w:pPr>
      <w:r w:rsidRPr="00482BD1">
        <w:rPr>
          <w:rStyle w:val="Hyperlink"/>
        </w:rPr>
        <w:t>J. Borges, V. F. Oliveira, G. M. Ferreira, Bruna Los, T. Barbosa, and 38 more</w:t>
      </w:r>
    </w:p>
    <w:p w14:paraId="44EEDEDA" w14:textId="77777777" w:rsidR="00482BD1" w:rsidRPr="00482BD1" w:rsidRDefault="00482BD1" w:rsidP="00482BD1">
      <w:r w:rsidRPr="00482BD1">
        <w:rPr>
          <w:rStyle w:val="Hyperlink"/>
        </w:rPr>
        <w:t> (2020). </w:t>
      </w:r>
      <w:r w:rsidRPr="00482BD1">
        <w:rPr>
          <w:rStyle w:val="Hyperlink"/>
          <w:i/>
          <w:iCs/>
        </w:rPr>
        <w:t>Genomics, epigenomics and pharmacogenomics of Familial Hypercholesterolemia (FHBGEP): A study protocol.</w:t>
      </w:r>
      <w:r w:rsidRPr="00482BD1">
        <w:rPr>
          <w:rStyle w:val="Hyperlink"/>
        </w:rPr>
        <w:t> Research in Social and Administrative Pharmacy</w:t>
      </w:r>
      <w:r w:rsidRPr="00482BD1">
        <w:fldChar w:fldCharType="end"/>
      </w:r>
    </w:p>
    <w:p w14:paraId="1AE82D82"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"https://elicit.com/review/5a6c24a1-06b2-4b5d-8c92-dd501788980c/source/ss-912824"</w:instrText>
      </w:r>
      <w:r w:rsidRPr="00482BD1">
        <w:fldChar w:fldCharType="separate"/>
      </w:r>
    </w:p>
    <w:p w14:paraId="5826A5AC" w14:textId="77777777" w:rsidR="00482BD1" w:rsidRPr="00482BD1" w:rsidRDefault="00482BD1" w:rsidP="00482BD1">
      <w:pPr>
        <w:rPr>
          <w:rStyle w:val="Hyperlink"/>
        </w:rPr>
      </w:pPr>
      <w:r w:rsidRPr="00482BD1">
        <w:rPr>
          <w:rStyle w:val="Hyperlink"/>
        </w:rPr>
        <w:t>V. Mollaki, P. Progias, E. Drogari</w:t>
      </w:r>
    </w:p>
    <w:p w14:paraId="5DAEA255" w14:textId="77777777" w:rsidR="00482BD1" w:rsidRPr="00482BD1" w:rsidRDefault="00482BD1" w:rsidP="00482BD1">
      <w:r w:rsidRPr="00482BD1">
        <w:rPr>
          <w:rStyle w:val="Hyperlink"/>
        </w:rPr>
        <w:t> (2013). </w:t>
      </w:r>
      <w:r w:rsidRPr="00482BD1">
        <w:rPr>
          <w:rStyle w:val="Hyperlink"/>
          <w:i/>
          <w:iCs/>
        </w:rPr>
        <w:t>Novel LDLR Variants in Patients with Familial Hypercholesterolemia: In Silico Analysis as a Tool to Predict Pathogenic Variants in Children and Their Families.</w:t>
      </w:r>
      <w:r w:rsidRPr="00482BD1">
        <w:rPr>
          <w:rStyle w:val="Hyperlink"/>
        </w:rPr>
        <w:t> Annals of Human Genetics</w:t>
      </w:r>
      <w:r w:rsidRPr="00482BD1">
        <w:fldChar w:fldCharType="end"/>
      </w:r>
    </w:p>
    <w:p w14:paraId="0F967178"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"https://elicit.com/review/5a6c24a1-06b2-4b5d-8c92-dd501788980c/source/ss-52895113"</w:instrText>
      </w:r>
      <w:r w:rsidRPr="00482BD1">
        <w:fldChar w:fldCharType="separate"/>
      </w:r>
    </w:p>
    <w:p w14:paraId="198BD33A" w14:textId="77777777" w:rsidR="00482BD1" w:rsidRPr="00482BD1" w:rsidRDefault="00482BD1" w:rsidP="00482BD1">
      <w:pPr>
        <w:rPr>
          <w:rStyle w:val="Hyperlink"/>
        </w:rPr>
      </w:pPr>
      <w:r w:rsidRPr="00482BD1">
        <w:rPr>
          <w:rStyle w:val="Hyperlink"/>
        </w:rPr>
        <w:t>Fahad Alnouri, M. Athar, F. Al-Allaf, Z. Abduljaleel, M. Taher, and 4 more</w:t>
      </w:r>
    </w:p>
    <w:p w14:paraId="24330840" w14:textId="77777777" w:rsidR="00482BD1" w:rsidRPr="00482BD1" w:rsidRDefault="00482BD1" w:rsidP="00482BD1">
      <w:r w:rsidRPr="00482BD1">
        <w:rPr>
          <w:rStyle w:val="Hyperlink"/>
        </w:rPr>
        <w:t> (2018). </w:t>
      </w:r>
      <w:r w:rsidRPr="00482BD1">
        <w:rPr>
          <w:rStyle w:val="Hyperlink"/>
          <w:i/>
          <w:iCs/>
        </w:rPr>
        <w:t>Novel combined variants of LDLR and LDLRAP1 genes causing severe familial hypercholesterolemia.</w:t>
      </w:r>
      <w:r w:rsidRPr="00482BD1">
        <w:rPr>
          <w:rStyle w:val="Hyperlink"/>
        </w:rPr>
        <w:t> Atherosclerosis</w:t>
      </w:r>
      <w:r w:rsidRPr="00482BD1">
        <w:fldChar w:fldCharType="end"/>
      </w:r>
    </w:p>
    <w:p w14:paraId="54D05138"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"https://elicit.com/review/5a6c24a1-06b2-4b5d-8c92-dd501788980c/source/ss-274399079"</w:instrText>
      </w:r>
      <w:r w:rsidRPr="00482BD1">
        <w:fldChar w:fldCharType="separate"/>
      </w:r>
    </w:p>
    <w:p w14:paraId="56C8C69B" w14:textId="77777777" w:rsidR="00482BD1" w:rsidRPr="00482BD1" w:rsidRDefault="00482BD1" w:rsidP="00482BD1">
      <w:pPr>
        <w:rPr>
          <w:rStyle w:val="Hyperlink"/>
        </w:rPr>
      </w:pPr>
      <w:r w:rsidRPr="00482BD1">
        <w:rPr>
          <w:rStyle w:val="Hyperlink"/>
        </w:rPr>
        <w:t>N. Kim, D. Do, M. Nguyen, H. Le, T. Le, and 1 more</w:t>
      </w:r>
    </w:p>
    <w:p w14:paraId="6F780C69" w14:textId="77777777" w:rsidR="00482BD1" w:rsidRPr="00482BD1" w:rsidRDefault="00482BD1" w:rsidP="00482BD1">
      <w:r w:rsidRPr="00482BD1">
        <w:rPr>
          <w:rStyle w:val="Hyperlink"/>
        </w:rPr>
        <w:t> (2024). </w:t>
      </w:r>
      <w:r w:rsidRPr="00482BD1">
        <w:rPr>
          <w:rStyle w:val="Hyperlink"/>
          <w:i/>
          <w:iCs/>
        </w:rPr>
        <w:t>Exploring LDLR-APOB Interactions in Familial Hypercholesterolemia in the Vietnamese Population: A Protein-Protein Docking Approach.</w:t>
      </w:r>
      <w:r w:rsidRPr="00482BD1">
        <w:rPr>
          <w:rStyle w:val="Hyperlink"/>
        </w:rPr>
        <w:t> Bioinformatics and Biology Insights</w:t>
      </w:r>
      <w:r w:rsidRPr="00482BD1">
        <w:fldChar w:fldCharType="end"/>
      </w:r>
    </w:p>
    <w:p w14:paraId="6B810BC2"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"https://elicit.com/review/5a6c24a1-06b2-4b5d-8c92-dd501788980c/source/ss-91317085"</w:instrText>
      </w:r>
      <w:r w:rsidRPr="00482BD1">
        <w:fldChar w:fldCharType="separate"/>
      </w:r>
    </w:p>
    <w:p w14:paraId="50ACF5CE" w14:textId="77777777" w:rsidR="00482BD1" w:rsidRPr="00482BD1" w:rsidRDefault="00482BD1" w:rsidP="00482BD1">
      <w:pPr>
        <w:rPr>
          <w:rStyle w:val="Hyperlink"/>
        </w:rPr>
      </w:pPr>
      <w:r w:rsidRPr="00482BD1">
        <w:rPr>
          <w:rStyle w:val="Hyperlink"/>
        </w:rPr>
        <w:t>Yajnavalka Banerjee</w:t>
      </w:r>
    </w:p>
    <w:p w14:paraId="165EC212" w14:textId="77777777" w:rsidR="00482BD1" w:rsidRPr="00482BD1" w:rsidRDefault="00482BD1" w:rsidP="00482BD1">
      <w:r w:rsidRPr="00482BD1">
        <w:rPr>
          <w:rStyle w:val="Hyperlink"/>
        </w:rPr>
        <w:t> (2014). </w:t>
      </w:r>
      <w:r w:rsidRPr="00482BD1">
        <w:rPr>
          <w:rStyle w:val="Hyperlink"/>
          <w:i/>
          <w:iCs/>
        </w:rPr>
        <w:t>Abstract 395: Identification and Characterization of a Novel Mutation in the Low-Density Lipoprotein Receptor Gene in an Omani Arab Family With Familial Hypercholesterolemia.</w:t>
      </w:r>
      <w:r w:rsidRPr="00482BD1">
        <w:rPr>
          <w:rStyle w:val="Hyperlink"/>
        </w:rPr>
        <w:t> Arteriosclerosis, Thrombosis and Vascular Biology</w:t>
      </w:r>
      <w:r w:rsidRPr="00482BD1">
        <w:fldChar w:fldCharType="end"/>
      </w:r>
    </w:p>
    <w:p w14:paraId="4C47E509"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"https://elicit.com/review/5a6c24a1-06b2-4b5d-8c92-dd501788980c/source/ss-266559679"</w:instrText>
      </w:r>
      <w:r w:rsidRPr="00482BD1">
        <w:fldChar w:fldCharType="separate"/>
      </w:r>
    </w:p>
    <w:p w14:paraId="7D2A6275" w14:textId="77777777" w:rsidR="00482BD1" w:rsidRPr="00482BD1" w:rsidRDefault="00482BD1" w:rsidP="00482BD1">
      <w:pPr>
        <w:rPr>
          <w:rStyle w:val="Hyperlink"/>
        </w:rPr>
      </w:pPr>
      <w:r w:rsidRPr="00482BD1">
        <w:rPr>
          <w:rStyle w:val="Hyperlink"/>
        </w:rPr>
        <w:t>Mohammad Majharul Islam, M. Tamlander, I. Hlushchenko, S. Ripatti, S. Pfisterer</w:t>
      </w:r>
    </w:p>
    <w:p w14:paraId="5E101AB0" w14:textId="77777777" w:rsidR="00482BD1" w:rsidRPr="00482BD1" w:rsidRDefault="00482BD1" w:rsidP="00482BD1">
      <w:r w:rsidRPr="00482BD1">
        <w:rPr>
          <w:rStyle w:val="Hyperlink"/>
        </w:rPr>
        <w:t> (2023). </w:t>
      </w:r>
      <w:r w:rsidRPr="00482BD1">
        <w:rPr>
          <w:rStyle w:val="Hyperlink"/>
          <w:i/>
          <w:iCs/>
        </w:rPr>
        <w:t>Large-Scale Functional Characterization of Low-Density Lipoprotein Receptor Gene Variants Improves Risk Assessment in Cardiovascular Disease.</w:t>
      </w:r>
      <w:r w:rsidRPr="00482BD1">
        <w:rPr>
          <w:rStyle w:val="Hyperlink"/>
        </w:rPr>
        <w:t> medRxiv</w:t>
      </w:r>
      <w:r w:rsidRPr="00482BD1">
        <w:fldChar w:fldCharType="end"/>
      </w:r>
    </w:p>
    <w:p w14:paraId="2ADCB944"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"https://elicit.com/review/5a6c24a1-06b2-4b5d-8c92-dd501788980c/source/ss-262148360"</w:instrText>
      </w:r>
      <w:r w:rsidRPr="00482BD1">
        <w:fldChar w:fldCharType="separate"/>
      </w:r>
    </w:p>
    <w:p w14:paraId="70BC2BAF" w14:textId="77777777" w:rsidR="00482BD1" w:rsidRPr="00482BD1" w:rsidRDefault="00482BD1" w:rsidP="00482BD1">
      <w:pPr>
        <w:rPr>
          <w:rStyle w:val="Hyperlink"/>
        </w:rPr>
      </w:pPr>
      <w:r w:rsidRPr="00482BD1">
        <w:rPr>
          <w:rStyle w:val="Hyperlink"/>
        </w:rPr>
        <w:lastRenderedPageBreak/>
        <w:t>Augusto Akira Mori, Vanessa Barbosa Malaquias, Kennedy Bonjour, Glaucio Monteiro Ferreira, Raul Hernandes Bortolin, and 12 more</w:t>
      </w:r>
    </w:p>
    <w:p w14:paraId="7DE4CB70" w14:textId="77777777" w:rsidR="00482BD1" w:rsidRPr="00482BD1" w:rsidRDefault="00482BD1" w:rsidP="00482BD1">
      <w:r w:rsidRPr="00482BD1">
        <w:rPr>
          <w:rStyle w:val="Hyperlink"/>
        </w:rPr>
        <w:t> (2023). </w:t>
      </w:r>
      <w:r w:rsidRPr="00482BD1">
        <w:rPr>
          <w:rStyle w:val="Hyperlink"/>
          <w:i/>
          <w:iCs/>
        </w:rPr>
        <w:t>Effects of LDLR variants rs5928, rs750518671 and rs879254797 on protein structure and functional activity in HepG2 cells transfected with CRISPR/Cas9 constructs.</w:t>
      </w:r>
      <w:r w:rsidRPr="00482BD1">
        <w:rPr>
          <w:rStyle w:val="Hyperlink"/>
        </w:rPr>
        <w:t> Gene</w:t>
      </w:r>
      <w:r w:rsidRPr="00482BD1">
        <w:fldChar w:fldCharType="end"/>
      </w:r>
    </w:p>
    <w:p w14:paraId="4D5D730F"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"https://elicit.com/review/5a6c24a1-06b2-4b5d-8c92-dd501788980c/source/ss-261382640"</w:instrText>
      </w:r>
      <w:r w:rsidRPr="00482BD1">
        <w:fldChar w:fldCharType="separate"/>
      </w:r>
    </w:p>
    <w:p w14:paraId="1513EB88" w14:textId="77777777" w:rsidR="00482BD1" w:rsidRPr="00482BD1" w:rsidRDefault="00482BD1" w:rsidP="00482BD1">
      <w:pPr>
        <w:rPr>
          <w:rStyle w:val="Hyperlink"/>
        </w:rPr>
      </w:pPr>
      <w:r w:rsidRPr="00482BD1">
        <w:rPr>
          <w:rStyle w:val="Hyperlink"/>
        </w:rPr>
        <w:t>A. Mori, V. Malaquias, K. Bonjour, T. Afonso, G. Ferreira, and 3 more</w:t>
      </w:r>
    </w:p>
    <w:p w14:paraId="383F7528" w14:textId="77777777" w:rsidR="00482BD1" w:rsidRPr="00482BD1" w:rsidRDefault="00482BD1" w:rsidP="00482BD1">
      <w:r w:rsidRPr="00482BD1">
        <w:rPr>
          <w:rStyle w:val="Hyperlink"/>
        </w:rPr>
        <w:t> (2023). </w:t>
      </w:r>
      <w:r w:rsidRPr="00482BD1">
        <w:rPr>
          <w:rStyle w:val="Hyperlink"/>
          <w:i/>
          <w:iCs/>
        </w:rPr>
        <w:t>Functional analyses of LDLR genetic variants found in familial hypercholesterolemic patients, using CRISPR/Cas9.</w:t>
      </w:r>
      <w:r w:rsidRPr="00482BD1">
        <w:rPr>
          <w:rStyle w:val="Hyperlink"/>
        </w:rPr>
        <w:t> Atherosclerosis</w:t>
      </w:r>
      <w:r w:rsidRPr="00482BD1">
        <w:fldChar w:fldCharType="end"/>
      </w:r>
    </w:p>
    <w:p w14:paraId="757E5492"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"https://elicit.com/review/5a6c24a1-06b2-4b5d-8c92-dd501788980c/source/ss-268554812"</w:instrText>
      </w:r>
      <w:r w:rsidRPr="00482BD1">
        <w:fldChar w:fldCharType="separate"/>
      </w:r>
    </w:p>
    <w:p w14:paraId="0A7F6B77" w14:textId="77777777" w:rsidR="00482BD1" w:rsidRPr="00482BD1" w:rsidRDefault="00482BD1" w:rsidP="00482BD1">
      <w:pPr>
        <w:rPr>
          <w:rStyle w:val="Hyperlink"/>
        </w:rPr>
      </w:pPr>
      <w:r w:rsidRPr="00482BD1">
        <w:rPr>
          <w:rStyle w:val="Hyperlink"/>
        </w:rPr>
        <w:t>Kaihang Wang, Ting-Ye Hu, Mengmeng Tai, Yan Shen, H. Chai, and 2 more</w:t>
      </w:r>
    </w:p>
    <w:p w14:paraId="554A629C" w14:textId="77777777" w:rsidR="00482BD1" w:rsidRPr="00482BD1" w:rsidRDefault="00482BD1" w:rsidP="00482BD1">
      <w:r w:rsidRPr="00482BD1">
        <w:rPr>
          <w:rStyle w:val="Hyperlink"/>
        </w:rPr>
        <w:t> (2024). </w:t>
      </w:r>
      <w:r w:rsidRPr="00482BD1">
        <w:rPr>
          <w:rStyle w:val="Hyperlink"/>
          <w:i/>
          <w:iCs/>
        </w:rPr>
        <w:t>LDLR c.415G</w:t>
      </w:r>
      <w:r w:rsidRPr="00482BD1">
        <w:rPr>
          <w:rStyle w:val="Hyperlink"/>
          <w:rFonts w:ascii="Arial" w:hAnsi="Arial" w:cs="Arial"/>
          <w:i/>
          <w:iCs/>
        </w:rPr>
        <w:t> </w:t>
      </w:r>
      <w:r w:rsidRPr="00482BD1">
        <w:rPr>
          <w:rStyle w:val="Hyperlink"/>
          <w:i/>
          <w:iCs/>
        </w:rPr>
        <w:t>&gt;</w:t>
      </w:r>
      <w:r w:rsidRPr="00482BD1">
        <w:rPr>
          <w:rStyle w:val="Hyperlink"/>
          <w:rFonts w:ascii="Arial" w:hAnsi="Arial" w:cs="Arial"/>
          <w:i/>
          <w:iCs/>
        </w:rPr>
        <w:t> </w:t>
      </w:r>
      <w:r w:rsidRPr="00482BD1">
        <w:rPr>
          <w:rStyle w:val="Hyperlink"/>
          <w:i/>
          <w:iCs/>
        </w:rPr>
        <w:t>A causes familial hypercholesterolemia by weakening LDLR binding to LDL.</w:t>
      </w:r>
      <w:r w:rsidRPr="00482BD1">
        <w:rPr>
          <w:rStyle w:val="Hyperlink"/>
        </w:rPr>
        <w:t> Lipids in Health and Disease</w:t>
      </w:r>
      <w:r w:rsidRPr="00482BD1">
        <w:fldChar w:fldCharType="end"/>
      </w:r>
    </w:p>
    <w:p w14:paraId="21B5E539"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"https://elicit.com/review/5a6c24a1-06b2-4b5d-8c92-dd501788980c/source/ss-32842940"</w:instrText>
      </w:r>
      <w:r w:rsidRPr="00482BD1">
        <w:fldChar w:fldCharType="separate"/>
      </w:r>
    </w:p>
    <w:p w14:paraId="5A277A6C" w14:textId="77777777" w:rsidR="00482BD1" w:rsidRPr="00482BD1" w:rsidRDefault="00482BD1" w:rsidP="00482BD1">
      <w:pPr>
        <w:rPr>
          <w:rStyle w:val="Hyperlink"/>
        </w:rPr>
      </w:pPr>
      <w:r w:rsidRPr="00482BD1">
        <w:rPr>
          <w:rStyle w:val="Hyperlink"/>
        </w:rPr>
        <w:t>Sonia Silva, A. C. Alves, A. C. Alves, Dilip D. Patel, R. Malhó, and 3 more</w:t>
      </w:r>
    </w:p>
    <w:p w14:paraId="37905C59" w14:textId="77777777" w:rsidR="00482BD1" w:rsidRPr="00482BD1" w:rsidRDefault="00482BD1" w:rsidP="00482BD1">
      <w:r w:rsidRPr="00482BD1">
        <w:rPr>
          <w:rStyle w:val="Hyperlink"/>
        </w:rPr>
        <w:t> (2012). </w:t>
      </w:r>
      <w:r w:rsidRPr="00482BD1">
        <w:rPr>
          <w:rStyle w:val="Hyperlink"/>
          <w:i/>
          <w:iCs/>
        </w:rPr>
        <w:t>In vitro functional characterization of missense mutations in the LDLR gene.</w:t>
      </w:r>
      <w:r w:rsidRPr="00482BD1">
        <w:rPr>
          <w:rStyle w:val="Hyperlink"/>
        </w:rPr>
        <w:t> Atherosclerosis</w:t>
      </w:r>
      <w:r w:rsidRPr="00482BD1">
        <w:fldChar w:fldCharType="end"/>
      </w:r>
    </w:p>
    <w:p w14:paraId="38339760"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"https://elicit.com/review/5a6c24a1-06b2-4b5d-8c92-dd501788980c/source/ss-263907931"</w:instrText>
      </w:r>
      <w:r w:rsidRPr="00482BD1">
        <w:fldChar w:fldCharType="separate"/>
      </w:r>
    </w:p>
    <w:p w14:paraId="2E431DEF" w14:textId="77777777" w:rsidR="00482BD1" w:rsidRPr="00482BD1" w:rsidRDefault="00482BD1" w:rsidP="00482BD1">
      <w:pPr>
        <w:rPr>
          <w:rStyle w:val="Hyperlink"/>
        </w:rPr>
      </w:pPr>
      <w:r w:rsidRPr="00482BD1">
        <w:rPr>
          <w:rStyle w:val="Hyperlink"/>
        </w:rPr>
        <w:t>Jose K. James, K. Norland, A. Johar, I. Kullo</w:t>
      </w:r>
    </w:p>
    <w:p w14:paraId="5FE02E6B" w14:textId="77777777" w:rsidR="00482BD1" w:rsidRPr="00482BD1" w:rsidRDefault="00482BD1" w:rsidP="00482BD1">
      <w:r w:rsidRPr="00482BD1">
        <w:rPr>
          <w:rStyle w:val="Hyperlink"/>
        </w:rPr>
        <w:t> (2023). </w:t>
      </w:r>
      <w:r w:rsidRPr="00482BD1">
        <w:rPr>
          <w:rStyle w:val="Hyperlink"/>
          <w:i/>
          <w:iCs/>
        </w:rPr>
        <w:t>Deep generative models of LDLR protein structure to predict variant pathogenicity.</w:t>
      </w:r>
      <w:r w:rsidRPr="00482BD1">
        <w:rPr>
          <w:rStyle w:val="Hyperlink"/>
        </w:rPr>
        <w:t> Journal of Lipid Research</w:t>
      </w:r>
      <w:r w:rsidRPr="00482BD1">
        <w:fldChar w:fldCharType="end"/>
      </w:r>
    </w:p>
    <w:p w14:paraId="36619B7C"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"https://elicit.com/review/5a6c24a1-06b2-4b5d-8c92-dd501788980c/source/ss-246964525"</w:instrText>
      </w:r>
      <w:r w:rsidRPr="00482BD1">
        <w:fldChar w:fldCharType="separate"/>
      </w:r>
    </w:p>
    <w:p w14:paraId="5996AB01" w14:textId="77777777" w:rsidR="00482BD1" w:rsidRPr="00482BD1" w:rsidRDefault="00482BD1" w:rsidP="00482BD1">
      <w:pPr>
        <w:rPr>
          <w:rStyle w:val="Hyperlink"/>
        </w:rPr>
      </w:pPr>
      <w:r w:rsidRPr="00482BD1">
        <w:rPr>
          <w:rStyle w:val="Hyperlink"/>
        </w:rPr>
        <w:t>Ya-Nan Hu, Min Wu, Yuanjun Ji, Jian-Hui Zhang, Yan-ping Zhang, and 6 more</w:t>
      </w:r>
    </w:p>
    <w:p w14:paraId="042B1FBB" w14:textId="77777777" w:rsidR="00482BD1" w:rsidRPr="00482BD1" w:rsidRDefault="00482BD1" w:rsidP="00482BD1">
      <w:r w:rsidRPr="00482BD1">
        <w:rPr>
          <w:rStyle w:val="Hyperlink"/>
        </w:rPr>
        <w:t> (2022). </w:t>
      </w:r>
      <w:r w:rsidRPr="00482BD1">
        <w:rPr>
          <w:rStyle w:val="Hyperlink"/>
          <w:i/>
          <w:iCs/>
        </w:rPr>
        <w:t>Analysis of Low-Density Lipoprotein Receptor Gene Mutations in A Family with Familial Hypercholesterolemia</w:t>
      </w:r>
      <w:r w:rsidRPr="00482BD1">
        <w:fldChar w:fldCharType="end"/>
      </w:r>
    </w:p>
    <w:p w14:paraId="056CFEA9"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"https://elicit.com/review/5a6c24a1-06b2-4b5d-8c92-dd501788980c/source/ss-207890170"</w:instrText>
      </w:r>
      <w:r w:rsidRPr="00482BD1">
        <w:fldChar w:fldCharType="separate"/>
      </w:r>
    </w:p>
    <w:p w14:paraId="417255F0" w14:textId="77777777" w:rsidR="00482BD1" w:rsidRPr="00482BD1" w:rsidRDefault="00482BD1" w:rsidP="00482BD1">
      <w:pPr>
        <w:rPr>
          <w:rStyle w:val="Hyperlink"/>
        </w:rPr>
      </w:pPr>
      <w:r w:rsidRPr="00482BD1">
        <w:rPr>
          <w:rStyle w:val="Hyperlink"/>
        </w:rPr>
        <w:t>Andrea Gomez, R. Colombo, Alessandro Pontoglio, L. Helman, L. Kaeser, and 4 more</w:t>
      </w:r>
    </w:p>
    <w:p w14:paraId="5A57A909" w14:textId="77777777" w:rsidR="00482BD1" w:rsidRPr="00482BD1" w:rsidRDefault="00482BD1" w:rsidP="00482BD1">
      <w:r w:rsidRPr="00482BD1">
        <w:rPr>
          <w:rStyle w:val="Hyperlink"/>
        </w:rPr>
        <w:t> (2019). </w:t>
      </w:r>
      <w:r w:rsidRPr="00482BD1">
        <w:rPr>
          <w:rStyle w:val="Hyperlink"/>
          <w:i/>
          <w:iCs/>
        </w:rPr>
        <w:t>Functional analysis of six uncharacterised mutations in LDLR gene.</w:t>
      </w:r>
      <w:r w:rsidRPr="00482BD1">
        <w:rPr>
          <w:rStyle w:val="Hyperlink"/>
        </w:rPr>
        <w:t> Atherosclerosis</w:t>
      </w:r>
      <w:r w:rsidRPr="00482BD1">
        <w:fldChar w:fldCharType="end"/>
      </w:r>
    </w:p>
    <w:p w14:paraId="6FFC97BB"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"https://elicit.com/review/5a6c24a1-06b2-4b5d-8c92-dd501788980c/source/ss-234145074"</w:instrText>
      </w:r>
      <w:r w:rsidRPr="00482BD1">
        <w:fldChar w:fldCharType="separate"/>
      </w:r>
    </w:p>
    <w:p w14:paraId="4855DC7D" w14:textId="77777777" w:rsidR="00482BD1" w:rsidRPr="00482BD1" w:rsidRDefault="00482BD1" w:rsidP="00482BD1">
      <w:pPr>
        <w:rPr>
          <w:rStyle w:val="Hyperlink"/>
        </w:rPr>
      </w:pPr>
      <w:r w:rsidRPr="00482BD1">
        <w:rPr>
          <w:rStyle w:val="Hyperlink"/>
        </w:rPr>
        <w:t>Andrea Sánchez, P. Bustos, Paula Honorato, C. F. Burgos, Natalia Barriga, and 5 more</w:t>
      </w:r>
    </w:p>
    <w:p w14:paraId="20F8957B" w14:textId="77777777" w:rsidR="00482BD1" w:rsidRPr="00482BD1" w:rsidRDefault="00482BD1" w:rsidP="00482BD1">
      <w:r w:rsidRPr="00482BD1">
        <w:rPr>
          <w:rStyle w:val="Hyperlink"/>
        </w:rPr>
        <w:lastRenderedPageBreak/>
        <w:t> (2021). </w:t>
      </w:r>
      <w:r w:rsidRPr="00482BD1">
        <w:rPr>
          <w:rStyle w:val="Hyperlink"/>
          <w:i/>
          <w:iCs/>
        </w:rPr>
        <w:t>Phenotypic characterization and predictive analysis of p.Asp47Asn LDL receptor mutation associated with Familial Hypercholesterolemia in a Chilean population.</w:t>
      </w:r>
      <w:r w:rsidRPr="00482BD1">
        <w:rPr>
          <w:rStyle w:val="Hyperlink"/>
        </w:rPr>
        <w:t> Journal of Clinical Lipidology</w:t>
      </w:r>
      <w:r w:rsidRPr="00482BD1">
        <w:fldChar w:fldCharType="end"/>
      </w:r>
    </w:p>
    <w:p w14:paraId="7B8B6300" w14:textId="77777777" w:rsidR="00482BD1" w:rsidRPr="00482BD1" w:rsidRDefault="00482BD1" w:rsidP="00482BD1">
      <w:pPr>
        <w:rPr>
          <w:rStyle w:val="Hyperlink"/>
        </w:rPr>
      </w:pPr>
      <w:r w:rsidRPr="00482BD1">
        <w:fldChar w:fldCharType="begin"/>
      </w:r>
      <w:r w:rsidRPr="00482BD1">
        <w:instrText>HYPERLINK "https://elicit.com/review/5a6c24a1-06b2-4b5d-8c92-dd501788980c/source/ss-282137292"</w:instrText>
      </w:r>
      <w:r w:rsidRPr="00482BD1">
        <w:fldChar w:fldCharType="separate"/>
      </w:r>
    </w:p>
    <w:p w14:paraId="2D61F69B" w14:textId="77777777" w:rsidR="00482BD1" w:rsidRPr="00482BD1" w:rsidRDefault="00482BD1" w:rsidP="00482BD1">
      <w:pPr>
        <w:rPr>
          <w:rStyle w:val="Hyperlink"/>
        </w:rPr>
      </w:pPr>
      <w:r w:rsidRPr="00482BD1">
        <w:rPr>
          <w:rStyle w:val="Hyperlink"/>
        </w:rPr>
        <w:t>Shuxia Huang, Yulan Lu, Yu Song</w:t>
      </w:r>
    </w:p>
    <w:p w14:paraId="223E58AD" w14:textId="77777777" w:rsidR="00482BD1" w:rsidRPr="00482BD1" w:rsidRDefault="00482BD1" w:rsidP="00482BD1">
      <w:pPr>
        <w:pBdr>
          <w:bottom w:val="single" w:sz="6" w:space="1" w:color="auto"/>
        </w:pBdr>
      </w:pPr>
      <w:r w:rsidRPr="00482BD1">
        <w:rPr>
          <w:rStyle w:val="Hyperlink"/>
        </w:rPr>
        <w:t> (2025). </w:t>
      </w:r>
      <w:r w:rsidRPr="00482BD1">
        <w:rPr>
          <w:rStyle w:val="Hyperlink"/>
          <w:i/>
          <w:iCs/>
        </w:rPr>
        <w:t>Pathogenicity analysis and functional prediction of a rare LDLR variant in familial hypercholesterolemia combined with Wilson disease.</w:t>
      </w:r>
      <w:r w:rsidRPr="00482BD1">
        <w:rPr>
          <w:rStyle w:val="Hyperlink"/>
        </w:rPr>
        <w:t> Genes &amp; Genomics</w:t>
      </w:r>
      <w:r w:rsidRPr="00482BD1">
        <w:fldChar w:fldCharType="end"/>
      </w:r>
    </w:p>
    <w:p w14:paraId="47BF384F" w14:textId="77777777" w:rsidR="00482BD1" w:rsidRDefault="00482BD1"/>
    <w:sectPr w:rsidR="00482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D1"/>
    <w:rsid w:val="00482BD1"/>
    <w:rsid w:val="004C60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B9989"/>
  <w15:chartTrackingRefBased/>
  <w15:docId w15:val="{E4E5AAC9-4798-491E-B22C-31819665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BD1"/>
    <w:rPr>
      <w:rFonts w:eastAsiaTheme="majorEastAsia" w:cstheme="majorBidi"/>
      <w:color w:val="272727" w:themeColor="text1" w:themeTint="D8"/>
    </w:rPr>
  </w:style>
  <w:style w:type="paragraph" w:styleId="Title">
    <w:name w:val="Title"/>
    <w:basedOn w:val="Normal"/>
    <w:next w:val="Normal"/>
    <w:link w:val="TitleChar"/>
    <w:uiPriority w:val="10"/>
    <w:qFormat/>
    <w:rsid w:val="00482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BD1"/>
    <w:pPr>
      <w:spacing w:before="160"/>
      <w:jc w:val="center"/>
    </w:pPr>
    <w:rPr>
      <w:i/>
      <w:iCs/>
      <w:color w:val="404040" w:themeColor="text1" w:themeTint="BF"/>
    </w:rPr>
  </w:style>
  <w:style w:type="character" w:customStyle="1" w:styleId="QuoteChar">
    <w:name w:val="Quote Char"/>
    <w:basedOn w:val="DefaultParagraphFont"/>
    <w:link w:val="Quote"/>
    <w:uiPriority w:val="29"/>
    <w:rsid w:val="00482BD1"/>
    <w:rPr>
      <w:i/>
      <w:iCs/>
      <w:color w:val="404040" w:themeColor="text1" w:themeTint="BF"/>
    </w:rPr>
  </w:style>
  <w:style w:type="paragraph" w:styleId="ListParagraph">
    <w:name w:val="List Paragraph"/>
    <w:basedOn w:val="Normal"/>
    <w:uiPriority w:val="34"/>
    <w:qFormat/>
    <w:rsid w:val="00482BD1"/>
    <w:pPr>
      <w:ind w:left="720"/>
      <w:contextualSpacing/>
    </w:pPr>
  </w:style>
  <w:style w:type="character" w:styleId="IntenseEmphasis">
    <w:name w:val="Intense Emphasis"/>
    <w:basedOn w:val="DefaultParagraphFont"/>
    <w:uiPriority w:val="21"/>
    <w:qFormat/>
    <w:rsid w:val="00482BD1"/>
    <w:rPr>
      <w:i/>
      <w:iCs/>
      <w:color w:val="0F4761" w:themeColor="accent1" w:themeShade="BF"/>
    </w:rPr>
  </w:style>
  <w:style w:type="paragraph" w:styleId="IntenseQuote">
    <w:name w:val="Intense Quote"/>
    <w:basedOn w:val="Normal"/>
    <w:next w:val="Normal"/>
    <w:link w:val="IntenseQuoteChar"/>
    <w:uiPriority w:val="30"/>
    <w:qFormat/>
    <w:rsid w:val="00482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BD1"/>
    <w:rPr>
      <w:i/>
      <w:iCs/>
      <w:color w:val="0F4761" w:themeColor="accent1" w:themeShade="BF"/>
    </w:rPr>
  </w:style>
  <w:style w:type="character" w:styleId="IntenseReference">
    <w:name w:val="Intense Reference"/>
    <w:basedOn w:val="DefaultParagraphFont"/>
    <w:uiPriority w:val="32"/>
    <w:qFormat/>
    <w:rsid w:val="00482BD1"/>
    <w:rPr>
      <w:b/>
      <w:bCs/>
      <w:smallCaps/>
      <w:color w:val="0F4761" w:themeColor="accent1" w:themeShade="BF"/>
      <w:spacing w:val="5"/>
    </w:rPr>
  </w:style>
  <w:style w:type="character" w:styleId="Hyperlink">
    <w:name w:val="Hyperlink"/>
    <w:basedOn w:val="DefaultParagraphFont"/>
    <w:uiPriority w:val="99"/>
    <w:unhideWhenUsed/>
    <w:rsid w:val="00482BD1"/>
    <w:rPr>
      <w:color w:val="467886" w:themeColor="hyperlink"/>
      <w:u w:val="single"/>
    </w:rPr>
  </w:style>
  <w:style w:type="character" w:styleId="UnresolvedMention">
    <w:name w:val="Unresolved Mention"/>
    <w:basedOn w:val="DefaultParagraphFont"/>
    <w:uiPriority w:val="99"/>
    <w:semiHidden/>
    <w:unhideWhenUsed/>
    <w:rsid w:val="00482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6369</Words>
  <Characters>36305</Characters>
  <Application>Microsoft Office Word</Application>
  <DocSecurity>0</DocSecurity>
  <Lines>302</Lines>
  <Paragraphs>85</Paragraphs>
  <ScaleCrop>false</ScaleCrop>
  <Company/>
  <LinksUpToDate>false</LinksUpToDate>
  <CharactersWithSpaces>42589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genedy</dc:creator>
  <cp:keywords/>
  <dc:description/>
  <cp:lastModifiedBy>nader genedy</cp:lastModifiedBy>
  <cp:revision>1</cp:revision>
  <dcterms:created xsi:type="dcterms:W3CDTF">2026-03-20T20:59:00Z</dcterms:created>
  <dcterms:modified xsi:type="dcterms:W3CDTF">2026-03-20T21:04:00Z</dcterms:modified>
</cp:coreProperties>
</file>