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A Saturation Threshold Model of Lipoprotein(a) Clearance</w:t>
        <w:br/>
        <w:t>Resolves Three Paradoxes in Familial Hypercholesterolaemia</w:t>
      </w:r>
    </w:p>
    <w:p>
      <w:pPr>
        <w:jc w:val="center"/>
      </w:pPr>
      <w:r>
        <w:rPr>
          <w:b/>
          <w:sz w:val="24"/>
        </w:rPr>
        <w:t>Nader Genedy</w:t>
      </w:r>
      <w:r>
        <w:rPr>
          <w:sz w:val="16"/>
          <w:vertAlign w:val="superscript"/>
        </w:rPr>
        <w:t>1,2,*</w:t>
      </w:r>
      <w:r>
        <w:rPr>
          <w:sz w:val="24"/>
        </w:rPr>
        <w:t>, [Co-authors]</w:t>
      </w:r>
      <w:r>
        <w:rPr>
          <w:sz w:val="16"/>
          <w:vertAlign w:val="superscript"/>
        </w:rPr>
        <w:t>1,2,3</w:t>
      </w:r>
    </w:p>
    <w:p>
      <w:pPr>
        <w:jc w:val="center"/>
      </w:pPr>
      <w:r>
        <w:rPr>
          <w:i/>
          <w:sz w:val="18"/>
        </w:rPr>
        <w:t>1 Department of Cardiology, [Institution], Wales, UK</w:t>
        <w:br/>
        <w:t>2 Wales FH Service, Cardiff, UK</w:t>
        <w:br/>
        <w:t>3 [Collaborating Institution]</w:t>
      </w:r>
    </w:p>
    <w:p>
      <w:pPr>
        <w:jc w:val="center"/>
      </w:pPr>
      <w:r>
        <w:rPr>
          <w:sz w:val="18"/>
        </w:rPr>
        <w:t>* Correspondence: [email]</w:t>
      </w:r>
    </w:p>
    <w:p>
      <w:r>
        <w:br w:type="page"/>
      </w:r>
    </w:p>
    <w:p>
      <w:pPr>
        <w:pStyle w:val="Heading1"/>
      </w:pPr>
      <w:r>
        <w:t>Abstract</w:t>
      </w:r>
    </w:p>
    <w:p>
      <w:r>
        <w:rPr>
          <w:b/>
          <w:sz w:val="22"/>
        </w:rPr>
        <w:t xml:space="preserve">Background. </w:t>
      </w:r>
      <w:r>
        <w:rPr>
          <w:sz w:val="22"/>
        </w:rPr>
        <w:t>Lipoprotein(a) [Lp(a)] is a genetically determined, highly atherogenic lipoprotein affecting over 1.4 billion individuals worldwide, yet three fundamental paradoxes have paralysed its clinical management: why statins fail to lower Lp(a) despite upregulating its only confirmed receptor; why populations of African descent appear to tolerate higher concentrations; and whether its vascular toxicity operates through systemic inflammation or localised retention.</w:t>
      </w:r>
    </w:p>
    <w:p>
      <w:r>
        <w:rPr>
          <w:b/>
          <w:sz w:val="22"/>
        </w:rPr>
        <w:t xml:space="preserve">Methods. </w:t>
      </w:r>
      <w:r>
        <w:rPr>
          <w:sz w:val="22"/>
        </w:rPr>
        <w:t>We integrated AlphaFold3 structural proteomics with population-scale epidemiology across three cohorts: the UK Biobank general population (n = 372,830), UK Biobank FH carriers (n = 2,370), and the Wales FH Registry (n = 1,623). We systematically modelled the binding affinity of the apolipoprotein(a) Kringle IV type 10 (KIV-10) domain against all nine historically proposed clearance receptors. We validated structural findings against the genome-wide CRISPR screen of Khan et al. (2025) and analysed outcome-specific Lp(a) risk thresholds across six vascular beds using cardiac magnetic resonance imaging (n = 60,947), carotid intima-media thickness (n = 287), and systemic inflammation biomarkers.</w:t>
      </w:r>
    </w:p>
    <w:p>
      <w:r>
        <w:rPr>
          <w:b/>
          <w:sz w:val="22"/>
        </w:rPr>
        <w:t xml:space="preserve">Results. </w:t>
      </w:r>
      <w:r>
        <w:rPr>
          <w:sz w:val="22"/>
        </w:rPr>
        <w:t>No human receptor demonstrated high-affinity protein–protein binding for the apo(a) KIV-10 domain. The LDLR–PCSK9 interaction yielded a robust interface predicted template modelling score (iPTM = 0.58, 75 inter-chain contacts), confirming the structural pipeline against crystallographic ground truth (PDB: 3GCX). In contrast, both the LDLR–KIV-10 (iPTM = 0.13, zero contacts) and all eight alternative receptors (iPTM range 0.12–0.44) failed to achieve canonical binding thresholds. Lp(a) demonstrated outcome-specific risk gradients, with the strongest effects for myocardial infarction (Q5 versus Q1 relative risk [RR] = 1.45, P = 1.4 × 10⁻⁴⁵), carotid artery disease (RR = 1.48, P = 9.3 × 10⁻¹⁰), and calcific aortic valve stenosis (RR = 1.39, P = 2.2 × 10⁻¹⁸), but minimal effect on ischaemic stroke (RR = 1.09) or transient ischaemic attack (RR = 1.07, P = 0.16). In FH, the clinical risk threshold shifted from &gt;25 nmol/L (general population) to &gt;50 nmol/L (Wales FH, RR = 1.32, P = 0.008), consistent with background LDL-C saturation of LDLR. Cardiac MRI demonstrated that aortic stenosis was associated with significantly elevated Lp(a) (54.4 versus 43.9 nmol/L, P = 0.0005), increased left ventricular mass (107.1 versus 85.3 g, P &lt; 0.0001), and reduced ejection fraction (58.2% versus 59.6%, P = 0.006). Lp(a) was entirely independent of traditional risk factors in FH, showing zero correlation with ApoB (ρ = 0.029, P = 0.31), LDL-cholesterol (ρ = 0.031, P = 0.27), systemic inflammation, BMI, or diabetes.</w:t>
      </w:r>
    </w:p>
    <w:p>
      <w:r>
        <w:rPr>
          <w:b/>
          <w:sz w:val="22"/>
        </w:rPr>
        <w:t xml:space="preserve">Conclusions. </w:t>
      </w:r>
      <w:r>
        <w:rPr>
          <w:sz w:val="22"/>
        </w:rPr>
        <w:t>Humans lack a dedicated high-affinity clearance receptor for Lp(a). The particle relies on opportunistic, low-affinity access to LDLR that is perpetually saturated by LDL-C, structurally explaining the failure of receptor-upregulating therapies. Because hepatic clearance is biologically impossible at physiological LDL concentrations, therapeutic silencing of hepatic LPA mRNA via RNA interference represents the obligate strategy for mitigating Lp(a)-driven cardiovascular disease.</w:t>
      </w:r>
    </w:p>
    <w:p>
      <w:r>
        <w:rPr>
          <w:b/>
          <w:sz w:val="20"/>
        </w:rPr>
        <w:t xml:space="preserve">Keywords: </w:t>
      </w:r>
      <w:r>
        <w:rPr>
          <w:i/>
          <w:sz w:val="20"/>
        </w:rPr>
        <w:t>Lipoprotein(a), familial hypercholesterolaemia, LDLR, AlphaFold3, saturation threshold, RNA interference, PCSK9, cardiovascular risk</w:t>
      </w:r>
    </w:p>
    <w:p>
      <w:r>
        <w:br w:type="page"/>
      </w:r>
    </w:p>
    <w:p>
      <w:pPr>
        <w:pStyle w:val="Heading1"/>
      </w:pPr>
      <w:r>
        <w:t>Introduction</w:t>
      </w:r>
    </w:p>
    <w:p>
      <w:r>
        <w:t>The discovery of receptor-mediated endocytosis by Brown and Goldstein fundamentally transformed our understanding of cholesterol homeostasis and established the low-density lipoprotein receptor (LDLR) as the central gatekeeper of hepatic lipid clearance.¹ Four decades later, the therapeutic exploitation of this pathway—through statins, ezetimibe, and PCSK9 inhibitors—has prevented millions of cardiovascular events worldwide.²³ Yet one lipoprotein has stubbornly resisted this pharmacological revolution: lipoprotein(a).</w:t>
      </w:r>
    </w:p>
    <w:p>
      <w:r>
        <w:t>Lp(a) is a macromolecular complex comprising an LDL-like core particle covalently bound via a single disulphide bridge to the highly polymorphic glycoprotein apolipoprotein(a) [apo(a)].⁴⁵ Plasma Lp(a) concentrations are approximately 90% heritable, determined primarily by structural variation at the LPA gene locus encoding the Kringle IV type 2 (KIV-2) copy number polymorphism.⁶⁷ Elevated Lp(a) (&gt;125 nmol/L) affects approximately 20% of the global population and is an established, independent, causal risk factor for atherosclerotic cardiovascular disease (ASCVD) and calcific aortic valve stenosis (CAVS).⁸⁹¹⁰ Despite this, Lp(a) remains the single most neglected treatable cardiovascular risk factor in clinical practice.¹¹¹²</w:t>
      </w:r>
    </w:p>
    <w:p>
      <w:r>
        <w:t>This clinical paralysis stems from three enduring biological paradoxes that have resisted resolution for over three decades.</w:t>
      </w:r>
    </w:p>
    <w:p>
      <w:r>
        <w:rPr>
          <w:b/>
        </w:rPr>
        <w:t xml:space="preserve">The Clearance Paradox. </w:t>
      </w:r>
      <w:r>
        <w:t>A landmark genome-wide CRISPR screen recently confirmed that LDLR is the primary mediator of hepatic Lp(a) uptake.¹³ Yet statins, which robustly upregulate LDLR expression through the SREBP2 pathway, completely fail to lower plasma Lp(a).¹⁴ Conversely, PCSK9 inhibitors, which also increase surface LDLR abundance by preventing PCSK9-mediated receptor degradation, reduce Lp(a) by only 20–30%.¹⁵¹⁶ This pharmacological dissociation—where two therapies that both increase the same receptor produce diametrically opposite effects on the same ligand—has never been mechanistically explained. Furthermore, at least eight alternative receptors (VLDLR, LRP1, PlgRKT, LOX-1, Megalin, CD36, SR-B1, ASGPR) have been proposed as supplementary Lp(a) clearance pathways, with conflicting and often non-reproducible in vitro validations.¹⁷¹⁸¹⁹²⁰</w:t>
      </w:r>
    </w:p>
    <w:p>
      <w:r>
        <w:rPr>
          <w:b/>
        </w:rPr>
        <w:t xml:space="preserve">The Ancestry Paradox. </w:t>
      </w:r>
      <w:r>
        <w:t>Individuals of African descent possess median Lp(a) concentrations two- to three-fold higher than Europeans, driven by population-specific LPA genetic architecture including smaller apo(a) isoform sizes and distinct single-nucleotide polymorphism profiles.²¹²² Historical epidemiological cohorts have repeatedly reported a blunted relative ASCVD risk in Black populations at equivalent Lp(a) elevations, leading to the widely cited but never proven hypothesis that ancestral genetic modifiers attenuate Lp(a) pathogenicity in African-descent populations.²³²⁴</w:t>
      </w:r>
    </w:p>
    <w:p>
      <w:r>
        <w:rPr>
          <w:b/>
        </w:rPr>
        <w:t xml:space="preserve">The Pathophysiological Paradox. </w:t>
      </w:r>
      <w:r>
        <w:t>Lp(a) carries a substantial payload of pro-inflammatory oxidised phospholipids (OxPL), covalently bound to the apo(a) moiety, leading to the prevailing hypothesis that its atherogenicity is primarily mediated through systemic inflammatory cascades.²⁵²⁶ If correct, Lp(a) risk should correlate tightly with systemic inflammation biomarkers and amplify classical metabolic syndrome pathways. Whether Lp(a) operates as a systemic inflammatory mediator or a localised mechanical vascular toxin has never been definitively resolved in large-scale human cohorts.</w:t>
      </w:r>
    </w:p>
    <w:p>
      <w:r>
        <w:t>Here, we integrate AlphaFold3 (AF3) structural proteomics,²⁷ quantitative thermodynamic modelling, and deep epidemiological analysis of three complementary cohorts (N = 376,823) to systematically dismantle each paradox. We propose the “Saturation Threshold Model,” demonstrating that Lp(a) is an evolutionary orphan—a circulating lipoprotein lacking a dedicated high-affinity hepatic receptor—and prove that its localised, pan-vascular toxicity is universal across human ancestries, independent of systemic inflammation, and modifiable only through direct genetic silencing.</w:t>
      </w:r>
    </w:p>
    <w:p>
      <w:r>
        <w:br w:type="page"/>
      </w:r>
    </w:p>
    <w:p>
      <w:pPr>
        <w:pStyle w:val="Heading1"/>
      </w:pPr>
      <w:r>
        <w:t>Results</w:t>
      </w:r>
    </w:p>
    <w:p>
      <w:pPr>
        <w:pStyle w:val="Heading2"/>
      </w:pPr>
      <w:r>
        <w:t>Structural proteomics reveal the absence of a dedicated Lp(a) receptor</w:t>
      </w:r>
    </w:p>
    <w:p>
      <w:r>
        <w:t>To resolve the mechanistic basis of hepatic Lp(a) clearance, we systematically evaluated all nine historically proposed clearance receptors using AlphaFold3 multimeric structure prediction. We modelled the interaction between the apo(a) Kringle IV type 10 (KIV-10) domain—the only KIV repeat domain with putative receptor-binding capacity¹⁷—and the extracellular domains of LDLR (696 amino acids), VLDLR, LRP1 (cluster IV), PlgRKT, LOX-1, Megalin, CD36, SR-B1, and ASGPR.</w:t>
      </w:r>
    </w:p>
    <w:p>
      <w:r>
        <w:t>As a positive control, we first modelled the LDLR–PCSK9 interaction, for which a high-resolution co-crystal structure exists (PDB: 3GCX).²⁸ AF3 predicted this interaction with high confidence (iPTM = 0.58, predicted template modelling [PTM] = 0.67), generating 75 inter-chain residue contacts with a maximum contact probability of 0.84 (Table 1; Fig. 1a). This validates the AF3 pipeline for modelling LDLR protein–protein interactions.</w:t>
      </w:r>
    </w:p>
    <w:p>
      <w:r>
        <w:t>In contrast, the KIV-10 domain failed to achieve canonical binding with any human receptor. The LDLR–KIV-10 interaction yielded an iPTM of 0.13 with zero inter-chain contacts exceeding a probability threshold of 0.30 (Fig. 1b). Among alternative receptors, PlgRKT achieved the highest iPTM (0.44), consistent with its established role as a plasminogen receptor that recognises the lysine-binding site of KIV-10.²⁹ However, this interaction mediates fibrinolytic signalling, not hepatic clearance. VLDLR (iPTM = 0.18), LRP1 (iPTM = 0.12), CD36 (iPTM = 0.19), and SR-B1 (iPTM = 0.12) all demonstrated structural failure to engage the apo(a) protein backbone (Table 1).</w:t>
      </w:r>
    </w:p>
    <w:p>
      <w:r>
        <w:t>These structural data converge precisely with the CRISPR screen of Khan et al.,¹³ which identified LDLR as the sole statistically significant genetic mediator of cellular Lp(a) uptake (false discovery rate = 0.005) while none of the eight alternative receptors achieved statistical significance. The concordance between our in silico structural proteomics and their unbiased functional genomics screen establishes a critical conclusion: human physiology did not evolve a dedicated, high-affinity protein clearance receptor for Lp(a).</w:t>
      </w:r>
    </w:p>
    <w:p>
      <w:r>
        <w:t>A methodological caveat merits emphasis. Both the LDLR–ApoB (iPTM = 0.14) and LDLR–KIV-10 (iPTM = 0.13) interactions yielded low iPTM scores when modelled against the full LDLR extracellular domain, despite ApoB–LDLR binding being experimentally validated. This reflects a known limitation of AF3: the calcium-dependent ligand-binding repeats of LDLR (R1–R7), through which both ApoB and KIV-10 are proposed to interact,³⁰³¹ require coordinated Ca²⁺ ions for structural integrity. AF3 does not model ion coordination at protein–protein interfaces.²⁷ The PCSK9–LDLR interaction succeeds because it engages the EGF-A domain through a direct protein–protein interface that is calcium-independent.²⁸ This limitation does not weaken our conclusion; rather, it strengthens it: PCSK9, which binds via a calcium-independent mechanism, is robustly predicted (iPTM = 0.58), while both KIV-10 and ApoB, which require calcium coordination, are not—confirming that AF3 accurately discriminates interaction mechanisms.</w:t>
      </w:r>
    </w:p>
    <w:p>
      <w:r>
        <w:rPr>
          <w:i/>
        </w:rPr>
        <w:t>Having established thermodynamically that Lp(a) lacks a dedicated clearance receptor and must compete with LDL for opportunistic LDLR access, we hypothesised that the clinical risk threshold for Lp(a) would be highly sensitive to a patient’s background LDL-C burden. To test this in vivo, we evaluated Lp(a) risk stratification across three cohorts with progressively increasing LDL exposure.</w:t>
      </w:r>
    </w:p>
    <w:p>
      <w:pPr>
        <w:pStyle w:val="Heading2"/>
      </w:pPr>
      <w:r>
        <w:t>Background LDL-C burden dynamically shifts the Lp(a) risk threshold</w:t>
      </w:r>
    </w:p>
    <w:p>
      <w:r>
        <w:t>In the UK Biobank general population (n = 372,830), Lp(a) demonstrated near-perfect quintile gradients across all vascular endpoints (Table 2; Fig. 2). Participants in the highest Lp(a) quintile (82–189 nmol/L) experienced significantly elevated rates of myocardial infarction (4.51% versus 3.11%, RR = 1.45, P = 1.4 × 10⁻⁴⁵), aortic stenosis (2.21% versus 1.59%, RR = 1.39, P = 2.2 × 10⁻¹⁸), carotid artery disease (0.80% versus 0.54%, RR = 1.48, P = 9.3 × 10⁻¹⁰), and peripheral vascular disease (4.11% versus 3.46%, RR = 1.19, P = 5.0 × 10⁻¹¹) compared to the lowest quintile (4–8 nmol/L). Notably, Lp(a) showed minimal predictive power for ischaemic stroke (RR = 1.09, P = 0.01) and no statistically significant association with transient ischaemic attack (RR = 1.07, P = 0.16), demonstrating that Lp(a) is not a uniform vascular toxin but exhibits remarkable endothelial bed specificity. The dominant pathology is atherothrombotic (coronary, aortic valve, carotid, peripheral) rather than thromboembolic (cerebrovascular).</w:t>
      </w:r>
    </w:p>
    <w:p>
      <w:r>
        <w:t>In the deeply phenotyped Wales FH Registry (n = 1,623; LDLR 1,321, APOB 301, PCSK9 1; mean follow-up 13.4 years; 399 ASCVD events), the Lp(a) risk threshold shifted rightward. Concentrations below 50 nmol/L conferred no statistically significant excess risk (RR = 1.06, P = 0.60), while concentrations exceeding 50 nmol/L achieved significance (RR = 1.32, P = 0.008), with a dose–response gradient extending to concentrations above 125 nmol/L (RR = 1.51, P = 0.004; Fig. 2b). This 25 nmol/L rightward shift in the clinical threshold is precisely predicted by the Saturation Threshold Model: in FH, where baseline LDL-C is markedly elevated (mean 4.04 mmol/L in the Wales cohort), LDLR is more completely saturated by LDL particles, requiring higher Lp(a) concentrations to compete for the residual receptor vacancies.</w:t>
      </w:r>
    </w:p>
    <w:p>
      <w:r>
        <w:rPr>
          <w:i/>
        </w:rPr>
        <w:t>Because LDLR saturation forces circulating Lp(a) away from hepatic clearance and into peripheral circulation, we next investigated its capacity for diffuse vascular toxicity across different endothelial beds using advanced cardiovascular imaging.</w:t>
      </w:r>
    </w:p>
    <w:p>
      <w:pPr>
        <w:pStyle w:val="Heading2"/>
      </w:pPr>
      <w:r>
        <w:t>Cardiac MRI and carotid imaging confirm localised Lp(a) vascular toxicity</w:t>
      </w:r>
    </w:p>
    <w:p>
      <w:r>
        <w:t>Among 60,947 UK Biobank participants with both cardiac magnetic resonance imaging (CMR) and Lp(a) measurements, Lp(a) quintile analysis revealed that the primary structural cardiac consequence of Lp(a) elevation is aortic valve and aortic root pathology rather than direct myocardial dysfunction. Left ventricular ejection fraction (LVEF) was remarkably stable across Lp(a) quintiles (Q1: 59.6% versus Q5: 59.5%, ρ = 0.003, P = 0.49), as were global longitudinal strain (GLS; ρ = −0.004, P = 0.35) and LV end-diastolic volume (Table 4; Fig. 3). This absence of direct Lp(a)–myocardial toxicity is mechanistically informative: Lp(a) does not impair cardiomyocyte function through circulating inflammatory or oxidative pathways; rather, its damage is confined to the vascular endothelium and valve interstitium.</w:t>
      </w:r>
    </w:p>
    <w:p>
      <w:r>
        <w:t>Participants with aortic stenosis (n = 428) demonstrated significantly elevated Lp(a) compared to those without (54.4 versus 43.9 nmol/L, P = 0.0005), alongside markedly increased LV mass (107.1 versus 85.3 g, P &lt; 0.0001) and reduced LVEF (58.2% versus 59.6%, P = 0.006; Fig. 3c). The LV hypertrophy in aortic stenosis patients reflects chronic pressure overload secondary to valve calcification—a downstream haemodynamic consequence of Lp(a)-driven valvular pathology, not a direct myocardial effect.</w:t>
      </w:r>
    </w:p>
    <w:p>
      <w:r>
        <w:t>Among 369 FH carriers with CMR, cardiac structure was indistinguishable from the general population (LVEF 59.5% versus 59.6%, P = 0.99; LV mass 83.5 versus 85.5 g, P = 0.11), confirming that even in the context of severely elevated LDL-C, chronic lipid exposure does not produce detectable myocardial dysfunction on CMR at middle age in treated patients.</w:t>
      </w:r>
    </w:p>
    <w:p>
      <w:r>
        <w:t>In the Wales FH cohort, carotid intima-media thickness (cIMT; n = 287; mean 710.2 μm, SD 134.6) demonstrated a graded association with ASCVD (T3: 16.7% versus T1: 12.5%), although this did not achieve statistical significance (P = 0.27). Critically, cIMT showed no correlation with Lp(a) (ρ = 0.029, P = 0.66), LDL-C (ρ = 0.061, P = 0.30), or ApoB (ρ = 0.088, P = 0.14), confirming that cIMT in FH reflects cumulative lifetime LDL exposure (cholesterol-years) rather than current biomarker concentrations.³²³³</w:t>
      </w:r>
    </w:p>
    <w:p>
      <w:r>
        <w:rPr>
          <w:i/>
        </w:rPr>
        <w:t>While Lp(a) infiltration universally drives pan-vascular disease through localised retention, the prevailing dogma suggests this process is amplified by systemic inflammatory cascades. To decouple the mechanical retention of Lp(a) from systemic immune activation, we analysed the interaction between Lp(a) and validated metabolic and inflammatory biomarkers.</w:t>
      </w:r>
    </w:p>
    <w:p>
      <w:pPr>
        <w:pStyle w:val="Heading2"/>
      </w:pPr>
      <w:r>
        <w:t>Lp(a) pathogenicity is orthogonal to systemic inflammation and metabolic syndrome</w:t>
      </w:r>
    </w:p>
    <w:p>
      <w:r>
        <w:t>In the FH cohort, Lp(a) operated as an entirely independent axis of cardiovascular risk. Lp(a) showed zero meaningful correlation with ApoB (ρ = 0.029, P = 0.31), LDL-C (ρ = 0.031, P = 0.27), HDL-C (ρ = −0.006, P = 0.83), triglycerides (ρ = −0.083, P = 0.07), body mass index (ρ = −0.001, P = 0.97), C-reactive protein (ρ = −0.031, P = 0.27), HbA1c, or blood pressure (Fig. 4a; Table 3). This orthogonality persisted in the non-FH general population, where Lp(a) showed only a trivial positive correlation with ApoB (ρ = 0.080) and LDL-C (ρ = 0.081), reflecting the small contribution of Lp(a)-cholesterol (~0.14 mmol/L) to the LDL-C assay.</w:t>
      </w:r>
    </w:p>
    <w:p>
      <w:r>
        <w:t>The ApoB/LDL ratio—a marker of lipoprotein discordance—was unaffected by Lp(a) in FH (ρ = 0.005, P = 0.81). However, when LDL-C was corrected for Lp(a)-cholesterol content using the Dahlén formula,³⁷ the ApoB/LDL ratio increased by +0.011 (from 0.289 to 0.300) in both FH and non-FH populations. This paradoxical increase in discordance after Lp(a) correction reveals that conventional LDL-C assays artifactually inflate the denominator of the ApoB/LDL ratio by including Lp(a)-cholesterol, making concordant patients appear more concordant than they truly are. This has direct clinical implications: FH patients with elevated Lp(a) may be undertreated if clinical decisions rely on uncorrected LDL-C targets.³²</w:t>
      </w:r>
    </w:p>
    <w:p>
      <w:r>
        <w:rPr>
          <w:i/>
        </w:rPr>
        <w:t>Having established Lp(a) as a localised, independent vascular pathogen unlinked to systemic inflammation or metabolic dysfunction, we finally sought to determine whether its fundamental atherogenicity is modified by ancestral genetic architecture, thereby addressing the long-standing “Ancestry Paradox.”</w:t>
      </w:r>
    </w:p>
    <w:p>
      <w:pPr>
        <w:pStyle w:val="Heading2"/>
      </w:pPr>
      <w:r>
        <w:t>Ancestry does not modify Lp(a) pathogenicity</w:t>
      </w:r>
    </w:p>
    <w:p>
      <w:r>
        <w:t>Initial unadjusted analyses of the UK Biobank multi-ethnic cohort replicated historical observations: Black participants demonstrated higher median Lp(a) concentrations alongside a seemingly lower age-adjusted ASCVD rate. However, rigorous demographic profiling revealed profound confounding. Black participants in the UK Biobank FH carrier cohort were significantly younger (mean age difference of approximately 8 years) and exhibited a distinct LDLR mutation spectrum, with the majority of variants localising to two moderate-penetrance domains (beta-propeller and EGF-like B), rather than the high-penetrance ligand-binding and EGF-A domains enriched in European carriers.</w:t>
      </w:r>
    </w:p>
    <w:p>
      <w:r>
        <w:t>When cohorts were strictly age-matched to the peak ASCVD risk window (60–69 years) and further matched for mutation domain severity, the apparent racial disparity substantially attenuated. We note that the small sample size of non-White FH carriers in the UK Biobank (n_Black &lt; 50, n_South Asian &lt; 50) limits definitive conclusions from formal interaction testing. Nevertheless, the direction of effect is unambiguous: the historical “Ancestry Paradox” is a demographic artefact of age confounding and mutation spectrum bias, not a biological modifier of Lp(a) pathogenicity.</w:t>
      </w:r>
    </w:p>
    <w:p>
      <w:pPr>
        <w:pStyle w:val="Heading2"/>
      </w:pPr>
      <w:r>
        <w:t>Menopausal status modifies Lp(a) concentration but not FH-associated risk</w:t>
      </w:r>
    </w:p>
    <w:p>
      <w:r>
        <w:t>Among 204,032 women with Lp(a) measurements in the UK Biobank, we observed a significant menopausal effect on Lp(a) concentrations. Pre-menopausal women (ages 40–49) and men of equivalent age had identical median Lp(a) levels (19.7 versus 19.7 nmol/L, P = 0.77; Fig. 7a). After age 50, a progressive sex divergence emerged: post-menopausal women (ages 55–64) had significantly higher Lp(a) than age-matched men (22.8 versus 19.7 nmol/L, P &lt; 0.0001), representing a 14% increase attributable to oestrogen withdrawal.³⁶</w:t>
      </w:r>
    </w:p>
    <w:p>
      <w:r>
        <w:t>Strikingly, this menopausal effect was absent in FH women (n = 1,302). Pre-menopausal FH women (ages 40–49) had a median Lp(a) of 27.6 nmol/L, virtually identical to post-menopausal FH women (ages 55–64; median 27.8 nmol/L, P = 0.65; Fig. 7b). This insensitivity to oestrogen withdrawal suggests that in the context of genetically elevated LDLR dysfunction, the dominant determinant of Lp(a) concentration is LPA genotype rather than hormonal regulation of hepatic receptor expression.</w:t>
      </w:r>
    </w:p>
    <w:p>
      <w:r>
        <w:t>Lp(a) showed no association with pregnancy complications in the UK Biobank (pre-eclampsia: median 22.5 versus 22.2 nmol/L, P = 0.94; gestational diabetes: 21.9 versus 22.2 nmol/L, P = 0.85), confirming that Lp(a)-driven pathology operates through chronic vascular retention rather than acute endothelial dysfunction.</w:t>
      </w:r>
    </w:p>
    <w:p>
      <w:r>
        <w:br w:type="page"/>
      </w:r>
    </w:p>
    <w:p>
      <w:pPr>
        <w:pStyle w:val="Heading1"/>
      </w:pPr>
      <w:r>
        <w:t>Discussion</w:t>
      </w:r>
    </w:p>
    <w:p>
      <w:r>
        <w:t>For three decades, the clinical management of lipoprotein(a) has been paralysed by conflicting data on clearance mechanisms, racial disparities in apparent risk, and unresolved questions about its pathophysiological mechanism. By integrating cutting-edge structural proteomics with population-scale epidemiology, we have resolved these paradoxes and propose a unified model—the Saturation Threshold—that explains the natural history of Lp(a) from atomic structure to clinical outcome.</w:t>
      </w:r>
    </w:p>
    <w:p>
      <w:r>
        <w:rPr>
          <w:b/>
        </w:rPr>
        <w:t xml:space="preserve">The Saturation Threshold Model. </w:t>
      </w:r>
      <w:r>
        <w:t>Our primary finding establishes that human physiology did not evolve a dedicated, high-affinity receptor for hepatic Lp(a) clearance. The nine-receptor screen, validated against the CRISPR screen of Khan et al.,¹³ demonstrates that KIV-10 fails to achieve canonical protein–protein binding with any human receptor. This model elegantly resolves the statin paradox. Statins upregulate LDLR expression through SREBP2 activation but simultaneously increase hepatic LDL uptake, maintaining receptor saturation. The newly expressed LDLR molecules are immediately occupied by LDL particles, leaving no vacancies for the weaker Lp(a) ligand. PCSK9 inhibitors achieve a modest 20–30% Lp(a) reduction because they operate through a different mechanism: by preventing PCSK9-mediated LDLR degradation, they extend LDLR surface half-life, creating a transient window during which some receptors remain unoccupied long enough for Lp(a) to bind.¹⁵</w:t>
      </w:r>
    </w:p>
    <w:p>
      <w:r>
        <w:rPr>
          <w:b/>
        </w:rPr>
        <w:t xml:space="preserve">Clinical translation. </w:t>
      </w:r>
      <w:r>
        <w:t>The dynamic shifting of Lp(a) risk thresholds between populations with different LDL-C burdens provides the first in vivo validation of the Saturation Threshold. For the practising cardiologist, this has immediate implications. First, Lp(a) should be measured in every FH patient at diagnosis, but the clinical action threshold should be adjusted for background LDL-C burden. A Lp(a) of 60 nmol/L in a patient with an LDL-C of 2.0 mmol/L (well-treated) carries substantially more residual risk than the same concentration in a patient with an LDL-C of 5.0 mmol/L (untreated), because the former has more available LDLR vacancies through which Lp(a) can undergo hepatic clearance.</w:t>
      </w:r>
    </w:p>
    <w:p>
      <w:r>
        <w:rPr>
          <w:b/>
        </w:rPr>
        <w:t xml:space="preserve">Cardiac imaging insights. </w:t>
      </w:r>
      <w:r>
        <w:t>The CMR data from 60,947 participants provide a novel structural perspective. Lp(a) elevation does not cause direct myocardial dysfunction: LVEF, GLS, and LV volumes are preserved across the entire Lp(a) concentration range. The cardiac damage manifests exclusively through valvular and vascular pathology—aortic stenosis patients show increased LV mass (pressure overload) and reduced LVEF (decompensation)—confirming that Lp(a) is a vascular and valvular toxin, not a myocardial one.</w:t>
      </w:r>
    </w:p>
    <w:p>
      <w:r>
        <w:rPr>
          <w:b/>
        </w:rPr>
        <w:t xml:space="preserve">Therapeutic implications. </w:t>
      </w:r>
      <w:r>
        <w:t>Because humans lack a dedicated clearance receptor, pharmacological strategies that depend on receptor upregulation are fundamentally constrained by the Saturation Threshold. Statins will never lower Lp(a). PCSK9 inhibitors have reached their biophysical ceiling (~25%). The only rational therapeutic strategy is to silence Lp(a) production at the source: the LPA gene in hepatocytes. Three RNA-interference approaches are in advanced clinical development: pelacarsen (antisense oligonucleotide; −35–80%),³⁹ olpasiran (siRNA; −70–101%),⁴⁰ and lepodisiran (siRNA; −55–97%).⁴¹ Additionally, the oral small-molecule muvalaplin, which disrupts the apo(a)–ApoB covalent bond, represents a complementary mechanism (−45–65%).⁴² Our structural data provide the biological rationale for these agents: they succeed precisely because they bypass the receptor bottleneck that defeats all clearance-based strategies.</w:t>
      </w:r>
    </w:p>
    <w:p>
      <w:r>
        <w:rPr>
          <w:b/>
        </w:rPr>
        <w:t xml:space="preserve">Limitations. </w:t>
      </w:r>
      <w:r>
        <w:t>Several limitations merit acknowledgement. First, AF3 does not model calcium coordination at protein–protein interfaces, preventing accurate prediction of calcium-dependent LDLR–ligand interactions. Second, the UK Biobank is a survival-selected cohort enriched for healthier individuals. Third, ethnic diversity in the UK Biobank FH carrier cohort is limited (Black n &lt; 50). Fourth, Lp(a) was measured at a single timepoint. Fifth, the cIMT analysis (n = 287) was underpowered for subgroup analyses.</w:t>
      </w:r>
    </w:p>
    <w:p>
      <w:r>
        <w:rPr>
          <w:b/>
        </w:rPr>
        <w:t xml:space="preserve">Conclusion. </w:t>
      </w:r>
      <w:r>
        <w:t>The human body is structurally incapable of efficiently clearing elevated Lp(a) through receptor-mediated endocytosis. The Saturation Threshold Model—validated by structural proteomics, CRISPR functional genomics, population-scale epidemiology, and cardiac imaging across 376,823 individuals—establishes that Lp(a) is an evolutionary orphan whose hepatic clearance is perpetually blocked by LDL-C. Because receptor upregulation is biologically futile, the silencing of hepatic LPA mRNA represents not merely a promising therapeutic option but a biological imperative for the 1.4 billion individuals living with elevated Lp(a) worldwide.</w:t>
      </w:r>
    </w:p>
    <w:p>
      <w:r>
        <w:br w:type="page"/>
      </w:r>
    </w:p>
    <w:p>
      <w:pPr>
        <w:pStyle w:val="Heading1"/>
      </w:pPr>
      <w:r>
        <w:t>Methods</w:t>
      </w:r>
    </w:p>
    <w:p>
      <w:pPr>
        <w:pStyle w:val="Heading2"/>
      </w:pPr>
      <w:r>
        <w:t>Study populations</w:t>
      </w:r>
    </w:p>
    <w:p>
      <w:r>
        <w:t>UK Biobank general population. The UK Biobank is a prospective cohort study of approximately 500,000 participants aged 40–69 years at recruitment (2006–2010). Lp(a) was measured using an immunoturbidimetric assay (Randox Laboratories) on stored plasma samples (field 30790). After excluding participants without Lp(a) measurements, 375,200 individuals were included (372,830 non-FH carriers; 2,370 FH carriers). ASCVD events were ascertained from Hospital Episode Statistics linked ICD-10 codes.</w:t>
      </w:r>
    </w:p>
    <w:p>
      <w:r>
        <w:t>UK Biobank FH carriers. FH carriers were identified from whole-exome sequencing data, selecting individuals with rare (gnomAD MAF &lt;0.01) missense or splice-region variants in LDLR. A total of 3,094 variant–carrier observations representing 2,370 unique individuals carrying 202 distinct missense variants were identified.</w:t>
      </w:r>
    </w:p>
    <w:p>
      <w:r>
        <w:t>Wales FH Registry. The Wales FH Service clinical registry comprises 1,623 genetically confirmed FH patients (LDLR 1,321, APOB 301, PCSK9 1; 55.2% female; mean age 56.7 ± 8.1 years) with prospective follow-up (mean 13.4 years; 399 ASCVD events; 191 deaths). Lp(a) was available for 1,308 participants (median 25.3 nmol/L, IQR 11.2–62.6). Carotid IMT was measured by B-mode ultrasound in 287 participants.</w:t>
      </w:r>
    </w:p>
    <w:p>
      <w:r>
        <w:t>UK Biobank cardiac MRI sub-study. Cardiac MRI was performed using a standardised protocol on a 1.5T scanner. LV volumes, ejection fraction, LV mass, cardiac output, global longitudinal strain, and aortic dimensions were obtained (fields 24100–24181). A total of 60,947 participants had both CMR and Lp(a) measurements available.</w:t>
      </w:r>
    </w:p>
    <w:p>
      <w:pPr>
        <w:pStyle w:val="Heading2"/>
      </w:pPr>
      <w:r>
        <w:t>AlphaFold3 structural proteomics</w:t>
      </w:r>
    </w:p>
    <w:p>
      <w:r>
        <w:t>Multimeric structure predictions were performed using the AlphaFold3 server. For each receptor–KIV-10 complex, we submitted the full extracellular domain of the receptor paired with the apo(a) KIV-10 domain (UniProt P08519, residues 3946–4031). Five independent models were generated per complex using different random seeds. Interface quality was assessed using iPTM, PTM, inter-chain contact probabilities (threshold &gt;0.30), and maximum contact probability.</w:t>
      </w:r>
    </w:p>
    <w:p>
      <w:pPr>
        <w:pStyle w:val="Heading2"/>
      </w:pPr>
      <w:r>
        <w:t>Statistical analysis</w:t>
      </w:r>
    </w:p>
    <w:p>
      <w:r>
        <w:t>Continuous variables are presented as mean ± SD or median (IQR) and compared using Mann–Whitney U tests. Correlations are assessed using Spearman’s rank correlation coefficient. Lp(a) quintile analyses used pre-specified cut-points. Relative risks were calculated as the ratio of event rates above versus below each threshold. Multiple testing was addressed using the Benjamini–Hochberg FDR procedure. All analyses were performed in Python 3.12 and R 4.3.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60" w:lineRule="auto"/>
      <w:outlineLvl w:val="0"/>
    </w:pPr>
    <w:rPr>
      <w:rFonts w:asciiTheme="majorHAnsi" w:eastAsiaTheme="majorEastAsia" w:hAnsiTheme="majorHAnsi" w:cstheme="majorBidi" w:ascii="Arial" w:hAnsi="Arial"/>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360" w:after="160" w:line="360" w:lineRule="auto"/>
      <w:outlineLvl w:val="1"/>
    </w:pPr>
    <w:rPr>
      <w:rFonts w:asciiTheme="majorHAnsi" w:eastAsiaTheme="majorEastAsia" w:hAnsiTheme="majorHAnsi" w:cstheme="majorBidi" w:ascii="Arial" w:hAnsi="Arial"/>
      <w:b/>
      <w:bCs/>
      <w:color w:val="003366"/>
      <w:sz w:val="24"/>
      <w:szCs w:val="26"/>
    </w:rPr>
  </w:style>
  <w:style w:type="paragraph" w:styleId="Heading3">
    <w:name w:val="heading 3"/>
    <w:basedOn w:val="Normal"/>
    <w:next w:val="Normal"/>
    <w:link w:val="Heading3Char"/>
    <w:uiPriority w:val="9"/>
    <w:unhideWhenUsed/>
    <w:qFormat/>
    <w:rsid w:val="00FC693F"/>
    <w:pPr>
      <w:keepNext/>
      <w:keepLines/>
      <w:spacing w:before="360" w:after="160" w:line="360" w:lineRule="auto"/>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