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pPr>
      <w:r>
        <w:rPr>
          <w:rFonts w:ascii="Cambria" w:hAnsi="Cambria"/>
          <w:b/>
          <w:i w:val="0"/>
          <w:sz w:val="32"/>
        </w:rPr>
        <w:t>Cover Letter — *Circulation*</w:t>
      </w:r>
    </w:p>
    <w:p>
      <w:pPr>
        <w:spacing w:line="360" w:lineRule="auto" w:after="120"/>
        <w:ind w:firstLine="0"/>
      </w:pPr>
      <w:r>
        <w:rPr>
          <w:rFonts w:ascii="Cambria" w:hAnsi="Cambria"/>
          <w:b w:val="0"/>
          <w:i w:val="0"/>
          <w:sz w:val="22"/>
        </w:rPr>
        <w:t>Nader Genedy, MBBCh</w:t>
      </w:r>
    </w:p>
    <w:p>
      <w:pPr>
        <w:spacing w:line="360" w:lineRule="auto" w:after="120"/>
        <w:ind w:firstLine="0"/>
      </w:pPr>
      <w:r>
        <w:rPr>
          <w:rFonts w:ascii="Cambria" w:hAnsi="Cambria"/>
          <w:b w:val="0"/>
          <w:i w:val="0"/>
          <w:sz w:val="22"/>
        </w:rPr>
        <w:t>Cardiff University School of Medicine</w:t>
      </w:r>
    </w:p>
    <w:p>
      <w:pPr>
        <w:spacing w:line="360" w:lineRule="auto" w:after="120"/>
        <w:ind w:firstLine="0"/>
      </w:pPr>
      <w:r>
        <w:rPr>
          <w:rFonts w:ascii="Cambria" w:hAnsi="Cambria"/>
          <w:b w:val="0"/>
          <w:i w:val="0"/>
          <w:sz w:val="22"/>
        </w:rPr>
        <w:t>Heath Park</w:t>
      </w:r>
    </w:p>
    <w:p>
      <w:pPr>
        <w:spacing w:line="360" w:lineRule="auto" w:after="120"/>
        <w:ind w:firstLine="0"/>
      </w:pPr>
      <w:r>
        <w:rPr>
          <w:rFonts w:ascii="Cambria" w:hAnsi="Cambria"/>
          <w:b w:val="0"/>
          <w:i w:val="0"/>
          <w:sz w:val="22"/>
        </w:rPr>
        <w:t>Cardiff CF14 4XN</w:t>
      </w:r>
    </w:p>
    <w:p>
      <w:pPr>
        <w:spacing w:line="360" w:lineRule="auto" w:after="120"/>
        <w:ind w:firstLine="0"/>
      </w:pPr>
      <w:r>
        <w:rPr>
          <w:rFonts w:ascii="Cambria" w:hAnsi="Cambria"/>
          <w:b w:val="0"/>
          <w:i w:val="0"/>
          <w:sz w:val="22"/>
        </w:rPr>
        <w:t>United Kingdom</w:t>
      </w:r>
    </w:p>
    <w:p>
      <w:pPr>
        <w:spacing w:line="360" w:lineRule="auto" w:after="120"/>
        <w:ind w:firstLine="0"/>
      </w:pPr>
      <w:r>
        <w:rPr>
          <w:rFonts w:ascii="Cambria" w:hAnsi="Cambria"/>
          <w:b w:val="0"/>
          <w:i w:val="0"/>
          <w:sz w:val="22"/>
        </w:rPr>
        <w:t>[Date]</w:t>
      </w:r>
    </w:p>
    <w:p>
      <w:pPr>
        <w:spacing w:line="360" w:lineRule="auto" w:after="120"/>
        <w:ind w:firstLine="0"/>
      </w:pPr>
      <w:r>
        <w:rPr>
          <w:rFonts w:ascii="Cambria" w:hAnsi="Cambria"/>
          <w:b w:val="0"/>
          <w:i w:val="0"/>
          <w:sz w:val="22"/>
        </w:rPr>
        <w:t>The Editors</w:t>
      </w:r>
    </w:p>
    <w:p>
      <w:pPr>
        <w:spacing w:line="360" w:lineRule="auto" w:after="120"/>
        <w:ind w:firstLine="0"/>
      </w:pPr>
      <w:r>
        <w:rPr>
          <w:rFonts w:ascii="Cambria" w:hAnsi="Cambria"/>
          <w:b w:val="0"/>
          <w:i/>
          <w:sz w:val="22"/>
        </w:rPr>
        <w:t>Circulation</w:t>
      </w:r>
    </w:p>
    <w:p>
      <w:pPr>
        <w:spacing w:line="360" w:lineRule="auto" w:after="120"/>
        <w:ind w:firstLine="0"/>
      </w:pPr>
      <w:r>
        <w:rPr>
          <w:rFonts w:ascii="Cambria" w:hAnsi="Cambria"/>
          <w:b w:val="0"/>
          <w:i w:val="0"/>
          <w:sz w:val="22"/>
        </w:rPr>
        <w:t>American Heart Association</w:t>
      </w:r>
    </w:p>
    <w:p>
      <w:pPr>
        <w:spacing w:line="360" w:lineRule="auto" w:after="120"/>
        <w:ind w:firstLine="0"/>
      </w:pPr>
      <w:r>
        <w:rPr>
          <w:rFonts w:ascii="Cambria" w:hAnsi="Cambria"/>
          <w:b w:val="0"/>
          <w:i w:val="0"/>
          <w:sz w:val="22"/>
        </w:rPr>
        <w:t>Dear Editors,</w:t>
      </w:r>
    </w:p>
    <w:p>
      <w:pPr>
        <w:spacing w:line="360" w:lineRule="auto" w:after="120"/>
        <w:ind w:firstLine="0"/>
      </w:pPr>
      <w:r>
        <w:rPr>
          <w:rFonts w:ascii="Cambria" w:hAnsi="Cambria"/>
          <w:b w:val="0"/>
          <w:i w:val="0"/>
          <w:sz w:val="22"/>
        </w:rPr>
        <w:t>We submit for your consideration the manuscript "</w:t>
      </w:r>
      <w:r>
        <w:rPr>
          <w:rFonts w:ascii="Cambria" w:hAnsi="Cambria"/>
          <w:b/>
          <w:i w:val="0"/>
          <w:sz w:val="22"/>
        </w:rPr>
        <w:t>CALON-FH: a sign-constrained categorical risk equation for atherosclerotic cardiovascular disease in familial hypercholesterolaemia, bidirectionally externally validated across Wales PASS and the UK Biobank</w:t>
      </w:r>
      <w:r>
        <w:rPr>
          <w:rFonts w:ascii="Cambria" w:hAnsi="Cambria"/>
          <w:b w:val="0"/>
          <w:i w:val="0"/>
          <w:sz w:val="22"/>
        </w:rPr>
        <w:t xml:space="preserve">" for evaluation as a Research Article in </w:t>
      </w:r>
      <w:r>
        <w:rPr>
          <w:rFonts w:ascii="Cambria" w:hAnsi="Cambria"/>
          <w:b w:val="0"/>
          <w:i/>
          <w:sz w:val="22"/>
        </w:rPr>
        <w:t>Circulation</w:t>
      </w:r>
      <w:r>
        <w:rPr>
          <w:rFonts w:ascii="Cambria" w:hAnsi="Cambria"/>
          <w:b w:val="0"/>
          <w:i w:val="0"/>
          <w:sz w:val="22"/>
        </w:rPr>
        <w:t>.</w:t>
      </w:r>
    </w:p>
    <w:p>
      <w:pPr>
        <w:spacing w:line="360" w:lineRule="auto" w:after="120"/>
        <w:ind w:firstLine="0"/>
      </w:pPr>
      <w:r>
        <w:rPr>
          <w:rFonts w:ascii="Cambria" w:hAnsi="Cambria"/>
          <w:b w:val="0"/>
          <w:i w:val="0"/>
          <w:sz w:val="22"/>
        </w:rPr>
        <w:t xml:space="preserve">We believe this work is of direct relevance to </w:t>
      </w:r>
      <w:r>
        <w:rPr>
          <w:rFonts w:ascii="Cambria" w:hAnsi="Cambria"/>
          <w:b w:val="0"/>
          <w:i/>
          <w:sz w:val="22"/>
        </w:rPr>
        <w:t>Circulation</w:t>
      </w:r>
      <w:r>
        <w:rPr>
          <w:rFonts w:ascii="Cambria" w:hAnsi="Cambria"/>
          <w:b w:val="0"/>
          <w:i w:val="0"/>
          <w:sz w:val="22"/>
        </w:rPr>
        <w:t>'s readership for three connected reasons.</w:t>
      </w:r>
    </w:p>
    <w:p>
      <w:pPr>
        <w:spacing w:line="360" w:lineRule="auto" w:after="120"/>
        <w:ind w:firstLine="0"/>
      </w:pPr>
      <w:r>
        <w:rPr>
          <w:rFonts w:ascii="Cambria" w:hAnsi="Cambria"/>
          <w:b w:val="0"/>
          <w:i w:val="0"/>
          <w:sz w:val="22"/>
        </w:rPr>
        <w:t xml:space="preserve">First, it addresses a clinical question that arises daily in lipid clinics. The current FH risk equation of record — SAFEHEART-RE, published in </w:t>
      </w:r>
      <w:r>
        <w:rPr>
          <w:rFonts w:ascii="Cambria" w:hAnsi="Cambria"/>
          <w:b w:val="0"/>
          <w:i/>
          <w:sz w:val="22"/>
        </w:rPr>
        <w:t>Circulation</w:t>
      </w:r>
      <w:r>
        <w:rPr>
          <w:rFonts w:ascii="Cambria" w:hAnsi="Cambria"/>
          <w:b w:val="0"/>
          <w:i w:val="0"/>
          <w:sz w:val="22"/>
        </w:rPr>
        <w:t xml:space="preserve"> in 2017 — was derived before the routine deployment of PCSK9 inhibitors, ezetimibe combinations, and bempedoic acid, and consequently before the contemporary clinical reality in which most FH patients in active care have measured LDL-C below the equation's original 4.14 mmol/L threshold. Our work asks whether a contemporary FH risk score, built explicitly to recover the underlying biological cholesterol burden from a treatment-modified phenotype, can refine patient-level risk ranking in a clinically meaningful way. We report that it can.</w:t>
      </w:r>
    </w:p>
    <w:p>
      <w:pPr>
        <w:spacing w:line="360" w:lineRule="auto" w:after="120"/>
        <w:ind w:firstLine="0"/>
      </w:pPr>
      <w:r>
        <w:rPr>
          <w:rFonts w:ascii="Cambria" w:hAnsi="Cambria"/>
          <w:b w:val="0"/>
          <w:i w:val="0"/>
          <w:sz w:val="22"/>
        </w:rPr>
        <w:t>Second, we report what we believe to be the first bidirectional external TRIPOD Type 4 validation of an FH risk equation across two genetically confirmed FH cohorts of differing treatment intensity. CALON-FH outperformed a refitted SAFEHEART-RE in both directions of cross-cohort transfer (ΔAUC +0.063, p&lt;0.001 Wales→UK Biobank; +0.086, p=0.013 reverse), in all 14 prespecified subgroups, and with the largest gain (ΔAUC +0.118; NRI +33%) in elderly patients — the population in which contemporary treatment-intensification decisions are most contested. The bidirectional and subgroup-comprehensive nature of the validation is, in our view, the strongest test such an equation can face.</w:t>
      </w:r>
    </w:p>
    <w:p>
      <w:pPr>
        <w:spacing w:line="360" w:lineRule="auto" w:after="120"/>
        <w:ind w:firstLine="0"/>
      </w:pPr>
      <w:r>
        <w:rPr>
          <w:rFonts w:ascii="Cambria" w:hAnsi="Cambria"/>
          <w:b w:val="0"/>
          <w:i w:val="0"/>
          <w:sz w:val="22"/>
        </w:rPr>
        <w:t>Third, the methodological contributions extend beyond FH. The dose-specific X.Y drug-encoding scheme provides a transparent and reproducible procedure for recovering an underlying lipid exposure variable from a treatment-modified measurement. The sign-constrained iterative coefficient drop encodes prior biological direction as an explicit cross-cohort transferability test. Both procedures are, in our reading, applicable to cardiovascular risk-prediction problems beyond FH — to hypertension, to glycaemic control in diabetes, to ejection-fraction-based heart failure phenotyping — in which the principal exposure variable is now routinely treated to target in the development cohort.</w:t>
      </w:r>
    </w:p>
    <w:p>
      <w:pPr>
        <w:spacing w:line="360" w:lineRule="auto" w:after="120"/>
        <w:ind w:firstLine="0"/>
      </w:pPr>
      <w:r>
        <w:rPr>
          <w:rFonts w:ascii="Cambria" w:hAnsi="Cambria"/>
          <w:b w:val="0"/>
          <w:i w:val="0"/>
          <w:sz w:val="22"/>
        </w:rPr>
        <w:t>We have written the manuscript with full transparency about an interim methodological audit (documented as Supplemental Note 1) in which we identified that a previous version of the analysis had used an outcome-conditional baseline age variable. The locked analysis reported here uses DRAGON-3-derived baseline age exclusively, and we present the audit transparently as part of the methodological narrative rather than as a buried limitation. We believe this transparency strengthens rather than weakens the contribution.</w:t>
      </w:r>
    </w:p>
    <w:p>
      <w:pPr>
        <w:spacing w:line="360" w:lineRule="auto" w:after="120"/>
        <w:ind w:firstLine="0"/>
      </w:pPr>
      <w:r>
        <w:rPr>
          <w:rFonts w:ascii="Cambria" w:hAnsi="Cambria"/>
          <w:b w:val="0"/>
          <w:i w:val="0"/>
          <w:sz w:val="22"/>
        </w:rPr>
        <w:t>The work has not been previously published and is not currently under consideration elsewhere. All authors have approved the submission and accept responsibility for the integrity and accuracy of the analysis. All code, locked output CSVs, and per-claim traceability documentation are available in the project repository to support reproducibility.</w:t>
      </w:r>
    </w:p>
    <w:p>
      <w:pPr>
        <w:spacing w:line="360" w:lineRule="auto" w:after="120"/>
        <w:ind w:firstLine="0"/>
      </w:pPr>
      <w:r>
        <w:rPr>
          <w:rFonts w:ascii="Cambria" w:hAnsi="Cambria"/>
          <w:b w:val="0"/>
          <w:i w:val="0"/>
          <w:sz w:val="22"/>
        </w:rPr>
        <w:t>We thank the Editors and reviewers in advance for their consideration. We would be glad to address any questions about methodology, cohort assembly, or interpretation.</w:t>
      </w:r>
    </w:p>
    <w:p>
      <w:pPr>
        <w:spacing w:line="360" w:lineRule="auto" w:after="120"/>
        <w:ind w:firstLine="0"/>
      </w:pPr>
      <w:r>
        <w:rPr>
          <w:rFonts w:ascii="Cambria" w:hAnsi="Cambria"/>
          <w:b w:val="0"/>
          <w:i w:val="0"/>
          <w:sz w:val="22"/>
        </w:rPr>
        <w:t>Yours sincerely,</w:t>
      </w:r>
    </w:p>
    <w:p>
      <w:pPr>
        <w:spacing w:line="360" w:lineRule="auto" w:after="120"/>
        <w:ind w:firstLine="0"/>
      </w:pPr>
      <w:r>
        <w:rPr>
          <w:rFonts w:ascii="Cambria" w:hAnsi="Cambria"/>
          <w:b w:val="0"/>
          <w:i w:val="0"/>
          <w:sz w:val="22"/>
        </w:rPr>
        <w:t>Nader Genedy, MBBCh</w:t>
      </w:r>
    </w:p>
    <w:p>
      <w:pPr>
        <w:spacing w:line="360" w:lineRule="auto" w:after="120"/>
        <w:ind w:firstLine="0"/>
      </w:pPr>
      <w:r>
        <w:rPr>
          <w:rFonts w:ascii="Cambria" w:hAnsi="Cambria"/>
          <w:b w:val="0"/>
          <w:i w:val="0"/>
          <w:sz w:val="22"/>
        </w:rPr>
        <w:t>On behalf of all authors</w:t>
      </w:r>
    </w:p>
    <w:p>
      <w:pPr>
        <w:spacing w:line="360" w:lineRule="auto" w:after="120"/>
        <w:ind w:firstLine="0"/>
      </w:pPr>
      <w:r>
        <w:rPr>
          <w:rFonts w:ascii="Cambria" w:hAnsi="Cambria"/>
          <w:b w:val="0"/>
          <w:i w:val="0"/>
          <w:sz w:val="22"/>
        </w:rPr>
        <w:t>ORCID: [TBD]</w:t>
      </w:r>
    </w:p>
    <w:p>
      <w:pPr>
        <w:spacing w:line="360" w:lineRule="auto" w:after="120"/>
        <w:ind w:firstLine="0"/>
      </w:pPr>
      <w:r>
        <w:rPr>
          <w:rFonts w:ascii="Cambria" w:hAnsi="Cambria"/>
          <w:b w:val="0"/>
          <w:i w:val="0"/>
          <w:sz w:val="22"/>
        </w:rPr>
        <w:t>Email: [TBD]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