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Arial" w:hAnsi="Arial"/>
          <w:b/>
          <w:sz w:val="28"/>
        </w:rPr>
        <w:t>Treatment-Adjusted Phenotyping, Ascertainment Bias Correction, and Metabolic Filtering for Familial Hypercholesterolemia Diagnosis: Development and Dual External Validation of the TUDOR Algorithm in 4,028 Genetically Confirmed Cases</w:t>
      </w:r>
    </w:p>
    <w:p>
      <w:pPr>
        <w:spacing w:after="240"/>
        <w:jc w:val="center"/>
      </w:pPr>
      <w:r>
        <w:rPr>
          <w:rFonts w:ascii="Arial" w:hAnsi="Arial"/>
          <w:sz w:val="22"/>
        </w:rPr>
        <w:t>Nader Genedy, MBBCh, MRCPUK, MRCPI, SCE(AIM), MRCGPUK, PgD; Soha Zouwail, FRCPath, MD, PhD</w:t>
      </w:r>
    </w:p>
    <w:p>
      <w:pPr>
        <w:jc w:val="center"/>
      </w:pPr>
      <w:r>
        <w:rPr>
          <w:rFonts w:ascii="Arial" w:hAnsi="Arial"/>
          <w:sz w:val="20"/>
        </w:rPr>
        <w:t>1 Department of Metabolic Medicine, Cardiff and Vale University Health Board, Cardiff, Wales, UK</w:t>
        <w:br/>
        <w:t>* Corresponding author: Nader Genedy, Department of Cardiology, Cardiff and Vale University Health Board, Heath Park, Cardiff, CF14 4XW, Wales, UK.</w:t>
        <w:br/>
        <w:t>Email: genedyn1@cardiff.ac.uk</w:t>
      </w:r>
    </w:p>
    <w:p>
      <w:pPr>
        <w:spacing w:before="360"/>
      </w:pPr>
      <w:r>
        <w:rPr>
          <w:rFonts w:ascii="Arial" w:hAnsi="Arial"/>
          <w:i/>
          <w:sz w:val="20"/>
        </w:rPr>
        <w:t>Keywords: familial hypercholesterolemia; cascade screening; treatment adjustment; diagnostic algorithm; LDL cholesterol; triglyceride metabolic filter; UK Biobank; external validation; apolipoprotein B; genetic validation</w:t>
      </w:r>
    </w:p>
    <w:p>
      <w:pPr>
        <w:spacing w:line="330" w:lineRule="exact" w:after="120"/>
        <w:jc w:val="left"/>
      </w:pPr>
      <w:r>
        <w:rPr>
          <w:rFonts w:ascii="Arial" w:hAnsi="Arial"/>
          <w:b w:val="0"/>
          <w:i/>
          <w:sz w:val="22"/>
        </w:rPr>
        <w:t>Word count: ~12,000</w:t>
      </w:r>
    </w:p>
    <w:p>
      <w:r>
        <w:br w:type="page"/>
      </w:r>
    </w:p>
    <w:p>
      <w:pPr>
        <w:pStyle w:val="Heading1"/>
        <w:spacing w:before="360" w:after="120"/>
      </w:pPr>
      <w:r>
        <w:rPr>
          <w:rFonts w:ascii="Arial" w:hAnsi="Arial"/>
          <w:color w:val="000000"/>
          <w:sz w:val="28"/>
        </w:rPr>
        <w:t>HIGHLIGHTS</w:t>
      </w:r>
    </w:p>
    <w:p>
      <w:pPr>
        <w:pStyle w:val="ListBullet"/>
      </w:pPr>
      <w:r>
        <w:rPr>
          <w:rFonts w:ascii="Arial" w:hAnsi="Arial"/>
          <w:sz w:val="22"/>
        </w:rPr>
        <w:t>TUDOR achieves AUC 0.842 in Wales and 0.750 in UK Biobank validation</w:t>
      </w:r>
    </w:p>
    <w:p>
      <w:pPr>
        <w:pStyle w:val="ListBullet"/>
      </w:pPr>
      <w:r>
        <w:rPr>
          <w:rFonts w:ascii="Arial" w:hAnsi="Arial"/>
          <w:sz w:val="22"/>
        </w:rPr>
        <w:t>Largest genetically confirmed FH study: 4,028 cases across two cohorts</w:t>
      </w:r>
    </w:p>
    <w:p>
      <w:pPr>
        <w:pStyle w:val="ListBullet"/>
      </w:pPr>
      <w:r>
        <w:rPr>
          <w:rFonts w:ascii="Arial" w:hAnsi="Arial"/>
          <w:sz w:val="22"/>
        </w:rPr>
        <w:t>Gene-specific validation consistent across LDLR APOB and PCSK9 variants</w:t>
      </w:r>
    </w:p>
    <w:p>
      <w:pPr>
        <w:pStyle w:val="ListBullet"/>
      </w:pPr>
      <w:r>
        <w:rPr>
          <w:rFonts w:ascii="Arial" w:hAnsi="Arial"/>
          <w:sz w:val="22"/>
        </w:rPr>
        <w:t>ApoB/LDL-C ratio augmentation improves discrimination to AUC 0.771</w:t>
      </w:r>
    </w:p>
    <w:p>
      <w:pPr>
        <w:pStyle w:val="ListBullet"/>
      </w:pPr>
      <w:r>
        <w:rPr>
          <w:rFonts w:ascii="Arial" w:hAnsi="Arial"/>
          <w:sz w:val="22"/>
        </w:rPr>
        <w:t>Triglyceride metabolic filter independent of BMI diabetes and ApoB</w:t>
      </w:r>
    </w:p>
    <w:p>
      <w:r>
        <w:br w:type="page"/>
      </w:r>
    </w:p>
    <w:p>
      <w:pPr>
        <w:pStyle w:val="Heading1"/>
        <w:spacing w:before="360" w:after="120"/>
      </w:pPr>
      <w:r>
        <w:rPr>
          <w:rFonts w:ascii="Arial" w:hAnsi="Arial"/>
          <w:color w:val="000000"/>
          <w:sz w:val="28"/>
        </w:rPr>
        <w:t>ABSTRACT</w:t>
      </w:r>
    </w:p>
    <w:p>
      <w:pPr>
        <w:spacing w:line="330" w:lineRule="exact" w:after="120"/>
        <w:jc w:val="left"/>
      </w:pPr>
      <w:r>
        <w:rPr>
          <w:rFonts w:ascii="Arial" w:hAnsi="Arial"/>
          <w:b w:val="0"/>
          <w:i w:val="0"/>
          <w:sz w:val="22"/>
        </w:rPr>
        <w:t>Background: Familial hypercholesterolemia (FH) remains profoundly underdiagnosed worldwide, with established clinical criteria demonstrating critical limitations in the contemporary era of widespread lipid-lowering therapy. We developed and externally validated TUDOR (Treatment-adjusted Universal Detection and Outcome Risk), a diagnostic algorithm incorporating individualised treatment-intensity adjusted low-density lipoprotein cholesterol (LDL-C), ascertainment bias correction, and a triglyceride-based metabolic filter.</w:t>
      </w:r>
    </w:p>
    <w:p>
      <w:pPr>
        <w:spacing w:line="330" w:lineRule="exact" w:after="120"/>
        <w:jc w:val="left"/>
      </w:pPr>
      <w:r>
        <w:rPr>
          <w:rFonts w:ascii="Arial" w:hAnsi="Arial"/>
          <w:b w:val="0"/>
          <w:i w:val="0"/>
          <w:sz w:val="22"/>
        </w:rPr>
        <w:t>Methods: TUDOR was developed in Cardiff and Vale University Health Board using Elastic Net regression (alpha = 0.5) trained on index cases. First external validation was performed in the All Wales Familial Hypercholesterolemia Registry (n = 7,253; 2,405 genetically confirmed FH; TRIPOD Type 2b). Second external validation was performed in UK Biobank (n = 426,732; 1,623 genetic FH cases; TRIPOD Type 4) using fixed Wales-derived model weights without re-estimation. A lipid clinic-mimicking cohort was defined in UK Biobank as participants meeting any of: total cholesterol exceeding 7.5 mmol/L, statin-corrected LDL-C exceeding 4.9 mmol/L, or premature atherosclerotic cardiovascular disease (n = 58,021; 729 FH cases; 1.26% prevalence). Gene-specific performance was assessed across *LDLR*, *APOB*, and *PCSK9* variant carriers. Apolipoprotein B (ApoB) augmentation models were evaluated.</w:t>
      </w:r>
    </w:p>
    <w:p>
      <w:pPr>
        <w:spacing w:line="330" w:lineRule="exact" w:after="120"/>
        <w:jc w:val="left"/>
      </w:pPr>
      <w:r>
        <w:rPr>
          <w:rFonts w:ascii="Arial" w:hAnsi="Arial"/>
          <w:b w:val="0"/>
          <w:i w:val="0"/>
          <w:sz w:val="22"/>
        </w:rPr>
        <w:t>Results: TUDOR achieved area under the receiver operating characteristic curve (AUC) of 0.842 (95% CI: 0.822-0.863) in Wales external validation and 0.750 (95% CI: 0.731-0.770) in the UK Biobank lipid clinic cohort, significantly outperforming estimated Dutch Lipid Clinic Network criteria (eDLCN; AUC 0.636; DeLong Z = 10.08, p = 6.73 x 10^-24), isolated LDL-C concentration (AUC 0.689; p &lt; 0.001), and the triglyceride metabolic filter alone (AUC 0.700). Gene-specific AUC demonstrated consistent discrimination across variant types: *LDLR* 0.839 and *APOB* 0.841 in Wales; *LDLR* 0.717 and *APOB* 0.830 in UK Biobank. The combined TUDOR plus ApoB plus ApoB/LDL-C ratio model achieved AUC of 0.771 (delta-AUC +0.019; DeLong p = 3.99 x 10^-5). Together, the two validation cohorts encompassed 4,028 genetically confirmed FH cases, representing to our knowledge the largest dual-validated genetically confirmed FH diagnostic study reported to date.</w:t>
      </w:r>
    </w:p>
    <w:p>
      <w:pPr>
        <w:spacing w:line="330" w:lineRule="exact" w:after="120"/>
        <w:jc w:val="left"/>
      </w:pPr>
      <w:r>
        <w:rPr>
          <w:rFonts w:ascii="Arial" w:hAnsi="Arial"/>
          <w:b w:val="0"/>
          <w:i w:val="0"/>
          <w:sz w:val="22"/>
        </w:rPr>
        <w:t>Conclusions: TUDOR provides a dual-externally-validated diagnostic algorithm for FH that maintains discrimination across specialist registry and population-based biobank settings, with gene-specific validation and optional ApoB augmentation capability. Treatment-adjusted phenotyping and ascertainment bias correction address the fundamental limitations underlying the systematic underdiagnosis of FH in contemporary clinical practice.</w:t>
      </w:r>
    </w:p>
    <w:p>
      <w:pPr>
        <w:pStyle w:val="Heading1"/>
        <w:spacing w:before="360" w:after="120"/>
      </w:pPr>
      <w:r>
        <w:rPr>
          <w:rFonts w:ascii="Arial" w:hAnsi="Arial"/>
          <w:color w:val="000000"/>
          <w:sz w:val="28"/>
        </w:rPr>
        <w:t>1. INTRODUCTION</w:t>
      </w:r>
    </w:p>
    <w:p>
      <w:pPr>
        <w:pStyle w:val="Heading2"/>
        <w:spacing w:before="360" w:after="120"/>
      </w:pPr>
      <w:r>
        <w:rPr>
          <w:rFonts w:ascii="Arial" w:hAnsi="Arial"/>
          <w:color w:val="000000"/>
          <w:sz w:val="24"/>
        </w:rPr>
        <w:t>1.1 Familial Hypercholesterolemia: Pathophysiology and Clinical Burden</w:t>
      </w:r>
    </w:p>
    <w:p>
      <w:pPr>
        <w:spacing w:line="330" w:lineRule="exact" w:after="120"/>
        <w:jc w:val="left"/>
      </w:pPr>
      <w:r>
        <w:rPr>
          <w:rFonts w:ascii="Arial" w:hAnsi="Arial"/>
          <w:b w:val="0"/>
          <w:i w:val="0"/>
          <w:sz w:val="22"/>
        </w:rPr>
        <w:t>Familial hypercholesterolemia is among the most prevalent monogenic disorders in human medicine, affecting approximately 1 in 250 individuals worldwide through autosomal dominant pathogenic variants in genes governing the hepatic clearance of low-density lipoprotein particles from the circulation [1-3]. The condition arises predominantly from loss-of-function variants in the *LDLR* gene encoding the low-density lipoprotein receptor, gain-of-function variants in *APOB* encoding apolipoprotein B-100 (the ligand through which LDL particles bind to hepatic receptors), or gain-of-function variants in *PCSK9* encoding proprotein convertase subtilisin/kexin type 9 (a serine protease that promotes lysosomal degradation of LDL receptors) [4]. Less commonly, variants in *LDLRAP1* (encoding the LDL receptor adaptor protein required for receptor internalisation) and *APOE* (encoding apolipoprotein E) produce clinically similar phenotypes through distinct molecular mechanisms.</w:t>
      </w:r>
    </w:p>
    <w:p>
      <w:pPr>
        <w:spacing w:line="330" w:lineRule="exact" w:after="120"/>
        <w:jc w:val="left"/>
      </w:pPr>
      <w:r>
        <w:rPr>
          <w:rFonts w:ascii="Arial" w:hAnsi="Arial"/>
          <w:b w:val="0"/>
          <w:i w:val="0"/>
          <w:sz w:val="22"/>
        </w:rPr>
        <w:t>The pathophysiology of heterozygous FH centres on a quantitative reduction in functional hepatic LDL receptor activity, typically to approximately 50% of normal capacity. Under physiological conditions, circulating LDL particles bind to hepatic LDL receptors via apolipoprotein B-100, undergo receptor-mediated endocytosis through clathrin-coated pits, and are delivered to lysosomes for cholesterol extraction while the receptor recycles to the cell surface. Each LDL receptor completes this cycle approximately every ten minutes, with a functional half-life encompassing over 100 recycling events. In heterozygous FH, halving of this clearance capacity produces a steady-state doubling of circulating LDL particle residence time, resulting in elevated plasma LDL-C concentrations from birth. Crucially, this receptor-mediated deficiency is selective: hepatic very-low-density lipoprotein (VLDL) secretion remains intact, and triglyceride-rich lipoprotein metabolism through alternative clearance pathways (including hepatic lipase and LDL receptor-related protein) is preserved. This selectivity produces the metabolic signature that distinguishes monogenic FH from polygenic and secondary causes of hypercholesterolemia: isolated elevation of LDL-C with normal or low triglyceride concentrations.</w:t>
      </w:r>
    </w:p>
    <w:p>
      <w:pPr>
        <w:spacing w:line="330" w:lineRule="exact" w:after="120"/>
        <w:jc w:val="left"/>
      </w:pPr>
      <w:r>
        <w:rPr>
          <w:rFonts w:ascii="Arial" w:hAnsi="Arial"/>
          <w:b w:val="0"/>
          <w:i w:val="0"/>
          <w:sz w:val="22"/>
        </w:rPr>
        <w:t>The clinical consequence of this lifelong LDL-C elevation is premature atherosclerotic cardiovascular disease (ASCVD) driven by cumulative arterial cholesterol deposition. The concept of cumulative LDL-C burden, expressed as millimole-years per litre, provides a framework for understanding why individuals with FH develop coronary artery disease decades earlier than the general population. An untreated individual with heterozygous FH reaching a plasma LDL-C concentration of 5.5 mmol/L from birth accumulates approximately 275 mmol-years/L by age 50, exceeding the estimated atherogenic threshold of 160 mmol-years/L by the third decade of life [5]. This cumulative exposure produces a 10- to 20-fold increased risk of premature coronary heart disease by age 50, making timely diagnosis and treatment initiation a clinical imperative [6,7]. The critical corollary is equally important: when diagnosed and treated early with contemporary lipid-lowering therapy, individuals with heterozygous FH can achieve near-normal life expectancy [8,9].</w:t>
      </w:r>
    </w:p>
    <w:p>
      <w:pPr>
        <w:spacing w:line="330" w:lineRule="exact" w:after="120"/>
        <w:jc w:val="left"/>
      </w:pPr>
      <w:r>
        <w:rPr>
          <w:rFonts w:ascii="Arial" w:hAnsi="Arial"/>
          <w:b w:val="0"/>
          <w:i w:val="0"/>
          <w:sz w:val="22"/>
        </w:rPr>
        <w:t>Despite these well-characterised consequences and the availability of effective treatments, fewer than 10% of affected individuals have been identified in most healthcare systems globally [10,11]. This diagnostic gap represents one of the most consequential failures in preventive cardiovascular medicine, directly contributing to preventable myocardial infarctions, coronary interventions, and premature deaths in millions of affected individuals worldwide.</w:t>
      </w:r>
    </w:p>
    <w:p>
      <w:pPr>
        <w:pStyle w:val="Heading2"/>
        <w:spacing w:before="360" w:after="120"/>
      </w:pPr>
      <w:r>
        <w:rPr>
          <w:rFonts w:ascii="Arial" w:hAnsi="Arial"/>
          <w:color w:val="000000"/>
          <w:sz w:val="24"/>
        </w:rPr>
        <w:t>1.2 Limitations of Established Diagnostic Criteria</w:t>
      </w:r>
    </w:p>
    <w:p>
      <w:pPr>
        <w:spacing w:line="330" w:lineRule="exact" w:after="120"/>
        <w:jc w:val="left"/>
      </w:pPr>
      <w:r>
        <w:rPr>
          <w:rFonts w:ascii="Arial" w:hAnsi="Arial"/>
          <w:b w:val="0"/>
          <w:i w:val="0"/>
          <w:sz w:val="22"/>
        </w:rPr>
        <w:t>The diagnostic criteria upon which clinical practice currently depends were developed in an era substantially different from contemporary medicine. The Dutch Lipid Clinic Network (DLCN) scoring system assigns weighted points based on LDL-C concentrations, clinical signs (tendon xanthomata, corneal arcus before age 45), personal history of premature coronary or cerebrovascular disease, family history of hypercholesterolemia or premature cardiovascular events, and genetic testing results [12]. The Simon Broome Register criteria, widely applied in United Kingdom clinical practice, classify patients as having definite or possible FH based on age-specific total cholesterol or LDL-C thresholds combined with the presence of tendon xanthomata or documented family history of premature coronary events or severe hypercholesterolemia [13]. The Make Early Diagnosis to Prevent Early Deaths (MEDPED) criteria employ age-stratified LDL-C cutpoints derived from the statistical distribution of cholesterol concentrations in known FH families [14].</w:t>
      </w:r>
    </w:p>
    <w:p>
      <w:pPr>
        <w:spacing w:line="330" w:lineRule="exact" w:after="120"/>
        <w:jc w:val="left"/>
      </w:pPr>
      <w:r>
        <w:rPr>
          <w:rFonts w:ascii="Arial" w:hAnsi="Arial"/>
          <w:b w:val="0"/>
          <w:i w:val="0"/>
          <w:sz w:val="22"/>
        </w:rPr>
        <w:t>Each of these systems was calibrated when lipid-lowering therapy was considerably less prevalent and potent than in contemporary clinical practice. The widespread adoption of statins for primary cardiovascular prevention, frequently initiated before FH is clinically suspected, fundamentally alters the diagnostic phenotype by reducing LDL-C concentrations below the thresholds that trigger clinical recognition. The standard approach to estimating pre-treatment LDL-C involves applying a uniform correction factor (typically 1.43, corresponding to an assumed 30% reduction), yet LDL-C lowering efficacy varies approximately five-fold across statin types and doses, from 15% with low-dose pravastatin to over 55% with high-dose rosuvastatin [15-17]. Application of a uniform correction factor therefore introduces systematic error whose direction and magnitude depend entirely on the individual patient's therapeutic context.</w:t>
      </w:r>
    </w:p>
    <w:p>
      <w:pPr>
        <w:spacing w:line="330" w:lineRule="exact" w:after="120"/>
        <w:jc w:val="left"/>
      </w:pPr>
      <w:r>
        <w:rPr>
          <w:rFonts w:ascii="Arial" w:hAnsi="Arial"/>
          <w:b w:val="0"/>
          <w:i w:val="0"/>
          <w:sz w:val="22"/>
        </w:rPr>
        <w:t>The Familial Hypercholesterolemia Case Ascertainment Tool (FAMCAT) represents the most contemporary computational approach, employing logistic regression with primary care variables including age, sex, total cholesterol, LDL-C, and coded family history, achieving an AUC of 0.77 in external validation using the Clinical Practice Research Datalink [18]. While FAMCAT addresses some limitations of point-based systems, it does not incorporate systematic treatment adjustment or account for the differential diagnostic context between ascertainment pathways.</w:t>
      </w:r>
    </w:p>
    <w:p>
      <w:pPr>
        <w:pStyle w:val="Heading2"/>
        <w:spacing w:before="360" w:after="120"/>
      </w:pPr>
      <w:r>
        <w:rPr>
          <w:rFonts w:ascii="Arial" w:hAnsi="Arial"/>
          <w:color w:val="000000"/>
          <w:sz w:val="24"/>
        </w:rPr>
        <w:t>1.3 The Cascade Screening Paradox</w:t>
      </w:r>
    </w:p>
    <w:p>
      <w:pPr>
        <w:spacing w:line="330" w:lineRule="exact" w:after="120"/>
        <w:jc w:val="left"/>
      </w:pPr>
      <w:r>
        <w:rPr>
          <w:rFonts w:ascii="Arial" w:hAnsi="Arial"/>
          <w:b w:val="0"/>
          <w:i w:val="0"/>
          <w:sz w:val="22"/>
        </w:rPr>
        <w:t>A critical yet underappreciated limitation of all existing diagnostic criteria concerns the systematic performance divergence between the two principal pathways through which patients are evaluated for FH. Index patients, also termed probands, come to clinical attention precisely because of extreme phenotypic expression: markedly elevated LDL-C concentrations, premature cardiovascular events, or pathognomonic physical findings [19]. This ascertainment mechanism concentrates individuals with severe phenotypes among probands, creating a selection bias that inflates the apparent diagnostic performance of criteria calibrated to this population.</w:t>
      </w:r>
    </w:p>
    <w:p>
      <w:pPr>
        <w:spacing w:line="330" w:lineRule="exact" w:after="120"/>
        <w:jc w:val="left"/>
      </w:pPr>
      <w:r>
        <w:rPr>
          <w:rFonts w:ascii="Arial" w:hAnsi="Arial"/>
          <w:b w:val="0"/>
          <w:i w:val="0"/>
          <w:sz w:val="22"/>
        </w:rPr>
        <w:t>In contrast, relatives identified through cascade screening carry identical pathogenic variants but frequently present with less extreme phenotypes. This attenuation reflects regression to the mean, variable expressivity of the same pathogenic variant, younger age at the time of screening, and the influence of individual genetic modifiers and environmental factors on LDL-C expression [20-22]. To illustrate this concept in clinical terms: consider a family in which the proband was identified at age 52 with an LDL-C of 7.8 mmol/L and premature coronary artery disease. Her 28-year-old daughter, carrying the same *LDLR* pathogenic variant, presents with an LDL-C of 4.8 mmol/L and no cardiovascular manifestations. The daughter's LDL-C, while elevated, falls below conventional diagnostic thresholds, and she lacks the clinical features that brought her mother to attention. Under DLCN criteria, the daughter scores only 3 points (below the diagnostic threshold of 6 for probable FH), and the diagnosis is missed despite the identical underlying genetic defect. This is the essence of the ascertainment bias problem: the diagnostic significance of a given LDL-C concentration depends fundamentally on how the patient came to clinical attention, yet no existing diagnostic algorithm formally encodes this clinical insight.</w:t>
      </w:r>
    </w:p>
    <w:p>
      <w:pPr>
        <w:pStyle w:val="Heading2"/>
        <w:spacing w:before="360" w:after="120"/>
      </w:pPr>
      <w:r>
        <w:rPr>
          <w:rFonts w:ascii="Arial" w:hAnsi="Arial"/>
          <w:color w:val="000000"/>
          <w:sz w:val="24"/>
        </w:rPr>
        <w:t>1.4 Rationale for TUDOR and Study Aims</w:t>
      </w:r>
    </w:p>
    <w:p>
      <w:pPr>
        <w:spacing w:line="330" w:lineRule="exact" w:after="120"/>
        <w:jc w:val="left"/>
      </w:pPr>
      <w:r>
        <w:rPr>
          <w:rFonts w:ascii="Arial" w:hAnsi="Arial"/>
          <w:b w:val="0"/>
          <w:i w:val="0"/>
          <w:sz w:val="22"/>
        </w:rPr>
        <w:t>We developed TUDOR (Treatment-adjusted Universal Detection and Outcome Risk) to address these three fundamental limitations through systematic clinical feature engineering grounded in physiological and genetic reasoning, rather than through pursuit of algorithmic complexity. TUDOR incorporates three innovations.</w:t>
      </w:r>
    </w:p>
    <w:p>
      <w:pPr>
        <w:spacing w:line="330" w:lineRule="exact" w:after="120"/>
        <w:jc w:val="left"/>
      </w:pPr>
      <w:r>
        <w:rPr>
          <w:rFonts w:ascii="Arial" w:hAnsi="Arial"/>
          <w:b w:val="0"/>
          <w:i w:val="0"/>
          <w:sz w:val="22"/>
        </w:rPr>
        <w:t>First, individualised treatment-intensity adjusted LDL-C estimation uses drug-specific and dose-specific correction factors validated against longitudinal LDL-C measurements, replacing the uniform 1.43 correction with pharmacologically precise estimates. Second, the Index Effect explicitly models the differential diagnostic significance of LDL-C depending on ascertainment pathway, allowing the algorithm to weight the same LDL-C concentration differently for index cases versus cascade-screened relatives. Third, the triglyceride metabolic filter (Trig_Filter) quantifies the metabolic selectivity of hypercholesterolemia, exploiting the biological principle that monogenic FH produces isolated LDL-C elevation with preserved triglyceride metabolism.</w:t>
      </w:r>
    </w:p>
    <w:p>
      <w:pPr>
        <w:spacing w:line="330" w:lineRule="exact" w:after="120"/>
        <w:jc w:val="left"/>
      </w:pPr>
      <w:r>
        <w:rPr>
          <w:rFonts w:ascii="Arial" w:hAnsi="Arial"/>
          <w:b w:val="0"/>
          <w:i w:val="0"/>
          <w:sz w:val="22"/>
        </w:rPr>
        <w:t>To illustrate the clinical utility of the triglyceride metabolic filter, consider a 42-year-old woman identified through cascade screening, currently taking atorvastatin 20 mg daily, with measured LDL-C of 4.2 mmol/L and fasting triglycerides of 0.9 mmol/L. Her treatment-adjusted LDL-C is approximately 6.5 mmol/L (accounting for the expected 35% reduction with atorvastatin 20 mg), and her Trig_Filter value is 7.2 (reflecting the ratio of adjusted LDL-C to triglycerides). Under DLCN criteria, she scores only 2 points, missing the diagnosis entirely. Under TUDOR, her combination of high adjusted LDL-C with low triglycerides generates a probability of 0.78 (high risk), correctly identifying her for genetic testing referral. The Trig_Filter captures what the clinician intuitively recognises: that this patient's hypercholesterolemia pattern is characteristically monogenic rather than metabolic.</w:t>
      </w:r>
    </w:p>
    <w:p>
      <w:pPr>
        <w:spacing w:line="330" w:lineRule="exact" w:after="120"/>
        <w:jc w:val="left"/>
      </w:pPr>
      <w:r>
        <w:rPr>
          <w:rFonts w:ascii="Arial" w:hAnsi="Arial"/>
          <w:b w:val="0"/>
          <w:i w:val="0"/>
          <w:sz w:val="22"/>
        </w:rPr>
        <w:t>We hypothesised that these three feature engineering innovations, implemented through interpretable logistic regression, would substantially improve diagnostic accuracy without requiring complex machine learning infrastructure. We report development, dual external validation across specialist registry and population-based biobank settings, gene-specific performance across *LDLR*, *APOB*, and *PCSK9* variant carriers, apolipoprotein B augmentation analysis, nuclear magnetic resonance metabolomics profiling, and comprehensive biological validation.</w:t>
      </w:r>
    </w:p>
    <w:p>
      <w:pPr>
        <w:pStyle w:val="Heading1"/>
        <w:spacing w:before="360" w:after="120"/>
      </w:pPr>
      <w:r>
        <w:rPr>
          <w:rFonts w:ascii="Arial" w:hAnsi="Arial"/>
          <w:color w:val="000000"/>
          <w:sz w:val="28"/>
        </w:rPr>
        <w:t>2. METHODS</w:t>
      </w:r>
    </w:p>
    <w:p>
      <w:pPr>
        <w:pStyle w:val="Heading2"/>
        <w:spacing w:before="360" w:after="120"/>
      </w:pPr>
      <w:r>
        <w:rPr>
          <w:rFonts w:ascii="Arial" w:hAnsi="Arial"/>
          <w:color w:val="000000"/>
          <w:sz w:val="24"/>
        </w:rPr>
        <w:t>2.1 Study Design and TRIPOD Framework</w:t>
      </w:r>
    </w:p>
    <w:p>
      <w:pPr>
        <w:spacing w:line="330" w:lineRule="exact" w:after="120"/>
        <w:jc w:val="left"/>
      </w:pPr>
      <w:r>
        <w:rPr>
          <w:rFonts w:ascii="Arial" w:hAnsi="Arial"/>
          <w:b w:val="0"/>
          <w:i w:val="0"/>
          <w:sz w:val="22"/>
        </w:rPr>
        <w:t>This study adhered to the Transparent Reporting of a multivariable prediction model for Individual Prognosis Or Diagnosis (TRIPOD) reporting guidelines throughout. The validation framework employed two complementary TRIPOD types: Type 2b (model developed in one set of participants, validated in a separate set from the same population) for Wales validation, and Type 4 (model validated in an entirely separate population with different demographic, clinical, and prevalence characteristics) for UK Biobank validation.</w:t>
      </w:r>
    </w:p>
    <w:p>
      <w:pPr>
        <w:pStyle w:val="Heading2"/>
        <w:spacing w:before="360" w:after="120"/>
      </w:pPr>
      <w:r>
        <w:rPr>
          <w:rFonts w:ascii="Arial" w:hAnsi="Arial"/>
          <w:color w:val="000000"/>
          <w:sz w:val="24"/>
        </w:rPr>
        <w:t>2.2 Study Populations</w:t>
      </w:r>
    </w:p>
    <w:p>
      <w:pPr>
        <w:spacing w:line="330" w:lineRule="exact" w:after="120"/>
        <w:jc w:val="left"/>
      </w:pPr>
      <w:r>
        <w:rPr>
          <w:rFonts w:ascii="Arial" w:hAnsi="Arial"/>
          <w:b w:val="0"/>
          <w:i w:val="0"/>
          <w:sz w:val="22"/>
        </w:rPr>
        <w:t>2.2.1 Cardiff and Vale University Health Board (Model Development)</w:t>
      </w:r>
    </w:p>
    <w:p>
      <w:pPr>
        <w:spacing w:line="330" w:lineRule="exact" w:after="120"/>
        <w:jc w:val="left"/>
      </w:pPr>
      <w:r>
        <w:rPr>
          <w:rFonts w:ascii="Arial" w:hAnsi="Arial"/>
          <w:b w:val="0"/>
          <w:i w:val="0"/>
          <w:sz w:val="22"/>
        </w:rPr>
        <w:t>TUDOR was developed using data from patients evaluated for possible familial hypercholesterolemia at Cardiff and Vale University Health Board (CAVUHB), a specialist lipid service within the National Health Service in Wales, United Kingdom. The development cohort comprised index cases identified through clinical referral based on phenotypic suspicion, used for Elastic Net regression training. Model development was restricted to index cases because these patients represent the population with the most complete phenotypic characterisation, including detailed documentation of lipid-lowering therapy, clinical examination findings, and genetic testing results.</w:t>
      </w:r>
    </w:p>
    <w:p>
      <w:pPr>
        <w:spacing w:line="330" w:lineRule="exact" w:after="120"/>
        <w:jc w:val="left"/>
      </w:pPr>
      <w:r>
        <w:rPr>
          <w:rFonts w:ascii="Arial" w:hAnsi="Arial"/>
          <w:b w:val="0"/>
          <w:i w:val="0"/>
          <w:sz w:val="22"/>
        </w:rPr>
        <w:t>2.2.2 All Wales Familial Hypercholesterolemia Registry (First External Validation)</w:t>
      </w:r>
    </w:p>
    <w:p>
      <w:pPr>
        <w:spacing w:line="330" w:lineRule="exact" w:after="120"/>
        <w:jc w:val="left"/>
      </w:pPr>
      <w:r>
        <w:rPr>
          <w:rFonts w:ascii="Arial" w:hAnsi="Arial"/>
          <w:b w:val="0"/>
          <w:i w:val="0"/>
          <w:sz w:val="22"/>
        </w:rPr>
        <w:t>The first external validation was performed using the All Wales Pan-Audit Support Service (PASS) Familial Hypercholesterolemia Registry, encompassing patients evaluated across all health boards in Wales. This registry included 7,253 patients: 4,614 index cases (63.6%) identified through clinical referral and 2,639 relatives (36.4%) identified through systematic cascade screening. Of these, 2,405 (33.2%) were genetically confirmed FH-positive and 4,848 (66.8%) were genetically negative.</w:t>
      </w:r>
    </w:p>
    <w:p>
      <w:pPr>
        <w:spacing w:line="330" w:lineRule="exact" w:after="120"/>
        <w:jc w:val="left"/>
      </w:pPr>
      <w:r>
        <w:rPr>
          <w:rFonts w:ascii="Arial" w:hAnsi="Arial"/>
          <w:b w:val="0"/>
          <w:i w:val="0"/>
          <w:sz w:val="22"/>
        </w:rPr>
        <w:t>Genetic testing employed next-generation sequencing panels targeting the coding regions and exon-intron boundaries of *LDLR* (all 18 exons), *APOB* (exons 26 and 29, encompassing the LDL receptor binding domain), and *PCSK9* (all 12 exons). Copy number variant analysis for *LDLR* large deletions and duplications was performed using multiplex ligation-dependent probe amplification (MLPA). Additionally, targeted sequencing of *APOE* and *LDLRAP1* was performed. Variant classification followed American College of Medical Genetics and Genomics (ACMG) criteria [23]. This approach provides greater than 99% sensitivity for coding sequence variants and large structural rearrangements of *LDLR*, though deep intronic variants, regulatory region mutations, and variants in novel FH genes not included on current panels would not be detected.</w:t>
      </w:r>
    </w:p>
    <w:p>
      <w:pPr>
        <w:spacing w:line="330" w:lineRule="exact" w:after="120"/>
        <w:jc w:val="left"/>
      </w:pPr>
      <w:r>
        <w:rPr>
          <w:rFonts w:ascii="Arial" w:hAnsi="Arial"/>
          <w:b w:val="0"/>
          <w:i w:val="0"/>
          <w:sz w:val="22"/>
        </w:rPr>
        <w:t>Genetically confirmed FH was defined as identification of a pathogenic or likely pathogenic variant in any tested gene. Patients without identified pathogenic variants were classified as genetically negative, acknowledging that this category is inherently heterogeneous, encompassing truly polygenic hypercholesterolemia driven by common LDL-C-raising alleles, secondary causes of elevated LDL-C including hypothyroidism and nephrotic syndrome, and cases harbouring monogenic variants not detectable by the testing strategy employed. This heterogeneity means that some individuals classified as genetically negative may carry undetected pathogenic variants, which would be expected to attenuate measured diagnostic discrimination, rendering our reported AUC values conservative estimates of TUDOR's true discriminative ability for the binary distinction between monogenic and non-monogenic hypercholesterolemia.</w:t>
      </w:r>
    </w:p>
    <w:p>
      <w:pPr>
        <w:spacing w:line="330" w:lineRule="exact" w:after="120"/>
        <w:jc w:val="left"/>
      </w:pPr>
      <w:r>
        <w:rPr>
          <w:rFonts w:ascii="Arial" w:hAnsi="Arial"/>
          <w:b w:val="0"/>
          <w:i w:val="0"/>
          <w:sz w:val="22"/>
        </w:rPr>
        <w:t>Validation in the All Wales cohort specifically tests the critical clinical question: whether a model trained on index cases at one centre generalises to the independent population of cascade-screened relatives across the entirety of Wales, the setting where diagnostic need is greatest. This represents TRIPOD Type 2b methodology because the validation set derives from the same clinical programme but encompasses a geographically broader and phenotypically different population.</w:t>
      </w:r>
    </w:p>
    <w:p>
      <w:pPr>
        <w:spacing w:line="330" w:lineRule="exact" w:after="120"/>
        <w:jc w:val="left"/>
      </w:pPr>
      <w:r>
        <w:rPr>
          <w:rFonts w:ascii="Arial" w:hAnsi="Arial"/>
          <w:b w:val="0"/>
          <w:i w:val="0"/>
          <w:sz w:val="22"/>
        </w:rPr>
        <w:t>2.2.3 UK Biobank (Second External Validation)</w:t>
      </w:r>
    </w:p>
    <w:p>
      <w:pPr>
        <w:spacing w:line="330" w:lineRule="exact" w:after="120"/>
        <w:jc w:val="left"/>
      </w:pPr>
      <w:r>
        <w:rPr>
          <w:rFonts w:ascii="Arial" w:hAnsi="Arial"/>
          <w:b w:val="0"/>
          <w:i w:val="0"/>
          <w:sz w:val="22"/>
        </w:rPr>
        <w:t>The second external validation was performed in UK Biobank, a prospective population-based cohort of approximately 500,000 participants aged 40 to 69 years, recruited between 2006 and 2010 across 22 assessment centres in the United Kingdom [24]. Participants underwent standardised assessments including fasting blood sample collection, anthropometric measurements, medication documentation via self-reported questionnaires and linked prescription records, and comprehensive health questionnaires. UK Biobank received ethical approval from the North West Multi-Centre Research Ethics Committee, and all participants provided written informed consent.</w:t>
      </w:r>
    </w:p>
    <w:p>
      <w:pPr>
        <w:spacing w:line="330" w:lineRule="exact" w:after="120"/>
        <w:jc w:val="left"/>
      </w:pPr>
      <w:r>
        <w:rPr>
          <w:rFonts w:ascii="Arial" w:hAnsi="Arial"/>
          <w:b w:val="0"/>
          <w:i w:val="0"/>
          <w:sz w:val="22"/>
        </w:rPr>
        <w:t>Genetic FH status was defined by the presence of rare pathogenic variants in *LDLR*, *APOB*, or *PCSK9* identified through whole-exome sequencing and classified using established frameworks. After exclusion of participants with missing data for model input features, the analytical cohort comprised 426,732 participants with 1,623 genetically confirmed FH cases (prevalence 0.38%).</w:t>
      </w:r>
    </w:p>
    <w:p>
      <w:pPr>
        <w:spacing w:line="330" w:lineRule="exact" w:after="120"/>
        <w:jc w:val="left"/>
      </w:pPr>
      <w:r>
        <w:rPr>
          <w:rFonts w:ascii="Arial" w:hAnsi="Arial"/>
          <w:b w:val="0"/>
          <w:i w:val="0"/>
          <w:sz w:val="22"/>
        </w:rPr>
        <w:t>To approximate the population encountered in specialist lipid clinic practice, we defined a lipid clinic-mimicking cohort using three referral criteria that reflect contemporary clinical practice for evaluating possible FH: (1) total cholesterol exceeding 7.5 mmol/L, a threshold commonly triggering lipid clinic referral; (2) statin-corrected LDL-C exceeding 4.9 mmol/L, consistent with DLCN severe hypercholesterolemia criteria; or (3) premature ASCVD, defined as myocardial infarction, angina, or stroke occurring before age 55 in men or age 60 in women. This combined cohort comprised 58,021 participants (13.6% of total UK Biobank) with 729 FH cases (1.26% prevalence). The individual criteria contributed differentially: 26,407 participants met the total cholesterol criterion (297 FH, 1.12%), 43,594 met the LDL-C criterion (652 FH, 1.50%), and 11,283 met the premature ASCVD criterion (93 FH, 0.82%). The expanded cohort captured 77 additional FH cases (729 versus 652) compared with the LDL-C-only definition, including 17 cases identified solely through the total cholesterol criterion and 60 through premature ASCVD alone.</w:t>
      </w:r>
    </w:p>
    <w:p>
      <w:pPr>
        <w:spacing w:line="330" w:lineRule="exact" w:after="120"/>
        <w:jc w:val="left"/>
      </w:pPr>
      <w:r>
        <w:rPr>
          <w:rFonts w:ascii="Arial" w:hAnsi="Arial"/>
          <w:b w:val="0"/>
          <w:i w:val="0"/>
          <w:sz w:val="22"/>
        </w:rPr>
        <w:t>External validation employed TRIPOD Type 4 methodology: the logistic regression model weights derived from the Wales development cohort were applied directly to UK Biobank data without any re-estimation, re-training, or recalibration. This represents the most stringent form of external validation, testing whether a model developed in a specialist registry with enriched prevalence maintains discriminative ability in a population cohort with fundamentally different disease prevalence, participant demographics, and data quality.</w:t>
      </w:r>
    </w:p>
    <w:p>
      <w:pPr>
        <w:pStyle w:val="Heading2"/>
        <w:spacing w:before="360" w:after="120"/>
      </w:pPr>
      <w:r>
        <w:rPr>
          <w:rFonts w:ascii="Arial" w:hAnsi="Arial"/>
          <w:color w:val="000000"/>
          <w:sz w:val="24"/>
        </w:rPr>
        <w:t>2.3 Treatment-Adjusted LDL-C Calculation</w:t>
      </w:r>
    </w:p>
    <w:p>
      <w:pPr>
        <w:spacing w:line="330" w:lineRule="exact" w:after="120"/>
        <w:jc w:val="left"/>
      </w:pPr>
      <w:r>
        <w:rPr>
          <w:rFonts w:ascii="Arial" w:hAnsi="Arial"/>
          <w:b w:val="0"/>
          <w:i w:val="0"/>
          <w:sz w:val="22"/>
        </w:rPr>
        <w:t>TUDOR estimates pre-treatment LDL-C concentrations through individualised adjustment based on documented lipid-lowering therapy, replacing the standard uniform correction factor with pharmacologically specific estimates. Statin-specific potency factors were assigned according to published efficacy data from systematic reviews and meta-analyses: atorvastatin (25-48% reduction depending on dose), rosuvastatin (35-55%), simvastatin (20-42%), pravastatin (15-29%), and fluvastatin (15-22%) [15-17]. Patients on other statins or with incomplete dosing information were assigned the median reduction factor of 35%. Additional non-statin therapies were incorporated using multiplicative combination effects reflecting their independent mechanisms of action: ezetimibe (20% additional reduction), bempedoic acid (25%), and PCSK9 inhibitors (65%) [25-27].</w:t>
      </w:r>
    </w:p>
    <w:p>
      <w:pPr>
        <w:spacing w:line="330" w:lineRule="exact" w:after="120"/>
        <w:jc w:val="left"/>
      </w:pPr>
      <w:r>
        <w:rPr>
          <w:rFonts w:ascii="Arial" w:hAnsi="Arial"/>
          <w:b w:val="0"/>
          <w:i w:val="0"/>
          <w:sz w:val="22"/>
        </w:rPr>
        <w:t>A clinician-assessed compliance factor accounted for medication adherence as documented in clinical records, classified into three categories: poor adherence (0.5 multiplier, reflecting substantially inconsistent medication use), moderate adherence (0.75 multiplier, reflecting partial but incomplete compliance), or good adherence (1.0 multiplier, reflecting consistent medication use as prescribed). Where adherence documentation was absent or uncertain, moderate adherence (0.75) was assigned as a conservative default, chosen to avoid both the overestimation that would result from assuming perfect compliance and the underestimation that would result from assuming poor compliance. The total achievable reduction was capped at 85% to reflect the pharmacological ceiling of combined lipid-lowering therapy. Treatment-adjusted LDL-C was calculated as: LDL_adjusted = LDL_measured / (1 - total_reduction_factor).</w:t>
      </w:r>
    </w:p>
    <w:p>
      <w:pPr>
        <w:spacing w:line="330" w:lineRule="exact" w:after="120"/>
        <w:jc w:val="left"/>
      </w:pPr>
      <w:r>
        <w:rPr>
          <w:rFonts w:ascii="Arial" w:hAnsi="Arial"/>
          <w:b w:val="0"/>
          <w:i w:val="0"/>
          <w:sz w:val="22"/>
        </w:rPr>
        <w:t>Multiple sensitivity analyses assessed robustness to adherence assumptions: (a) assuming 100% compliance for all treated patients, eliminating adherence classification entirely; (b) varying all statin correction factors by plus or minus 10% to simulate pharmacological uncertainty; (c) assigning random adherence categories to assess the impact of systematic misclassification; and (d) a statin-free subgroup analysis restricted to untreated patients where treatment adjustment is inapplicable. Longitudinal validation was performed using 1,254 new statin users identified in UK Biobank who transitioned from statin-free at baseline assessment to statin therapy at repeat assessment, enabling direct comparison of observed versus expected LDL-C reductions.</w:t>
      </w:r>
    </w:p>
    <w:p>
      <w:pPr>
        <w:pStyle w:val="Heading2"/>
        <w:spacing w:before="360" w:after="120"/>
      </w:pPr>
      <w:r>
        <w:rPr>
          <w:rFonts w:ascii="Arial" w:hAnsi="Arial"/>
          <w:color w:val="000000"/>
          <w:sz w:val="24"/>
        </w:rPr>
        <w:t>2.4 Novel Feature Engineering</w:t>
      </w:r>
    </w:p>
    <w:p>
      <w:pPr>
        <w:spacing w:line="330" w:lineRule="exact" w:after="120"/>
        <w:jc w:val="left"/>
      </w:pPr>
      <w:r>
        <w:rPr>
          <w:rFonts w:ascii="Arial" w:hAnsi="Arial"/>
          <w:b w:val="0"/>
          <w:i w:val="0"/>
          <w:sz w:val="22"/>
        </w:rPr>
        <w:t>The core innovation of TUDOR lies not in algorithmic sophistication but in clinically-informed feature engineering that translates biological and epidemiological principles into quantitative predictors amenable to simple logistic regression.</w:t>
      </w:r>
    </w:p>
    <w:p>
      <w:pPr>
        <w:spacing w:line="330" w:lineRule="exact" w:after="120"/>
        <w:jc w:val="left"/>
      </w:pPr>
      <w:r>
        <w:rPr>
          <w:rFonts w:ascii="Arial" w:hAnsi="Arial"/>
          <w:b w:val="0"/>
          <w:i w:val="0"/>
          <w:sz w:val="22"/>
        </w:rPr>
        <w:t>The Index Effect captures the differential diagnostic context between ascertainment pathways through the interaction: Index_Effect = (1 - Is_Relative) x LDL_Untreated. For index cases, this feature equals the treatment-adjusted LDL-C concentration; for cascade-screened relatives, it equals zero. This formulation permits the model to learn separate LDL-C coefficient relationships for each pathway. In clinical terms, the model recognises that an LDL-C of 6.0 mmol/L carries stronger diagnostic evidence when identified in a proband referred for clinical suspicion than when found in an asymptomatic relative identified through family screening, because the proband was selected precisely for phenotypic extremity while the relative was identified irrespective of phenotype.</w:t>
      </w:r>
    </w:p>
    <w:p>
      <w:pPr>
        <w:spacing w:line="330" w:lineRule="exact" w:after="120"/>
        <w:jc w:val="left"/>
      </w:pPr>
      <w:r>
        <w:rPr>
          <w:rFonts w:ascii="Arial" w:hAnsi="Arial"/>
          <w:b w:val="0"/>
          <w:i w:val="0"/>
          <w:sz w:val="22"/>
        </w:rPr>
        <w:t>The Triglyceride Metabolic Filter exploits the biological selectivity of monogenic FH: Trig_Filter = LDL_Untreated / (Triglycerides + 0.1). Higher values indicate an isolated LDL-C elevation pattern consistent with receptor-mediated deficiency, while lower values suggest metabolic or polygenic hypercholesterolemia characterised by combined lipid elevation. The small constant (0.1 mmol/L) prevents division instability at very low triglyceride concentrations while having minimal impact on physiological values.</w:t>
      </w:r>
    </w:p>
    <w:p>
      <w:pPr>
        <w:spacing w:line="330" w:lineRule="exact" w:after="120"/>
        <w:jc w:val="left"/>
      </w:pPr>
      <w:r>
        <w:rPr>
          <w:rFonts w:ascii="Arial" w:hAnsi="Arial"/>
          <w:b w:val="0"/>
          <w:i w:val="0"/>
          <w:sz w:val="22"/>
        </w:rPr>
        <w:t>A personalised statin calibration residual was derived from a leave-one-out cross-validation model trained on 298 paired pre-treatment and post-treatment LDL-C observations from the Wales registry. This model captures individual-level deviation from expected drug response, reflecting pharmacogenomic variability in statin metabolism and compliance effects not captured by population-level correction factors. The concordance correlation coefficient improved from 0.545 with population-level correction to 0.631 with personalised calibration, with systematic bias reduced from +0.550 to +0.057 mmol/L.</w:t>
      </w:r>
    </w:p>
    <w:p>
      <w:pPr>
        <w:pStyle w:val="Heading2"/>
        <w:spacing w:before="360" w:after="120"/>
      </w:pPr>
      <w:r>
        <w:rPr>
          <w:rFonts w:ascii="Arial" w:hAnsi="Arial"/>
          <w:color w:val="000000"/>
          <w:sz w:val="24"/>
        </w:rPr>
        <w:t>2.5 Model Development and Validation Strategy</w:t>
      </w:r>
    </w:p>
    <w:p>
      <w:pPr>
        <w:spacing w:line="330" w:lineRule="exact" w:after="120"/>
        <w:jc w:val="left"/>
      </w:pPr>
      <w:r>
        <w:rPr>
          <w:rFonts w:ascii="Arial" w:hAnsi="Arial"/>
          <w:b w:val="0"/>
          <w:i w:val="0"/>
          <w:sz w:val="22"/>
        </w:rPr>
        <w:t>Wales model development employed Elastic Net regression with mixing parameter alpha = 0.5, providing a balance between L1 regularisation (which performs automatic variable selection by shrinking uninformative coefficients to zero) and L2 regularisation (which handles correlated predictors by distributing coefficient weight among them). For clinicians unfamiliar with regularised regression, Elastic Net can be understood as standard logistic regression with an automatic mechanism that identifies which clinical variables genuinely contribute to prediction and removes those that add only noise, while simultaneously preventing the model from placing excessive reliance on any single variable. The model was trained on index cases and validated on cascade-screened relatives, directly testing whether the learned patterns generalise to the population with greatest diagnostic need.</w:t>
      </w:r>
    </w:p>
    <w:p>
      <w:pPr>
        <w:spacing w:line="330" w:lineRule="exact" w:after="120"/>
        <w:jc w:val="left"/>
      </w:pPr>
      <w:r>
        <w:rPr>
          <w:rFonts w:ascii="Arial" w:hAnsi="Arial"/>
          <w:b w:val="0"/>
          <w:i w:val="0"/>
          <w:sz w:val="22"/>
        </w:rPr>
        <w:t>The final TUDOR v2 model incorporated 10 features, with the following Elastic Net coefficients reflecting each variable's relative contribution: Index Effect (+1.148, the strongest predictor), treatment-adjusted LDL-C (+1.070), Trig_Filter (+0.871), personalised statin residual (-0.677), age at lipid measurement (-0.497), sex (-0.208), HDL-C (-0.199), tendon xanthomata (+0.159), triglycerides (-0.141), and corneal arcus (+0.120). Six additional clinical variables (diabetes status, body mass index, ASCVD history, hypertension, smoking, and family history score) were individually tested in v2.1 ablation experiments but excluded from the final model because none improved discrimination.</w:t>
      </w:r>
    </w:p>
    <w:p>
      <w:pPr>
        <w:spacing w:line="330" w:lineRule="exact" w:after="120"/>
        <w:jc w:val="left"/>
      </w:pPr>
      <w:r>
        <w:rPr>
          <w:rFonts w:ascii="Arial" w:hAnsi="Arial"/>
          <w:b w:val="0"/>
          <w:i w:val="0"/>
          <w:sz w:val="22"/>
        </w:rPr>
        <w:t>UK Biobank external validation employed fixed logistic regression with Wales-derived weights applied without modification. To directly assess the contribution of feature engineering versus algorithmic complexity, we additionally compared logistic regression with identical TUDOR-engineered features against gradient-boosted decision trees (XGBoost) with the same features, and against logistic regression using only raw unadjusted features.</w:t>
      </w:r>
    </w:p>
    <w:p>
      <w:pPr>
        <w:spacing w:line="330" w:lineRule="exact" w:after="120"/>
        <w:jc w:val="left"/>
      </w:pPr>
      <w:r>
        <w:rPr>
          <w:rFonts w:ascii="Arial" w:hAnsi="Arial"/>
          <w:b w:val="0"/>
          <w:i w:val="0"/>
          <w:sz w:val="22"/>
        </w:rPr>
        <w:t>Five-fold cross-validation in Wales yielded mean AUC of 0.867 (standard deviation 0.025), confirming stability of internal estimates.</w:t>
      </w:r>
    </w:p>
    <w:p>
      <w:pPr>
        <w:pStyle w:val="Heading2"/>
        <w:spacing w:before="360" w:after="120"/>
      </w:pPr>
      <w:r>
        <w:rPr>
          <w:rFonts w:ascii="Arial" w:hAnsi="Arial"/>
          <w:color w:val="000000"/>
          <w:sz w:val="24"/>
        </w:rPr>
        <w:t>2.6 Diagnostic Criteria Comparators</w:t>
      </w:r>
    </w:p>
    <w:p>
      <w:pPr>
        <w:spacing w:line="330" w:lineRule="exact" w:after="120"/>
        <w:jc w:val="left"/>
      </w:pPr>
      <w:r>
        <w:rPr>
          <w:rFonts w:ascii="Arial" w:hAnsi="Arial"/>
          <w:b w:val="0"/>
          <w:i w:val="0"/>
          <w:sz w:val="22"/>
        </w:rPr>
        <w:t>DLCN scoring employed the Wales age-adjusted DLCN system. Simon Broome criteria were assessed using clinical features (tendon xanthomata, corneal arcus), age-specific LDL-C thresholds, and family history of premature cardiovascular events, classifying patients as definite or possible FH [13]. MEDPED criteria applied age-dependent LDL-C cutpoints [14]. In UK Biobank, an estimated DLCN score (eDLCN) was calculated from available variables, acknowledging that certain DLCN components (physical examination findings, detailed family history) were not systematically collected.</w:t>
      </w:r>
    </w:p>
    <w:p>
      <w:pPr>
        <w:spacing w:line="330" w:lineRule="exact" w:after="120"/>
        <w:jc w:val="left"/>
      </w:pPr>
      <w:r>
        <w:rPr>
          <w:rFonts w:ascii="Arial" w:hAnsi="Arial"/>
          <w:b w:val="0"/>
          <w:i w:val="0"/>
          <w:sz w:val="22"/>
        </w:rPr>
        <w:t>A FAMCAT-approximation model was constructed as logistic regression using age, sex, total cholesterol, LDL-C, and family history, corresponding to the core variables of the published FAMCAT algorithm [18]. We explicitly acknowledge that this represents an internally reconstructed approximation: the published FAMCAT was developed using primary care Read codes and prescription data unavailable in our specialist registry setting. This reconstruction may systematically favour TUDOR because our registry provides higher-quality phenotypic data than primary care records. Published FAMCAT achieved AUC of 0.77 in the Clinical Practice Research Datalink; comparison with our reconstruction should therefore be interpreted with appropriate caution.</w:t>
      </w:r>
    </w:p>
    <w:p>
      <w:pPr>
        <w:pStyle w:val="Heading2"/>
        <w:spacing w:before="360" w:after="120"/>
      </w:pPr>
      <w:r>
        <w:rPr>
          <w:rFonts w:ascii="Arial" w:hAnsi="Arial"/>
          <w:color w:val="000000"/>
          <w:sz w:val="24"/>
        </w:rPr>
        <w:t>2.7 Genetic Validation Analyses</w:t>
      </w:r>
    </w:p>
    <w:p>
      <w:pPr>
        <w:spacing w:line="330" w:lineRule="exact" w:after="120"/>
        <w:jc w:val="left"/>
      </w:pPr>
      <w:r>
        <w:rPr>
          <w:rFonts w:ascii="Arial" w:hAnsi="Arial"/>
          <w:b w:val="0"/>
          <w:i w:val="0"/>
          <w:sz w:val="22"/>
        </w:rPr>
        <w:t>Gene-specific TUDOR performance was assessed by stratifying genetically confirmed FH cases according to the causative gene. In Wales, mutations were classified as *LDLR* (including point mutations), *APOB*, *PCSK9*, *APOE*, *LDLRAP1*, and *LDLR* copy number variants (CNVs). In UK Biobank, the gene classification comprised *LDLR*, *APOB*, and *PCSK9*. AUC with 95% confidence intervals was computed for each gene group with 20 or more cases. Chi-square testing compared the distribution of causative genes between the two registries. Genotype-phenotype correlations assessed treatment-adjusted LDL-C, HDL-C, triglycerides, and Trig_Filter values across gene groups using Kruskal-Wallis tests.</w:t>
      </w:r>
    </w:p>
    <w:p>
      <w:pPr>
        <w:pStyle w:val="Heading2"/>
        <w:spacing w:before="360" w:after="120"/>
      </w:pPr>
      <w:r>
        <w:rPr>
          <w:rFonts w:ascii="Arial" w:hAnsi="Arial"/>
          <w:color w:val="000000"/>
          <w:sz w:val="24"/>
        </w:rPr>
        <w:t>2.8 Apolipoprotein B Augmentation Analysis</w:t>
      </w:r>
    </w:p>
    <w:p>
      <w:pPr>
        <w:spacing w:line="330" w:lineRule="exact" w:after="120"/>
        <w:jc w:val="left"/>
      </w:pPr>
      <w:r>
        <w:rPr>
          <w:rFonts w:ascii="Arial" w:hAnsi="Arial"/>
          <w:b w:val="0"/>
          <w:i w:val="0"/>
          <w:sz w:val="22"/>
        </w:rPr>
        <w:t>In the subset of UK Biobank participants with available serum apolipoprotein B (ApoB) measurements, we assessed incremental discrimination when biomarker data were added to base TUDOR predictions. Four augmentation models were evaluated: Model A (TUDOR plus ApoB), Model B (TUDOR plus ApoB/LDL-C ratio), Model C (TUDOR plus ApoB plus ApoB/LDL-C ratio), and Model D (TUDOR plus ApoB plus ApoB/LDL-C ratio plus lipoprotein(a)). Complete-case analysis was employed given ApoB availability in 57,446 of 58,021 lipid clinic cohort participants (99.0%). Discrimination improvement was assessed using DeLong tests. ApoB data were not available in the Wales registry, precluding augmentation testing in the development population.</w:t>
      </w:r>
    </w:p>
    <w:p>
      <w:pPr>
        <w:pStyle w:val="Heading2"/>
        <w:spacing w:before="360" w:after="120"/>
      </w:pPr>
      <w:r>
        <w:rPr>
          <w:rFonts w:ascii="Arial" w:hAnsi="Arial"/>
          <w:color w:val="000000"/>
          <w:sz w:val="24"/>
        </w:rPr>
        <w:t>2.9 Statistical Analysis</w:t>
      </w:r>
    </w:p>
    <w:p>
      <w:pPr>
        <w:spacing w:line="330" w:lineRule="exact" w:after="120"/>
        <w:jc w:val="left"/>
      </w:pPr>
      <w:r>
        <w:rPr>
          <w:rFonts w:ascii="Arial" w:hAnsi="Arial"/>
          <w:b w:val="0"/>
          <w:i w:val="0"/>
          <w:sz w:val="22"/>
        </w:rPr>
        <w:t>Discrimination was assessed using AUC with DeLong 95% confidence intervals and pairwise DeLong comparisons [28]. The AUC, also known as the c-statistic, quantifies a model's ability to correctly rank a randomly selected FH-positive patient higher than a randomly selected FH-negative patient; an AUC of 0.5 indicates random chance and 1.0 indicates perfect discrimination. Net Reclassification Improvement (NRI) was calculated using clinically meaningful probability thresholds (less than 25%, 25-75%, greater than 75%), quantifying the proportion of patients correctly reclassified by one model compared with another [29]. Integrated Discrimination Improvement (IDI) assessed the average improvement in predicted probabilities between FH-positive and FH-negative groups. Decision curve analysis evaluated net clinical benefit across threshold probabilities. Calibration was assessed through calibration slopes (ideal value 1.0, indicating no systematic over- or under-confidence in probability estimates), Hosmer-Lemeshow goodness-of-fit tests, and Brier scores (measuring the mean squared difference between predicted probabilities and observed outcomes; lower values indicate better calibration) [30]. All analyses were performed using R version 4.3.3. This study adhered to TRIPOD reporting guidelines.</w:t>
      </w:r>
    </w:p>
    <w:p>
      <w:pPr>
        <w:pStyle w:val="Heading2"/>
        <w:spacing w:before="360" w:after="120"/>
      </w:pPr>
      <w:r>
        <w:rPr>
          <w:rFonts w:ascii="Arial" w:hAnsi="Arial"/>
          <w:color w:val="000000"/>
          <w:sz w:val="24"/>
        </w:rPr>
        <w:t>2.10 Ethical Approval</w:t>
      </w:r>
    </w:p>
    <w:p>
      <w:pPr>
        <w:spacing w:line="330" w:lineRule="exact" w:after="120"/>
        <w:jc w:val="left"/>
      </w:pPr>
      <w:r>
        <w:rPr>
          <w:rFonts w:ascii="Arial" w:hAnsi="Arial"/>
          <w:b w:val="0"/>
          <w:i w:val="0"/>
          <w:sz w:val="22"/>
        </w:rPr>
        <w:t>This study was conducted with approval from the Research and Development Department at Cardiff and Vale University Health Board. UK Biobank analyses were conducted under Application Number [to be inserted]. All Wales data were fully anonymised prior to analysis in compliance with the Declaration of Helsinki. Given the retrospective nature using anonymised data, individual patient consent was not required.</w:t>
      </w:r>
    </w:p>
    <w:p>
      <w:pPr>
        <w:pStyle w:val="Heading1"/>
        <w:spacing w:before="360" w:after="120"/>
      </w:pPr>
      <w:r>
        <w:rPr>
          <w:rFonts w:ascii="Arial" w:hAnsi="Arial"/>
          <w:color w:val="000000"/>
          <w:sz w:val="28"/>
        </w:rPr>
        <w:t>3. RESULTS</w:t>
      </w:r>
    </w:p>
    <w:p>
      <w:pPr>
        <w:pStyle w:val="Heading2"/>
        <w:spacing w:before="360" w:after="120"/>
      </w:pPr>
      <w:r>
        <w:rPr>
          <w:rFonts w:ascii="Arial" w:hAnsi="Arial"/>
          <w:color w:val="000000"/>
          <w:sz w:val="24"/>
        </w:rPr>
        <w:t>3.1 Study Population Characteristics</w:t>
      </w:r>
    </w:p>
    <w:p>
      <w:pPr>
        <w:spacing w:line="330" w:lineRule="exact" w:after="120"/>
        <w:jc w:val="left"/>
      </w:pPr>
      <w:r>
        <w:rPr>
          <w:rFonts w:ascii="Arial" w:hAnsi="Arial"/>
          <w:b w:val="0"/>
          <w:i w:val="0"/>
          <w:sz w:val="22"/>
        </w:rPr>
        <w:t>The All Wales FH Registry comprised 7,253 patients with a mean age of 45.9 years (standard deviation 17.8), 57.2% female, and mean body mass index (BMI) of 28.7 kg/m^2 (Table 1a). FH-positive patients were significantly younger than FH-negative patients (39.3 versus 49.2 years; Cohen's d = -0.571; p &lt; 1 x 10^-99), reflecting the cascade screening programme's identification of younger relatives. Mean measured LDL-C was 5.3 mmol/L (SD 1.9) overall, with higher concentrations in FH-positive patients (5.8 versus 5.1 mmol/L; d = 0.349; p &lt; 1 x 10^-31). Treatment-adjusted LDL-C showed greater separation (6.5 versus 5.7 mmol/L; d = 0.378; p &lt; 1 x 10^-33), confirming that treatment correction improves phenotypic discrimination. Critically, triglycerides were significantly lower in FH-positive patients (1.4 versus 2.0 mmol/L; d = -0.460; p &lt; 1 x 10^-72), and the Trig_Filter showed the largest effect size of any continuous variable (5.1 versus 3.3; d = 0.744; p &lt; 1 x 10^-90), validating the metabolic selectivity hypothesis. Tendon xanthomata were present in 10.8% of FH-positive versus 5.3% of FH-negative patients (p &lt; 1 x 10^-17), while corneal arcus before age 40 was present in 2.0% versus 0.6% (p &lt; 1 x 10^-7). The ascertainment pathway differed markedly: 57.0% of FH-positive patients were cascade-screened relatives versus 26.1% of FH-negative patients (p &lt; 1 x 10^-145).</w:t>
      </w:r>
    </w:p>
    <w:p>
      <w:pPr>
        <w:spacing w:line="330" w:lineRule="exact" w:after="120"/>
        <w:jc w:val="left"/>
      </w:pPr>
      <w:r>
        <w:rPr>
          <w:rFonts w:ascii="Arial" w:hAnsi="Arial"/>
          <w:b w:val="0"/>
          <w:i w:val="0"/>
          <w:sz w:val="22"/>
        </w:rPr>
        <w:t>The UK Biobank lipid clinic-mimicking cohort comprised 58,021 participants with a mean age of 58.9 years (SD 7.0), 55.1% female, and mean BMI of 28.4 kg/m^2 (Table 1b). FH-positive participants had lower BMI than FH-negative participants (27.8 versus 28.5 kg/m^2; d = 0.138; p = 0.0002), consistent with the metabolically healthier profile of monogenic hypercholesterolemia. Statin-corrected LDL-C was substantially higher in FH-positive participants (5.8 versus 5.1 mmol/L; d = -0.739; p &lt; 1 x 10^-48), and the Trig_Filter demonstrated the strongest discriminative effect (3.9 versus 2.7; d = -0.963; p &lt; 1 x 10^-54). Serum ApoB concentrations were modestly higher in FH-positive participants (Cohen's d = -0.149; p &lt; 1 x 10^-4), while the ApoB/LDL-C ratio was significantly lower in FH (0.2 versus 0.3; d = 0.384; p &lt; 1 x 10^-22), reflecting cholesterol-enriched LDL particles with lower ApoB content per unit cholesterol, consistent with prolonged circulatory residence time. Statin use was more prevalent among FH-positive participants (53.5% versus 37.9%; p &lt; 1 x 10^-17), while premature ASCVD was paradoxically less prevalent in FH-positive participants within this cohort (12.8% versus 19.5%; p &lt; 1 x 10^-5), likely reflecting the younger age of FH diagnosis and the predominance of the premature ASCVD referral criterion in non-FH participants.</w:t>
      </w:r>
    </w:p>
    <w:p>
      <w:pPr>
        <w:spacing w:line="330" w:lineRule="exact" w:after="120"/>
        <w:jc w:val="left"/>
      </w:pPr>
      <w:r>
        <w:rPr>
          <w:rFonts w:ascii="Arial" w:hAnsi="Arial"/>
          <w:b w:val="0"/>
          <w:i w:val="0"/>
          <w:sz w:val="22"/>
        </w:rPr>
        <w:t>Cross-population comparison revealed substantial demographic differences between the two validation cohorts (Table 1c). The Wales cohort was markedly younger (mean 36.2 versus 58.9 years; standardised mean difference 2.818), reflecting the wide age range of cascade screening extending to paediatric populations, in contrast to UK Biobank's 40-69 age restriction. FH prevalence differed by over 40-fold (52.0% in Wales relatives versus 1.26% in the UK Biobank lipid clinic cohort). Triglyceride concentrations were lower in Wales (1.4 versus 2.2 mmol/L; SMD 0.707; p &lt; 1 x 10^-172), reflecting the specialist registry's enrichment for monogenic hypercholesterolemia with characteristically low triglycerides.</w:t>
      </w:r>
    </w:p>
    <w:p>
      <w:pPr>
        <w:pStyle w:val="Heading2"/>
        <w:spacing w:before="360" w:after="120"/>
      </w:pPr>
      <w:r>
        <w:rPr>
          <w:rFonts w:ascii="Arial" w:hAnsi="Arial"/>
          <w:color w:val="000000"/>
          <w:sz w:val="24"/>
        </w:rPr>
        <w:t>3.2 Treatment Adjustment Validation</w:t>
      </w:r>
    </w:p>
    <w:p>
      <w:pPr>
        <w:spacing w:line="330" w:lineRule="exact" w:after="120"/>
        <w:jc w:val="left"/>
      </w:pPr>
      <w:r>
        <w:rPr>
          <w:rFonts w:ascii="Arial" w:hAnsi="Arial"/>
          <w:b w:val="0"/>
          <w:i w:val="0"/>
          <w:sz w:val="22"/>
        </w:rPr>
        <w:t>In the Wales development cohort, pharmacological reconstruction was validated in 127 patients with documented pre-treatment and post-treatment LDL-C measurements. Expected reductions demonstrated excellent agreement with observed reductions across therapy categories (Pearson r = 0.89; 95% CI: 0.85-0.92; p &lt; 0.0001), with mean absolute error of 0.48 mmol/L and Bland-Altman 95% limits of agreement of -0.92 to +0.98 mmol/L.</w:t>
      </w:r>
    </w:p>
    <w:p>
      <w:pPr>
        <w:spacing w:line="330" w:lineRule="exact" w:after="120"/>
        <w:jc w:val="left"/>
      </w:pPr>
      <w:r>
        <w:rPr>
          <w:rFonts w:ascii="Arial" w:hAnsi="Arial"/>
          <w:b w:val="0"/>
          <w:i w:val="0"/>
          <w:sz w:val="22"/>
        </w:rPr>
        <w:t>Longitudinal validation in UK Biobank provided independent confirmation using 1,254 participants who initiated statin therapy between baseline and repeat assessments. Results demonstrated concordance: simvastatin users (n = 983) showed median observed reduction of 35.1% versus expected 35.0% (ratio 1.00); atorvastatin users (n = 237) showed 36.7% versus expected 38.0% (ratio 0.97); rosuvastatin users (n = 24) showed 37.4% versus expected 34.0% (ratio 1.10). The overall median observed reduction was 35.3% versus expected 35.5%. While the overall difference was statistically significant (Wilcoxon p = 0.027), the 0.2 percentage-point absolute difference is clinically negligible. Treatment-adjusted LDL-C values showed near-perfect agreement across four calculation equations (Friedewald, Sampson, Modified Sampson, Martin), with intraclass correlation coefficient of 0.986 (95% CI: 0.985-0.988), confirming robustness to the choice of laboratory LDL-C calculation method.</w:t>
      </w:r>
    </w:p>
    <w:p>
      <w:pPr>
        <w:pStyle w:val="Heading2"/>
        <w:spacing w:before="360" w:after="120"/>
      </w:pPr>
      <w:r>
        <w:rPr>
          <w:rFonts w:ascii="Arial" w:hAnsi="Arial"/>
          <w:color w:val="000000"/>
          <w:sz w:val="24"/>
        </w:rPr>
        <w:t>3.3 Wales External Validation (TRIPOD Type 2b)</w:t>
      </w:r>
    </w:p>
    <w:p>
      <w:pPr>
        <w:spacing w:line="330" w:lineRule="exact" w:after="120"/>
        <w:jc w:val="left"/>
      </w:pPr>
      <w:r>
        <w:rPr>
          <w:rFonts w:ascii="Arial" w:hAnsi="Arial"/>
          <w:b w:val="0"/>
          <w:i w:val="0"/>
          <w:sz w:val="22"/>
        </w:rPr>
        <w:t>In the All Wales FH Registry, TUDOR v2 achieved AUC of 0.842 (95% CI: 0.822-0.863) when trained on index cases and validated on cascade-screened relatives (Figure 1). TUDOR significantly outperformed DLCN scoring (AUC 0.791; DeLong p &lt; 0.001) and all other established criteria. Net Reclassification Improvement of TUDOR over DLCN was 0.358, indicating that more than one-third of patients were correctly reclassified into more appropriate risk categories. Integrated Discrimination Improvement was 0.039. Calibration slope was 1.039, indicating excellent agreement between predicted and observed probabilities with minimal overfitting.</w:t>
      </w:r>
    </w:p>
    <w:p>
      <w:pPr>
        <w:spacing w:line="330" w:lineRule="exact" w:after="120"/>
        <w:jc w:val="left"/>
      </w:pPr>
      <w:r>
        <w:rPr>
          <w:rFonts w:ascii="Arial" w:hAnsi="Arial"/>
          <w:b w:val="0"/>
          <w:i w:val="0"/>
          <w:sz w:val="22"/>
        </w:rPr>
        <w:t>The most clinically consequential finding concerned the performance divergence between ascertainment pathways. Among FH-positive index cases, DLCN criteria at the probable threshold (score 6 or greater) achieved 88.5% sensitivity, with mean DLCN score of 9.2. Among FH-positive cascade-screened relatives, the identical threshold achieved only 1.5% sensitivity, with mean DLCN score of 0.2. This 87-percentage-point sensitivity gap represents a systematic diagnostic deficiency in precisely the population where accurate identification carries the greatest public health significance, as cascade screening is universally recommended as the most efficient strategy for population-level FH detection. TUDOR achieved 89.4% sensitivity in cascade relatives versus 66.7% for the FAMCAT approximation, representing a 22.7-percentage-point advantage.</w:t>
      </w:r>
    </w:p>
    <w:p>
      <w:pPr>
        <w:pStyle w:val="Heading2"/>
        <w:spacing w:before="360" w:after="120"/>
      </w:pPr>
      <w:r>
        <w:rPr>
          <w:rFonts w:ascii="Arial" w:hAnsi="Arial"/>
          <w:color w:val="000000"/>
          <w:sz w:val="24"/>
        </w:rPr>
        <w:t>3.4 UK Biobank External Validation (TRIPOD Type 4)</w:t>
      </w:r>
    </w:p>
    <w:p>
      <w:pPr>
        <w:spacing w:line="330" w:lineRule="exact" w:after="120"/>
        <w:jc w:val="left"/>
      </w:pPr>
      <w:r>
        <w:rPr>
          <w:rFonts w:ascii="Arial" w:hAnsi="Arial"/>
          <w:b w:val="0"/>
          <w:i w:val="0"/>
          <w:sz w:val="22"/>
        </w:rPr>
        <w:t>In the UK Biobank lipid clinic-mimicking cohort (n = 58,021; 729 FH cases; 1.26% prevalence), TUDOR achieved AUC of 0.750 (95% CI: 0.731-0.770) using fixed Wales-derived model weights without any re-estimation (Figure 2, Table 3). This significantly exceeded estimated DLCN (eDLCN AUC 0.636; DeLong Z = 10.08; p = 6.73 x 10^-24), isolated LDL-C concentration (AUC 0.689; p &lt; 0.001), and the Trig_Filter alone (AUC 0.700). TUDOR maintained a clinically meaningful discriminative advantage despite an 80-fold prevalence difference, fundamentally different participant demographics, and substantially lower data quality compared with the specialist registry development setting.</w:t>
      </w:r>
    </w:p>
    <w:p>
      <w:pPr>
        <w:spacing w:line="330" w:lineRule="exact" w:after="120"/>
        <w:jc w:val="left"/>
      </w:pPr>
      <w:r>
        <w:rPr>
          <w:rFonts w:ascii="Arial" w:hAnsi="Arial"/>
          <w:b w:val="0"/>
          <w:i w:val="0"/>
          <w:sz w:val="22"/>
        </w:rPr>
        <w:t>At the Youden optimal threshold, TUDOR achieved sensitivity of 59.7% and specificity of 79.3%. The Brier score was 0.069, indicating good overall prediction accuracy for a low-prevalence condition. The calibration slope was 6.331 (95% CI: 5.933-6.727), substantially exceeding the ideal value of 1.0, indicating that TUDOR probability estimates require recalibration before deployment in this lower-prevalence setting. This is expected behaviour when applying a model developed under enriched prevalence conditions to a general population and is remediable through standard statistical recalibration without requiring model re-development.</w:t>
      </w:r>
    </w:p>
    <w:p>
      <w:pPr>
        <w:spacing w:line="330" w:lineRule="exact" w:after="120"/>
        <w:jc w:val="left"/>
      </w:pPr>
      <w:r>
        <w:rPr>
          <w:rFonts w:ascii="Arial" w:hAnsi="Arial"/>
          <w:b w:val="0"/>
          <w:i w:val="0"/>
          <w:sz w:val="22"/>
        </w:rPr>
        <w:t>Comparison with the original LDL-C-only cohort (n = 43,594; 652 FH; 1.50% prevalence) demonstrated that the expanded lipid clinic criteria captured 77 additional FH cases. The prevalence decreased from 1.50% to 1.26% because the additional referral criteria (total cholesterol, premature ASCVD) introduced more non-FH participants than FH cases, reflecting their lower specificity for monogenic FH compared with elevated LDL-C.</w:t>
      </w:r>
    </w:p>
    <w:p>
      <w:pPr>
        <w:pStyle w:val="Heading2"/>
        <w:spacing w:before="360" w:after="120"/>
      </w:pPr>
      <w:r>
        <w:rPr>
          <w:rFonts w:ascii="Arial" w:hAnsi="Arial"/>
          <w:color w:val="000000"/>
          <w:sz w:val="24"/>
        </w:rPr>
        <w:t>3.5 Genetic Validation</w:t>
      </w:r>
    </w:p>
    <w:p>
      <w:pPr>
        <w:spacing w:line="330" w:lineRule="exact" w:after="120"/>
        <w:jc w:val="left"/>
      </w:pPr>
      <w:r>
        <w:rPr>
          <w:rFonts w:ascii="Arial" w:hAnsi="Arial"/>
          <w:b w:val="0"/>
          <w:i w:val="0"/>
          <w:sz w:val="22"/>
        </w:rPr>
        <w:t>Mutation spectrum analysis revealed that *LDLR* variants predominated in both cohorts: 1,901 cases (79.0%) in Wales and 1,321 (81.4%) in UK Biobank (Table 4). *APOB* variants were the second most common: 281 (11.7%) in Wales and 301 (18.5%) in UK Biobank. The higher *APOB* proportion in UK Biobank likely reflects the wider population sampling and potentially differential ascertainment, as *APOB* carriers tend to present with milder phenotypes that may be less frequently referred to specialist clinics. *PCSK9* variants were rare in both cohorts (23 cases, 1.0% in Wales; 1 case, 0.1% in UK Biobank). The Wales panel additionally identified *LDLR* copy number variants (164 cases, 6.8%), *APOE* variants (33 cases, 1.4%), and *LDLRAP1* variants (3 cases, 0.1%), none of which were classified in UK Biobank's exome sequencing pipeline. The distribution of causative genes differed significantly between the two cohorts (chi-square p = 6.69 x 10^-9), principally driven by the higher *APOB* proportion in UK Biobank and the absence of CNV and rare gene classifications.</w:t>
      </w:r>
    </w:p>
    <w:p>
      <w:pPr>
        <w:spacing w:line="330" w:lineRule="exact" w:after="120"/>
        <w:jc w:val="left"/>
      </w:pPr>
      <w:r>
        <w:rPr>
          <w:rFonts w:ascii="Arial" w:hAnsi="Arial"/>
          <w:b w:val="0"/>
          <w:i w:val="0"/>
          <w:sz w:val="22"/>
        </w:rPr>
        <w:t>Gene-specific TUDOR performance demonstrated consistent discrimination across variant types (Table 5, Figure 3). In Wales, *LDLR* carriers achieved AUC of 0.839 (95% CI: 0.817-0.861; n = 724), *APOB* carriers achieved AUC of 0.841 (95% CI: 0.790-0.892; n = 96), and *APOE* carriers achieved AUC of 0.809 (95% CI: 0.688-0.930; n = 20). In UK Biobank, *LDLR* carriers achieved AUC of 0.717 (95% CI: 0.693-0.741; n = 515) and *APOB* carriers achieved AUC of 0.830 (95% CI: 0.802-0.858; n = 213).</w:t>
      </w:r>
    </w:p>
    <w:p>
      <w:pPr>
        <w:spacing w:line="330" w:lineRule="exact" w:after="120"/>
        <w:jc w:val="left"/>
      </w:pPr>
      <w:r>
        <w:rPr>
          <w:rFonts w:ascii="Arial" w:hAnsi="Arial"/>
          <w:b w:val="0"/>
          <w:i w:val="0"/>
          <w:sz w:val="22"/>
        </w:rPr>
        <w:t>A notable finding was the higher TUDOR discrimination for *APOB* compared with *LDLR* variants in UK Biobank (AUC 0.830 versus 0.717). This differential performance has a coherent biological explanation: *APOB* variants produce gain-of-function effects on a single gene product (apolipoprotein B-100), resulting in a relatively uniform phenotype characterised by impaired binding of LDL particles to their receptor. In contrast, *LDLR* loss-of-function mutations are heterogeneous in their molecular consequences, encompassing null alleles, receptor-defective variants with partial function, and copy number variants with variable penetrance. This molecular heterogeneity translates to greater phenotypic variability among *LDLR* carriers, including a wider range of LDL-C elevations, which reduces the discriminative efficiency of any LDL-C-based diagnostic tool.</w:t>
      </w:r>
    </w:p>
    <w:p>
      <w:pPr>
        <w:spacing w:line="330" w:lineRule="exact" w:after="120"/>
        <w:jc w:val="left"/>
      </w:pPr>
      <w:r>
        <w:rPr>
          <w:rFonts w:ascii="Arial" w:hAnsi="Arial"/>
          <w:b w:val="0"/>
          <w:i w:val="0"/>
          <w:sz w:val="22"/>
        </w:rPr>
        <w:t>Formal statistical comparison confirmed the significance of this gene-specific performance differential. DeLong testing of TUDOR discrimination for *APOB* versus *LDLR* carriers in UK Biobank yielded Z = 3.74, p = 1.88 × 10⁻⁴, confirming that the 0.113 AUC difference (0.830 versus 0.717) is statistically significant and not attributable to sampling variability alone (Table 7). In Wales, where both gene groups achieved near-identical discrimination (AUC 0.841 versus 0.839), the DeLong test was non-significant (Z = 0.05, p = 0.96), consistent with the specialist registry's higher data quality and enriched prevalence attenuating differential gene-specific effects. The metabolic basis for this differential is quantifiable through the Trig_Filter. Among UK Biobank FH carriers, *APOB* carriers demonstrated mean triglycerides of 1.58 mmol/L (SD 0.99) compared with 1.86 mmol/L (SD 1.06) in *LDLR* carriers, consistent with the more preserved triglyceride metabolism in *APOB* gain-of-function mutations. The Cohen's d for Trig_Filter between FH and non-FH groups was 1.108 for *APOB* carriers versus 0.672 for *LDLR* carriers, confirming that the metabolic filter provides greater phenotypic separation in *APOB* mutations where the metabolic shield is more intact.</w:t>
      </w:r>
    </w:p>
    <w:p>
      <w:pPr>
        <w:spacing w:line="330" w:lineRule="exact" w:after="120"/>
        <w:jc w:val="left"/>
      </w:pPr>
      <w:r>
        <w:rPr>
          <w:rFonts w:ascii="Arial" w:hAnsi="Arial"/>
          <w:b w:val="0"/>
          <w:i w:val="0"/>
          <w:sz w:val="22"/>
        </w:rPr>
        <w:t>Genotype-phenotype correlations confirmed expected patterns: *PCSK9* carriers in Wales showed the highest mean treatment-adjusted LDL-C (7.6 mmol/L, SD 3.1), consistent with the gain-of-function mechanism promoting LDL receptor degradation. *LDLR* carriers showed mean treatment-adjusted LDL-C of 5.5 mmol/L (SD 2.1) in Wales and 5.8 mmol/L (SD 1.3) in UK Biobank. *APOB* carriers showed similar values: 4.7 mmol/L (SD 1.5) in Wales and 5.8 mmol/L (SD 0.9) in UK Biobank.</w:t>
      </w:r>
    </w:p>
    <w:p>
      <w:pPr>
        <w:spacing w:line="330" w:lineRule="exact" w:after="120"/>
        <w:jc w:val="left"/>
      </w:pPr>
      <w:r>
        <w:rPr>
          <w:rFonts w:ascii="Arial" w:hAnsi="Arial"/>
          <w:b w:val="0"/>
          <w:i w:val="0"/>
          <w:sz w:val="22"/>
        </w:rPr>
        <w:t>Together, the two validation cohorts encompassed 4,028 genetically confirmed FH cases (2,405 in Wales plus 1,623 in UK Biobank). To our knowledge, this represents the largest dual-validated genetically confirmed FH diagnostic study reported to date, substantially exceeding previous studies including the Copenhagen General Population Study (98,098 screened, approximately 500 FH identified) [31] and individual sequencing studies [2].</w:t>
      </w:r>
    </w:p>
    <w:p>
      <w:pPr>
        <w:pStyle w:val="Heading2"/>
        <w:spacing w:before="360" w:after="120"/>
      </w:pPr>
      <w:r>
        <w:rPr>
          <w:rFonts w:ascii="Arial" w:hAnsi="Arial"/>
          <w:color w:val="000000"/>
          <w:sz w:val="24"/>
        </w:rPr>
        <w:t>3.6 Apolipoprotein B Augmentation</w:t>
      </w:r>
    </w:p>
    <w:p>
      <w:pPr>
        <w:spacing w:line="330" w:lineRule="exact" w:after="120"/>
        <w:jc w:val="left"/>
      </w:pPr>
      <w:r>
        <w:rPr>
          <w:rFonts w:ascii="Arial" w:hAnsi="Arial"/>
          <w:b w:val="0"/>
          <w:i w:val="0"/>
          <w:sz w:val="22"/>
        </w:rPr>
        <w:t>In the complete-case ApoB subset (n = 57,446; 99.0% of the lipid clinic cohort), base TUDOR achieved AUC of 0.753 (95% CI: 0.733-0.772), consistent with the full-cohort estimate (Table 6).</w:t>
      </w:r>
    </w:p>
    <w:p>
      <w:pPr>
        <w:spacing w:line="330" w:lineRule="exact" w:after="120"/>
        <w:jc w:val="left"/>
      </w:pPr>
      <w:r>
        <w:rPr>
          <w:rFonts w:ascii="Arial" w:hAnsi="Arial"/>
          <w:b w:val="0"/>
          <w:i w:val="0"/>
          <w:sz w:val="22"/>
        </w:rPr>
        <w:t>Addition of serum ApoB concentration alone did not improve discrimination: Model A (TUDOR plus ApoB) achieved AUC of 0.751 (delta-AUC = -0.002; DeLong p = 0.349). This null finding indicates that absolute ApoB concentration, while significantly different between FH and non-FH groups (Table 1b), does not provide incremental discriminative information beyond what TUDOR already captures through LDL-C and the Trig_Filter.</w:t>
      </w:r>
    </w:p>
    <w:p>
      <w:pPr>
        <w:spacing w:line="330" w:lineRule="exact" w:after="120"/>
        <w:jc w:val="left"/>
      </w:pPr>
      <w:r>
        <w:rPr>
          <w:rFonts w:ascii="Arial" w:hAnsi="Arial"/>
          <w:b w:val="0"/>
          <w:i w:val="0"/>
          <w:sz w:val="22"/>
        </w:rPr>
        <w:t>In contrast, the ApoB/LDL-C ratio provided significant augmentation: Model B (TUDOR plus ApoB/LDL-C ratio) achieved AUC of 0.760 (delta-AUC = +0.007; DeLong p = 0.006). The biological explanation is that this ratio captures LDL particle cholesterol enrichment: in FH, impaired receptor-mediated clearance prolongs LDL particle residence time, allowing continued cholesterol ester accumulation within each particle. This produces fewer but more cholesterol-laden LDL particles, lowering the ApoB-to-cholesterol ratio. The ratio therefore encodes pathophysiological information distinct from absolute LDL-C concentration.</w:t>
      </w:r>
    </w:p>
    <w:p>
      <w:pPr>
        <w:spacing w:line="330" w:lineRule="exact" w:after="120"/>
        <w:jc w:val="left"/>
      </w:pPr>
      <w:r>
        <w:rPr>
          <w:rFonts w:ascii="Arial" w:hAnsi="Arial"/>
          <w:b w:val="0"/>
          <w:i w:val="0"/>
          <w:sz w:val="22"/>
        </w:rPr>
        <w:t>The combined Model C (TUDOR plus ApoB plus ApoB/LDL-C ratio) achieved the largest improvement: AUC of 0.771 (delta-AUC = +0.019; DeLong p = 3.99 x 10^-5). This statistically significant improvement of nearly 2 percentage points in AUC represents clinically meaningful augmentation of discriminative ability.</w:t>
      </w:r>
    </w:p>
    <w:p>
      <w:pPr>
        <w:spacing w:line="330" w:lineRule="exact" w:after="120"/>
        <w:jc w:val="left"/>
      </w:pPr>
      <w:r>
        <w:rPr>
          <w:rFonts w:ascii="Arial" w:hAnsi="Arial"/>
          <w:b w:val="0"/>
          <w:i w:val="0"/>
          <w:sz w:val="22"/>
        </w:rPr>
        <w:t>Addition of lipoprotein(a) in Model D (TUDOR plus ApoB plus ApoB/LDL-C ratio plus Lp(a)) achieved AUC of 0.776 (delta-AUC = +0.018 versus base; DeLong p = 0.00025), though on a reduced sample (n = 43,710) due to Lp(a) data availability. The modest incremental contribution of Lp(a) confirms that Lp(a) elevation is not a characteristic feature of heterozygous FH and should not be expected to contribute substantially to FH diagnosis, though it may have independent prognostic value for cardiovascular risk stratification.</w:t>
      </w:r>
    </w:p>
    <w:p>
      <w:pPr>
        <w:spacing w:line="330" w:lineRule="exact" w:after="120"/>
        <w:jc w:val="left"/>
      </w:pPr>
      <w:r>
        <w:rPr>
          <w:rFonts w:ascii="Arial" w:hAnsi="Arial"/>
          <w:b w:val="0"/>
          <w:i w:val="0"/>
          <w:sz w:val="22"/>
        </w:rPr>
        <w:t>It is important to note that ApoB data were not available in the Wales registry, precluding augmentation testing in the development population. The ApoB augmentation results should therefore be considered hypothesis-generating for the UK Biobank setting pending prospective validation in specialist lipid clinics where both TUDOR features and ApoB measurement are routinely available.</w:t>
      </w:r>
    </w:p>
    <w:p>
      <w:pPr>
        <w:spacing w:line="330" w:lineRule="exact" w:after="120"/>
        <w:jc w:val="left"/>
      </w:pPr>
      <w:r>
        <w:rPr>
          <w:rFonts w:ascii="Arial" w:hAnsi="Arial"/>
          <w:b w:val="0"/>
          <w:i w:val="0"/>
          <w:sz w:val="22"/>
        </w:rPr>
        <w:t>To assess the clinical utility of the ApoB/LDL-C ratio specifically within the diagnostic grey zone, we performed a subgroup analysis restricted to UK Biobank lipid clinic cohort participants with intermediate TUDOR probability (25th to 75th percentile of predicted probabilities among FH-positive cases). In this grey zone subset (n = 33,562; 454 FH-positive), the ApoB/LDL-C ratio did not differ significantly between FH-positive and FH-negative participants (mean 0.2234 versus 0.2241; Wilcoxon p = 0.356), achieving AUC of only 0.513 (95% CI: 0.486-0.539). This null finding within the grey zone, contrasted with the significant whole-cohort augmentation (Model C AUC 0.771), indicates that the ApoB/LDL-C ratio’s discriminative value is mediated through its correlation with the same LDL receptor dysfunction signal that TUDOR already captures through the Trig_Filter. Within the grey zone, where TUDOR has already stratified patients to intermediate probability, residual ApoB/LDL-C variation does not provide additional diagnostic information. This finding suggests that ApoB augmentation is most valuable at the whole-model level rather than as a sequential grey zone triage test.</w:t>
      </w:r>
    </w:p>
    <w:p>
      <w:pPr>
        <w:pStyle w:val="Heading2"/>
        <w:spacing w:before="360" w:after="120"/>
      </w:pPr>
      <w:r>
        <w:rPr>
          <w:rFonts w:ascii="Arial" w:hAnsi="Arial"/>
          <w:color w:val="000000"/>
          <w:sz w:val="24"/>
        </w:rPr>
        <w:t>3.7 Biological Validation of the Triglyceride Metabolic Filter</w:t>
      </w:r>
    </w:p>
    <w:p>
      <w:pPr>
        <w:spacing w:line="330" w:lineRule="exact" w:after="120"/>
        <w:jc w:val="left"/>
      </w:pPr>
      <w:r>
        <w:rPr>
          <w:rFonts w:ascii="Arial" w:hAnsi="Arial"/>
          <w:b w:val="0"/>
          <w:i w:val="0"/>
          <w:sz w:val="22"/>
        </w:rPr>
        <w:t>Sequential multivariable logistic regression in UK Biobank demonstrated that the Trig_Filter odds ratio remained remarkably stable across progressive adjustment for metabolic confounders: crude odds ratio 1.873, adjusted for BMI 1.891, further adjusted for diabetes mellitus 1.903, further adjusted for ApoB 1.920, and fully adjusted including age and sex 1.935 (Table 7). The less than 10% change from crude to fully adjusted estimates confirms independence from metabolic confounding. All variance inflation factors were below 1.2, excluding multicollinearity.</w:t>
      </w:r>
    </w:p>
    <w:p>
      <w:pPr>
        <w:spacing w:line="330" w:lineRule="exact" w:after="120"/>
        <w:jc w:val="left"/>
      </w:pPr>
      <w:r>
        <w:rPr>
          <w:rFonts w:ascii="Arial" w:hAnsi="Arial"/>
          <w:b w:val="0"/>
          <w:i w:val="0"/>
          <w:sz w:val="22"/>
        </w:rPr>
        <w:t>The metabolic shield effect revealed progressive deterioration of diagnostic separation with increasing triglycerides. In the normal triglyceride zone (below 1.7 mmol/L), Cohen's d between FH and non-FH participants was 0.89. This decreased to 0.52 in the borderline zone (1.7-2.3 mmol/L) and 0.18 in the elevated zone (above 2.3 mmol/L). Elevated triglycerides effectively mask the FH phenotype by introducing metabolic heterogeneity that obscures the monogenic LDL-C elevation signal.</w:t>
      </w:r>
    </w:p>
    <w:p>
      <w:pPr>
        <w:spacing w:line="330" w:lineRule="exact" w:after="120"/>
        <w:jc w:val="left"/>
      </w:pPr>
      <w:r>
        <w:rPr>
          <w:rFonts w:ascii="Arial" w:hAnsi="Arial"/>
          <w:b w:val="0"/>
          <w:i w:val="0"/>
          <w:sz w:val="22"/>
        </w:rPr>
        <w:t>Nuclear magnetic resonance metabolomics profiling in 421,122 UK Biobank participants (1,612 with genetic FH) revealed 35 of 53 metabolites differing significantly between FH and non-FH participants after Bonferroni correction. The pattern confirmed cholesterol-enriched LDL particles with reduced VLDL concentrations and lower remnant cholesterol in FH, consistent with the selective LDL receptor deficiency hypothesis. The ApoB/LDL-C ratio measured at the NMR particle level was significantly lower in FH (0.234 versus 0.253; d = -0.411), and the ApoB-LDL-C correlation was tighter in FH (r = 0.369 versus 0.236; Fisher z-test p &lt; 0.001), reflecting the homogeneous molecular pathology of receptor deficiency.</w:t>
      </w:r>
    </w:p>
    <w:p>
      <w:pPr>
        <w:spacing w:line="330" w:lineRule="exact" w:after="120"/>
        <w:jc w:val="left"/>
      </w:pPr>
      <w:r>
        <w:rPr>
          <w:rFonts w:ascii="Arial" w:hAnsi="Arial"/>
          <w:b w:val="0"/>
          <w:i w:val="0"/>
          <w:sz w:val="22"/>
        </w:rPr>
        <w:t>Critically, NMR metabolomics data did not improve upon TUDOR: NMR metabolites alone achieved AUC of 0.705; TUDOR alone achieved 0.749; the combined model achieved 0.752 (DeLong p = 0.278). This finding establishes that a parsimonious clinical model with treatment-adjusted LDL-C and the Trig_Filter captures the same biological information that 53 molecular measurements encode, validating the feature engineering approach as both parsimonious and biologically grounded.</w:t>
      </w:r>
    </w:p>
    <w:p>
      <w:pPr>
        <w:spacing w:line="330" w:lineRule="exact" w:after="120"/>
        <w:jc w:val="left"/>
      </w:pPr>
      <w:r>
        <w:rPr>
          <w:rFonts w:ascii="Arial" w:hAnsi="Arial"/>
          <w:b w:val="0"/>
          <w:i w:val="0"/>
          <w:sz w:val="22"/>
        </w:rPr>
        <w:t>Addition of BMI, diabetes status, and ApoB to the base TUDOR model did not improve AUC in the full UK Biobank cohort, further confirming that the Trig_Filter already encodes the metabolic information these variables carry.</w:t>
      </w:r>
    </w:p>
    <w:p>
      <w:pPr>
        <w:pStyle w:val="Heading2"/>
        <w:spacing w:before="360" w:after="120"/>
      </w:pPr>
      <w:r>
        <w:rPr>
          <w:rFonts w:ascii="Arial" w:hAnsi="Arial"/>
          <w:color w:val="000000"/>
          <w:sz w:val="24"/>
        </w:rPr>
        <w:t>3.8 Sensitivity Analyses and Algorithm Comparison</w:t>
      </w:r>
    </w:p>
    <w:p>
      <w:pPr>
        <w:spacing w:line="330" w:lineRule="exact" w:after="120"/>
        <w:jc w:val="left"/>
      </w:pPr>
      <w:r>
        <w:rPr>
          <w:rFonts w:ascii="Arial" w:hAnsi="Arial"/>
          <w:b w:val="0"/>
          <w:i w:val="0"/>
          <w:sz w:val="22"/>
        </w:rPr>
        <w:t>Ten prespecified sensitivity analyses confirmed robust performance across LDL-C thresholds, calculation equations, statin correction factor perturbations, ethnic subgroups, winsorised extreme values, and alternative diagnostic criteria comparisons. The 100% compliance sensitivity analysis achieved equivalent performance to the primary model, demonstrating robustness to adherence documentation quality. The statin-free subgroup analysis demonstrated preserved discrimination in untreated patients where treatment adjustment is inapplicable.</w:t>
      </w:r>
    </w:p>
    <w:p>
      <w:pPr>
        <w:spacing w:line="330" w:lineRule="exact" w:after="120"/>
        <w:jc w:val="left"/>
      </w:pPr>
      <w:r>
        <w:rPr>
          <w:rFonts w:ascii="Arial" w:hAnsi="Arial"/>
          <w:b w:val="0"/>
          <w:i w:val="0"/>
          <w:sz w:val="22"/>
        </w:rPr>
        <w:t>Logistic regression using identical TUDOR-engineered features achieved equivalent performance to XGBoost (p = 0.72), definitively establishing that clinical feature engineering rather than algorithmic complexity drives diagnostic improvement. This finding has direct clinical implications: a simple, fully interpretable logistic regression equation can be deployed within standard electronic health record systems without requiring machine learning infrastructure, specialised computing resources, or opaque prediction algorithms. The model equation is fully transparent and can be computed using standard spreadsheet software.</w:t>
      </w:r>
    </w:p>
    <w:p>
      <w:pPr>
        <w:pStyle w:val="Heading1"/>
        <w:spacing w:before="360" w:after="120"/>
      </w:pPr>
      <w:r>
        <w:rPr>
          <w:rFonts w:ascii="Arial" w:hAnsi="Arial"/>
          <w:color w:val="000000"/>
          <w:sz w:val="28"/>
        </w:rPr>
        <w:t>4. DISCUSSION</w:t>
      </w:r>
    </w:p>
    <w:p>
      <w:pPr>
        <w:pStyle w:val="Heading2"/>
        <w:spacing w:before="360" w:after="120"/>
      </w:pPr>
      <w:r>
        <w:rPr>
          <w:rFonts w:ascii="Arial" w:hAnsi="Arial"/>
          <w:color w:val="000000"/>
          <w:sz w:val="24"/>
        </w:rPr>
        <w:t>4.1 Principal Findings</w:t>
      </w:r>
    </w:p>
    <w:p>
      <w:pPr>
        <w:spacing w:line="330" w:lineRule="exact" w:after="120"/>
        <w:jc w:val="left"/>
      </w:pPr>
      <w:r>
        <w:rPr>
          <w:rFonts w:ascii="Arial" w:hAnsi="Arial"/>
          <w:b w:val="0"/>
          <w:i w:val="0"/>
          <w:sz w:val="22"/>
        </w:rPr>
        <w:t>This study presents the development and dual external validation of TUDOR, a diagnostic algorithm for familial hypercholesterolemia that achieves clinically meaningful discrimination across two fundamentally different clinical settings: a specialist lipid registry encompassing 7,253 patients across all of Wales (AUC 0.842) and a population-based biobank comprising 426,732 participants from across the United Kingdom (AUC 0.750 in the lipid clinic-mimicking cohort of 58,021). Together, these validation cohorts encompass 4,028 genetically confirmed FH cases across six causative genes (*LDLR*, *APOB*, *PCSK9*, *APOE*, *LDLRAP1*, and *LDLR* copy number variants), representing to our knowledge the largest dual-validated genetically confirmed FH diagnostic study to date.</w:t>
      </w:r>
    </w:p>
    <w:p>
      <w:pPr>
        <w:spacing w:line="330" w:lineRule="exact" w:after="120"/>
        <w:jc w:val="left"/>
      </w:pPr>
      <w:r>
        <w:rPr>
          <w:rFonts w:ascii="Arial" w:hAnsi="Arial"/>
          <w:b w:val="0"/>
          <w:i w:val="0"/>
          <w:sz w:val="22"/>
        </w:rPr>
        <w:t>The finding that systematic treatment adjustment, ascertainment bias correction, and triglyceride-based metabolic filtering substantially improve FH detection, implemented through interpretable clinical feature engineering rather than algorithmic complexity, carries direct implications for diagnostic practice. TUDOR is designed to function as a complementary clinical decision support tool, integrated into specialist lipid clinic workflows and electronic health record systems, that enhances rather than replaces established diagnostic criteria and clinical judgement. Its principal value lies in identifying patients who warrant genetic testing referral, particularly among cascade-screened relatives where existing criteria demonstrate systematic insensitivity.</w:t>
      </w:r>
    </w:p>
    <w:p>
      <w:pPr>
        <w:pStyle w:val="Heading2"/>
        <w:spacing w:before="360" w:after="120"/>
      </w:pPr>
      <w:r>
        <w:rPr>
          <w:rFonts w:ascii="Arial" w:hAnsi="Arial"/>
          <w:color w:val="000000"/>
          <w:sz w:val="24"/>
        </w:rPr>
        <w:t>4.2 Clinical Decision Framework and Implementation</w:t>
      </w:r>
    </w:p>
    <w:p>
      <w:pPr>
        <w:spacing w:line="330" w:lineRule="exact" w:after="120"/>
        <w:jc w:val="left"/>
      </w:pPr>
      <w:r>
        <w:rPr>
          <w:rFonts w:ascii="Arial" w:hAnsi="Arial"/>
          <w:b w:val="0"/>
          <w:i w:val="0"/>
          <w:sz w:val="22"/>
        </w:rPr>
        <w:t>We propose a three-tier clinical decision framework based on TUDOR probability estimates, designed for implementation in specialist lipid clinics and FH registries where the required input data (documented lipid-lowering therapy with specific agents and doses, ascertainment pathway, fasting lipid profile) are routinely available. Patients classified as low risk (TUDOR probability below 25%) can be reassured that monogenic FH is unlikely, and standard lipid management should continue. Those in the intermediate range (25% to 75%) warrant further clinical evaluation, including consideration of additional biomarkers such as serum ApoB and the ApoB/LDL-C ratio, extended family cascade data, detailed review of treatment adherence, and shared decision-making regarding genetic testing referral. Where ApoB measurement is available, augmentation with the ApoB/LDL-C ratio may improve risk stratification (Model C AUC 0.771 versus base 0.753). High-risk patients (probability exceeding 75%) should be referred directly for genetic testing and considered for initiation or intensification of FH-appropriate lipid-lowering therapy while awaiting genetic results.</w:t>
      </w:r>
    </w:p>
    <w:p>
      <w:pPr>
        <w:spacing w:line="330" w:lineRule="exact" w:after="120"/>
        <w:jc w:val="left"/>
      </w:pPr>
      <w:r>
        <w:rPr>
          <w:rFonts w:ascii="Arial" w:hAnsi="Arial"/>
          <w:b w:val="0"/>
          <w:i w:val="0"/>
          <w:sz w:val="22"/>
        </w:rPr>
        <w:t>For implementation in lower-prevalence settings such as primary care screening programmes or automated laboratory triage, several prerequisites must be addressed. First, probability thresholds require recalibration to local FH prevalence. Our UK Biobank validation demonstrates that while discrimination (the ability to rank patients correctly) is preserved at 0.38% prevalence, the calibration slope of 6.33 indicates that probability estimates derived from the enriched-prevalence development setting systematically overestimate FH probability in lower-prevalence populations. Recalibration is a straightforward statistical procedure that adjusts the model intercept and slope without requiring model re-development. Second, local validation in a representative cohort should confirm generalisability to the specific healthcare context. Third, the treatment adjustment component may require simplification where detailed prescription data is unavailable, potentially using a standardised correction factor with demonstrated sensitivity analysis support. The finding that the 100% compliance sensitivity analysis achieved equivalent performance suggests that even simplified treatment adjustment retains diagnostic value.</w:t>
      </w:r>
    </w:p>
    <w:p>
      <w:pPr>
        <w:spacing w:line="330" w:lineRule="exact" w:after="120"/>
        <w:jc w:val="left"/>
      </w:pPr>
      <w:r>
        <w:rPr>
          <w:rFonts w:ascii="Arial" w:hAnsi="Arial"/>
          <w:b w:val="0"/>
          <w:i w:val="0"/>
          <w:sz w:val="22"/>
        </w:rPr>
        <w:t>The observed calibration slope of 6.33 in UK Biobank warrants detailed interpretation for clinicians considering TUDOR implementation across different prevalence settings. A calibration slope exceeding 1.0 indicates that the model's predicted probabilities are over-concentrated — that is, low-risk patients receive probabilities that are too low and high-risk patients receive probabilities that are too high, relative to observed outcomes. The root cause is the prevalence differential between development and validation populations: TUDOR was trained in the Wales registry where FH prevalence was 33.2% (specialist referral setting) and applied to UK Biobank where lipid clinic cohort prevalence was 1.26%. Critically, discrimination (AUC) is preserved because the ranking of patients is correct — the calibration slope affects only the absolute probability estimates, not the ordering of patients by risk. This distinction is clinically important: the three-tier classification system (low, intermediate, high risk) depends on correct ranking, which is maintained, whereas the specific probability values assigned to each patient require recalibration to the local prior probability.</w:t>
      </w:r>
    </w:p>
    <w:p>
      <w:pPr>
        <w:spacing w:line="330" w:lineRule="exact" w:after="120"/>
        <w:jc w:val="left"/>
      </w:pPr>
      <w:r>
        <w:rPr>
          <w:rFonts w:ascii="Arial" w:hAnsi="Arial"/>
          <w:b w:val="0"/>
          <w:i w:val="0"/>
          <w:sz w:val="22"/>
        </w:rPr>
        <w:t>Bayesian recalibration provides the mathematical framework for adjusting TUDOR probabilities to any target prevalence. Given a TUDOR-predicted probability P_TUDOR developed at training prevalence pi_train, the recalibrated probability at a new prevalence pi_local is: P_recalibrated = P_TUDOR x (pi_local / pi_train) / [P_TUDOR x (pi_local / pi_train) + (1 - P_TUDOR) x ((1 - pi_local) / (1 - pi_train))]. To illustrate: a TUDOR probability of 0.50 (intermediate risk at 33% training prevalence) recalibrates to approximately 0.019 at 1.26% prevalence (lipid clinic) and approximately 0.006 at 0.4% prevalence (primary care screening). While these absolute probabilities differ dramatically, the patient remains in the same relative risk stratum compared with the local population. For primary care implementation, where FH prevalence is approximately 0.4%, all absolute probabilities will be correspondingly lower, but the diagnostic utility of the ranking system is preserved. An accompanying online calculator incorporates a calibration advisory to guide appropriate interpretation across prevalence settings (Figure 8).</w:t>
      </w:r>
    </w:p>
    <w:p>
      <w:pPr>
        <w:pStyle w:val="Heading2"/>
        <w:spacing w:before="360" w:after="120"/>
      </w:pPr>
      <w:r>
        <w:rPr>
          <w:rFonts w:ascii="Arial" w:hAnsi="Arial"/>
          <w:color w:val="000000"/>
          <w:sz w:val="24"/>
        </w:rPr>
        <w:t>4.3 The Cascade Screening Imperative</w:t>
      </w:r>
    </w:p>
    <w:p>
      <w:pPr>
        <w:spacing w:line="330" w:lineRule="exact" w:after="120"/>
        <w:jc w:val="left"/>
      </w:pPr>
      <w:r>
        <w:rPr>
          <w:rFonts w:ascii="Arial" w:hAnsi="Arial"/>
          <w:b w:val="0"/>
          <w:i w:val="0"/>
          <w:sz w:val="22"/>
        </w:rPr>
        <w:t>The 87-percentage-point sensitivity gap between index cases (88.5%) and cascade-screened relatives (1.5%) using DLCN criteria represents a critical diagnostic deficiency that affects all established systems including DLCN, Simon Broome, and MEDPED criteria. Simon Broome criteria, while historically important in United Kingdom practice, depend substantially on tendon xanthomata (present in fewer than 15% of heterozygous FH patients at any age) and corneal arcus (present in 2.0% of our FH-positive cohort), clinical signs that are increasingly rare in the statin-treated era and present in only a small minority of young cascade-screened relatives [13]. MEDPED criteria employ the simplest approach using age-stratified LDL-C cutpoints but lose discriminative power when treatment reduces LDL-C below threshold values.</w:t>
      </w:r>
    </w:p>
    <w:p>
      <w:pPr>
        <w:spacing w:line="330" w:lineRule="exact" w:after="120"/>
        <w:jc w:val="left"/>
      </w:pPr>
      <w:r>
        <w:rPr>
          <w:rFonts w:ascii="Arial" w:hAnsi="Arial"/>
          <w:b w:val="0"/>
          <w:i w:val="0"/>
          <w:sz w:val="22"/>
        </w:rPr>
        <w:t>This limitation is not merely a statistical finding; it directly affects the millions of FH-affected individuals worldwide who remain undiagnosed. Cascade screening programmes identify relatives carrying identical pathogenic variants to their affected family members, yet standard criteria fail to recognise the overwhelming majority because diagnostic thresholds were calibrated to the phenotypically extreme presentation of probands. TUDOR addresses this gap through two complementary mechanisms: the Index Effect, which explicitly models the different diagnostic significance of a given LDL-C concentration depending on ascertainment pathway, and the Trig_Filter, which identifies the metabolic signature of monogenic FH regardless of absolute LDL-C level. TUDOR's 22.7-percentage-point sensitivity advantage over the FAMCAT approximation in cascade relatives specifically targets this population of highest clinical need.</w:t>
      </w:r>
    </w:p>
    <w:p>
      <w:pPr>
        <w:pStyle w:val="Heading2"/>
        <w:spacing w:before="360" w:after="120"/>
      </w:pPr>
      <w:r>
        <w:rPr>
          <w:rFonts w:ascii="Arial" w:hAnsi="Arial"/>
          <w:color w:val="000000"/>
          <w:sz w:val="24"/>
        </w:rPr>
        <w:t>4.4 Genetic Heterogeneity and Variant-Specific Performance</w:t>
      </w:r>
    </w:p>
    <w:p>
      <w:pPr>
        <w:spacing w:line="330" w:lineRule="exact" w:after="120"/>
        <w:jc w:val="left"/>
      </w:pPr>
      <w:r>
        <w:rPr>
          <w:rFonts w:ascii="Arial" w:hAnsi="Arial"/>
          <w:b w:val="0"/>
          <w:i w:val="0"/>
          <w:sz w:val="22"/>
        </w:rPr>
        <w:t>The gene-specific validation represents a novel contribution enabled by the scale of our combined cohort. The finding that *APOB* variant carriers achieve higher TUDOR discrimination than *LDLR* carriers in UK Biobank (AUC 0.830 versus 0.717) has a coherent pathophysiological basis. *APOB* gain-of-function variants, predominantly the p.Arg3527Gln mutation, produce a relatively uniform molecular defect: impaired binding of apolipoprotein B-100 to the LDL receptor, resulting in a consistent phenotype of moderately elevated LDL-C with characteristic cholesterol-enriched, ApoB-depleted particles. This molecular homogeneity translates to a tighter phenotypic distribution that any LDL-C-based model can more readily distinguish from the non-FH population.</w:t>
      </w:r>
    </w:p>
    <w:p>
      <w:pPr>
        <w:spacing w:line="330" w:lineRule="exact" w:after="120"/>
        <w:jc w:val="left"/>
      </w:pPr>
      <w:r>
        <w:rPr>
          <w:rFonts w:ascii="Arial" w:hAnsi="Arial"/>
          <w:b w:val="0"/>
          <w:i w:val="0"/>
          <w:sz w:val="22"/>
        </w:rPr>
        <w:t>In contrast, *LDLR* loss-of-function mutations are profoundly heterogeneous in their molecular consequences. Over 2,000 pathogenic *LDLR* variants have been described, encompassing null alleles producing no functional receptor protein, receptor-defective variants with residual function ranging from 2% to 25% of normal, class-specific defects affecting synthesis, transport, binding, internalisation, or recycling, and large structural rearrangements (copy number variants) with variable functional impact. This molecular heterogeneity translates to a wider LDL-C distribution among *LDLR* carriers, with some individuals presenting with dramatically elevated concentrations and others with only mildly elevated values, reducing the discriminative efficiency of phenotype-based classification.</w:t>
      </w:r>
    </w:p>
    <w:p>
      <w:pPr>
        <w:spacing w:line="330" w:lineRule="exact" w:after="120"/>
        <w:jc w:val="left"/>
      </w:pPr>
      <w:r>
        <w:rPr>
          <w:rFonts w:ascii="Arial" w:hAnsi="Arial"/>
          <w:b w:val="0"/>
          <w:i w:val="0"/>
          <w:sz w:val="22"/>
        </w:rPr>
        <w:t>The 0.113 AUC differential between *APOB* and *LDLR* carriers in UK Biobank (DeLong p = 1.88 × 10⁻⁴) has a coherent pathophysiological explanation rooted in the distinct molecular mechanisms of these two gene classes, which we term the "metabolic shield" effect. *APOB* gain-of-function variants, predominantly p.Arg3527Gln, produce a uniform molecular defect: the arginine-to-glutamine substitution at position 3527 of apolipoprotein B-100 reduces binding affinity to the LDL receptor by approximately 95%, while all other aspects of lipoprotein metabolism — including hepatic VLDL assembly, VLDL secretion rate, lipoprotein lipase-mediated triglyceride hydrolysis, and remnant particle clearance via LDL receptor-related protein — remain entirely intact. This selective impairment produces a remarkably consistent phenotype: moderate LDL-C elevation (typically 4.5-7.0 mmol/L) with characteristically normal or low triglycerides, yielding high Trig_Filter values that are readily distinguishable from polygenic hypercholesterolemia.</w:t>
      </w:r>
    </w:p>
    <w:p>
      <w:pPr>
        <w:spacing w:line="330" w:lineRule="exact" w:after="120"/>
        <w:jc w:val="left"/>
      </w:pPr>
      <w:r>
        <w:rPr>
          <w:rFonts w:ascii="Arial" w:hAnsi="Arial"/>
          <w:b w:val="0"/>
          <w:i w:val="0"/>
          <w:sz w:val="22"/>
        </w:rPr>
        <w:t>In contrast, *LDLR* loss-of-function mutations produce a spectrum of molecular consequences that differentially affect triglyceride metabolism. Null alleles (producing no functional receptor protein) eliminate not only LDL clearance but also impair the hepatic uptake of intermediate-density lipoprotein (IDL) and VLDL remnant particles, as these particles also utilise the LDL receptor for hepatic clearance via apolipoprotein E-mediated binding. This broader metabolic disruption can modestly elevate triglycerides in some *LDLR* null carriers, partially eroding the metabolic selectivity that the Trig_Filter exploits. Receptor-defective variants with 2-25% residual function preserve variable degrees of remnant clearance, producing phenotypic heterogeneity. Copy number variants (6.8% of Wales *LDLR* cases) add further variability depending on the extent of gene disruption.</w:t>
      </w:r>
    </w:p>
    <w:p>
      <w:pPr>
        <w:spacing w:line="330" w:lineRule="exact" w:after="120"/>
        <w:jc w:val="left"/>
      </w:pPr>
      <w:r>
        <w:rPr>
          <w:rFonts w:ascii="Arial" w:hAnsi="Arial"/>
          <w:b w:val="0"/>
          <w:i w:val="0"/>
          <w:sz w:val="22"/>
        </w:rPr>
        <w:t>The clinical implication is that TUDOR may be particularly valuable for identifying *APOB* carriers, who represent 12-19% of genetically confirmed FH across our two cohorts and are systematically missed by DLCN criteria. The DLCN system assigns the highest points for LDL-C concentrations exceeding 8.5 mmol/L, a threshold rarely reached by *APOB* carriers whose LDL-C elevation is characteristically moderate. By incorporating the Trig_Filter, TUDOR captures the metabolic signature that distinguishes *APOB*-mediated FH from polygenic causes, achieving AUC 0.830 in this subgroup — a level of discrimination that approaches the Wales specialist registry performance and substantially exceeds any phenotype-based diagnostic tool applied to population-based data.</w:t>
      </w:r>
    </w:p>
    <w:p>
      <w:pPr>
        <w:spacing w:line="330" w:lineRule="exact" w:after="120"/>
        <w:jc w:val="left"/>
      </w:pPr>
      <w:r>
        <w:rPr>
          <w:rFonts w:ascii="Arial" w:hAnsi="Arial"/>
          <w:b w:val="0"/>
          <w:i w:val="0"/>
          <w:sz w:val="22"/>
        </w:rPr>
        <w:t>The different gene panels used in Wales (six genes: *LDLR*, *APOB*, *PCSK9*, *APOE*, *LDLRAP1*, *LDLR* CNVs) versus UK Biobank (three genes: *LDLR*, *APOB*, *PCSK9*) produced a significantly different distribution of causative genes (chi-square p = 6.69 x 10^-9). The *LDLR* CNV category (6.8% of Wales FH cases) encompasses large deletions and duplications detectable by MLPA but not by standard exome sequencing, highlighting the importance of comprehensive genetic testing strategies. The absence of *APOE* and *LDLRAP1* classification in UK Biobank suggests that some FH cases may be misclassified, though the small numbers involved (36 total in Wales) would have minimal impact on aggregate performance metrics.</w:t>
      </w:r>
    </w:p>
    <w:p>
      <w:pPr>
        <w:pStyle w:val="Heading2"/>
        <w:spacing w:before="360" w:after="120"/>
      </w:pPr>
      <w:r>
        <w:rPr>
          <w:rFonts w:ascii="Arial" w:hAnsi="Arial"/>
          <w:color w:val="000000"/>
          <w:sz w:val="24"/>
        </w:rPr>
        <w:t>4.5 Apolipoprotein B as an Optional Clinical Enhancement</w:t>
      </w:r>
    </w:p>
    <w:p>
      <w:pPr>
        <w:spacing w:line="330" w:lineRule="exact" w:after="120"/>
        <w:jc w:val="left"/>
      </w:pPr>
      <w:r>
        <w:rPr>
          <w:rFonts w:ascii="Arial" w:hAnsi="Arial"/>
          <w:b w:val="0"/>
          <w:i w:val="0"/>
          <w:sz w:val="22"/>
        </w:rPr>
        <w:t>The finding that the ApoB/LDL-C ratio provides significant augmentation (Model C AUC 0.771, delta-AUC +0.019, p = 3.99 x 10^-5) while absolute ApoB concentration does not (Model A, p = 0.349) has a clear biological interpretation. Absolute ApoB reflects the total number of atherogenic lipoprotein particles, which is correlated with but not identical to LDL-C concentration. Because TUDOR already incorporates treatment-adjusted LDL-C, adding absolute ApoB provides largely redundant information. The ApoB/LDL-C ratio, however, captures a qualitatively different biological signal: the cholesterol content per LDL particle. In FH, prolonged circulatory residence time of LDL particles (due to impaired receptor-mediated clearance) allows continued cholesterol ester accumulation, producing fewer but more cholesterol-laden particles. This produces a lower ApoB/LDL-C ratio compared with non-FH hypercholesterolemia, where overproduction of LDL particles of normal cholesterol content drives the elevated LDL-C. The ApoB/LDL-C ratio therefore encodes receptor-function information that complements TUDOR's existing features.</w:t>
      </w:r>
    </w:p>
    <w:p>
      <w:pPr>
        <w:spacing w:line="330" w:lineRule="exact" w:after="120"/>
        <w:jc w:val="left"/>
      </w:pPr>
      <w:r>
        <w:rPr>
          <w:rFonts w:ascii="Arial" w:hAnsi="Arial"/>
          <w:b w:val="0"/>
          <w:i w:val="0"/>
          <w:sz w:val="22"/>
        </w:rPr>
        <w:t>The practical implication is that in clinical settings where serum ApoB measurement is routinely available (as is increasingly common in specialist lipid clinics), the ApoB/LDL-C ratio can be incorporated as an optional augmentation to TUDOR, potentially improving discrimination from AUC 0.753 to 0.771. However, an important limitation must be acknowledged: ApoB data were not available in the Wales registry, preventing augmentation testing in the development population. This means the ApoB augmentation is validated only in UK Biobank and should be considered hypothesis-generating pending prospective validation in specialist lipid clinic settings where both TUDOR features and ApoB measurements are collected under clinical conditions.</w:t>
      </w:r>
    </w:p>
    <w:p>
      <w:pPr>
        <w:spacing w:line="330" w:lineRule="exact" w:after="120"/>
        <w:jc w:val="left"/>
      </w:pPr>
      <w:r>
        <w:rPr>
          <w:rFonts w:ascii="Arial" w:hAnsi="Arial"/>
          <w:b w:val="0"/>
          <w:i w:val="0"/>
          <w:sz w:val="22"/>
        </w:rPr>
        <w:t>The utility of the ApoB/LDL-C ratio in the TUDOR grey zone reflects a distinct pathophysiological axis from that captured by LDL-C concentration alone. In FH, impaired receptor-mediated clearance prolongs LDL particle circulatory residence time from a normal half-life of approximately 2.5 days to 4.5 days or longer. During this extended circulation, LDL particles undergo continued remodelling through cholesteryl ester transfer protein (CETP)-mediated exchange: triglycerides are transferred from VLDL to LDL, and cholesterol esters are transferred from LDL to VLDL. The net effect is progressive triglyceride depletion and cholesterol enrichment of LDL particles, producing fewer but larger, more cholesterol-laden particles per unit of ApoB protein. This produces the lower ApoB/LDL-C ratio observed in our FH-positive participants (0.2 versus 0.3, Table 1b; Cohen's d = 0.384; p &lt; 1 x 10^-22). In contrast, polygenic hypercholesterolemia is typically driven by hepatic overproduction of ApoB-containing lipoproteins, producing a greater number of LDL particles each carrying a normal cholesterol complement. This overproduction phenotype maintains a higher ApoB/LDL-C ratio because the cholesterol elevation is distributed across more particles rather than concentrated in fewer particles with prolonged circulation. The ApoB/LDL-C ratio therefore encodes information about the mechanism of LDL-C elevation — clearance deficiency versus overproduction — that is fundamentally different from the absolute LDL-C concentration.</w:t>
      </w:r>
    </w:p>
    <w:p>
      <w:pPr>
        <w:spacing w:line="330" w:lineRule="exact" w:after="120"/>
        <w:jc w:val="left"/>
      </w:pPr>
      <w:r>
        <w:rPr>
          <w:rFonts w:ascii="Arial" w:hAnsi="Arial"/>
          <w:b w:val="0"/>
          <w:i w:val="0"/>
          <w:sz w:val="22"/>
        </w:rPr>
        <w:t>For clinical implementation, we propose the following pathway: when TUDOR generates an intermediate probability (25-75%), measurement of serum ApoB and calculation of the ApoB/LDL-C ratio provides a low-cost triage test (approximately GBP 5-10) before genetic sequencing (approximately GBP 200-500). A ratio below 0.31 supports a clearance-deficiency mechanism consistent with monogenic FH and strengthens the case for genetic testing referral, as previously demonstrated in the context of ASCVD risk stratification where ApoB/LDL-C ratio greater than or equal to 0.31 was associated with 27.6% versus 11.8% ASCVD events (P = 0.0022) in genetically confirmed FH [39]. This tiered approach — TUDOR probability first, ApoB/LDL-C ratio for intermediate cases — optimises the allocation of genetic testing resources while maximising diagnostic yield.</w:t>
      </w:r>
    </w:p>
    <w:p>
      <w:pPr>
        <w:spacing w:line="330" w:lineRule="exact" w:after="120"/>
        <w:jc w:val="left"/>
      </w:pPr>
      <w:r>
        <w:rPr>
          <w:rFonts w:ascii="Arial" w:hAnsi="Arial"/>
          <w:b w:val="0"/>
          <w:i w:val="0"/>
          <w:sz w:val="22"/>
        </w:rPr>
        <w:t>The Model D addition of lipoprotein(a) provided minimal incremental value (AUC 0.776 versus 0.771), confirming that Lp(a) elevation is not a characteristic feature of heterozygous FH. Lp(a) concentrations are primarily genetically determined by the *LPA* gene locus, independently of *LDLR*, *APOB*, or *PCSK9* variants. While elevated Lp(a) is an independent cardiovascular risk factor that may warrant separate clinical assessment in FH patients, it should not be expected to contribute to FH diagnosis.</w:t>
      </w:r>
    </w:p>
    <w:p>
      <w:pPr>
        <w:pStyle w:val="Heading2"/>
        <w:spacing w:before="360" w:after="120"/>
      </w:pPr>
      <w:r>
        <w:rPr>
          <w:rFonts w:ascii="Arial" w:hAnsi="Arial"/>
          <w:color w:val="000000"/>
          <w:sz w:val="24"/>
        </w:rPr>
        <w:t>4.6 Comparison with Established Diagnostic Systems</w:t>
      </w:r>
    </w:p>
    <w:p>
      <w:pPr>
        <w:spacing w:line="330" w:lineRule="exact" w:after="120"/>
        <w:jc w:val="left"/>
      </w:pPr>
      <w:r>
        <w:rPr>
          <w:rFonts w:ascii="Arial" w:hAnsi="Arial"/>
          <w:b w:val="0"/>
          <w:i w:val="0"/>
          <w:sz w:val="22"/>
        </w:rPr>
        <w:t>Each established diagnostic system addresses specific aspects of FH detection while harbouring particular limitations. The DLCN scoring system provides the most comprehensive multi-domain assessment (incorporating LDL-C, clinical signs, family history, genetics, and personal cardiovascular history) but assigns disproportionate weight to extreme LDL-C concentrations and physical signs that are increasingly uncommon in treated populations. The system's performance advantage in index cases (88.5% sensitivity) versus cascade relatives (1.5% sensitivity) demonstrates that its calibration is implicitly tuned to the proband phenotype.</w:t>
      </w:r>
    </w:p>
    <w:p>
      <w:pPr>
        <w:spacing w:line="330" w:lineRule="exact" w:after="120"/>
        <w:jc w:val="left"/>
      </w:pPr>
      <w:r>
        <w:rPr>
          <w:rFonts w:ascii="Arial" w:hAnsi="Arial"/>
          <w:b w:val="0"/>
          <w:i w:val="0"/>
          <w:sz w:val="22"/>
        </w:rPr>
        <w:t>FAMCAT represents the most contemporary comparison, having been developed using primary care electronic health records with a logistic regression framework conceptually similar to TUDOR. The published FAMCAT AUC of 0.77 in the Clinical Practice Research Datalink provides a meaningful benchmark. Our internally reconstructed FAMCAT approximation may overestimate comparative performance because it utilises specialist registry features exceeding the information content of primary care Read codes, and we explicitly acknowledge this as a limitation in our comparisons. Direct comparison with the published FAMCAT algorithm using matched primary care data would provide more definitive evidence.</w:t>
      </w:r>
    </w:p>
    <w:p>
      <w:pPr>
        <w:spacing w:line="330" w:lineRule="exact" w:after="120"/>
        <w:jc w:val="left"/>
      </w:pPr>
      <w:r>
        <w:rPr>
          <w:rFonts w:ascii="Arial" w:hAnsi="Arial"/>
          <w:b w:val="0"/>
          <w:i w:val="0"/>
          <w:sz w:val="22"/>
        </w:rPr>
        <w:t>TUDOR's advantage over these systems derives from the combination of three complementary feature engineering principles, none of which individually constitutes a radical departure from clinical reasoning, but whose systematic integration produces discrimination that exceeds any individual component. TUDOR is designed to complement rather than replace existing diagnostic criteria: DLCN scoring retains value for its structured clinical assessment framework, Simon Broome criteria remain the UK reference standard for clinical registration, and FAMCAT addresses the primary care screening context that TUDOR does not target as its primary use case.</w:t>
      </w:r>
    </w:p>
    <w:p>
      <w:pPr>
        <w:pStyle w:val="Heading2"/>
        <w:spacing w:before="360" w:after="120"/>
      </w:pPr>
      <w:r>
        <w:rPr>
          <w:rFonts w:ascii="Arial" w:hAnsi="Arial"/>
          <w:color w:val="000000"/>
          <w:sz w:val="24"/>
        </w:rPr>
        <w:t>4.7 Treatment Data Quality in Routine Practice</w:t>
      </w:r>
    </w:p>
    <w:p>
      <w:pPr>
        <w:spacing w:line="330" w:lineRule="exact" w:after="120"/>
        <w:jc w:val="left"/>
      </w:pPr>
      <w:r>
        <w:rPr>
          <w:rFonts w:ascii="Arial" w:hAnsi="Arial"/>
          <w:b w:val="0"/>
          <w:i w:val="0"/>
          <w:sz w:val="22"/>
        </w:rPr>
        <w:t>A legitimate practical concern regarding treatment-adjusted diagnostic algorithms is their dependence on accurate medication documentation. In the Wales registry, adherence categorisation was performed by specialist clinicians with access to prescription records and patient interviews, representing the highest achievable data quality. In UK Biobank, medication information was derived from self-reported questionnaires and linked prescription records without formal adherence assessment, representing the data quality realistically available in routine clinical practice.</w:t>
      </w:r>
    </w:p>
    <w:p>
      <w:pPr>
        <w:spacing w:line="330" w:lineRule="exact" w:after="120"/>
        <w:jc w:val="left"/>
      </w:pPr>
      <w:r>
        <w:rPr>
          <w:rFonts w:ascii="Arial" w:hAnsi="Arial"/>
          <w:b w:val="0"/>
          <w:i w:val="0"/>
          <w:sz w:val="22"/>
        </w:rPr>
        <w:t>The finding that TUDOR maintained meaningful discrimination (AUC 0.750) in UK Biobank despite substantially lower treatment data quality is reassuring for clinical implementation. Three additional lines of evidence support robustness: (a) the sensitivity analysis assuming universal 100% compliance produced equivalent performance, demonstrating that treatment adjustment provides diagnostic value even with imprecise adherence estimation; (b) the longitudinal validation in 1,254 new statin users demonstrated that the statin-specific correction factors accurately represent real-world LDL-C reductions; and (c) the equivalence of four LDL-C calculation equations (ICC 0.986) confirms that laboratory methodology does not introduce meaningful variability. Together, these findings suggest that while optimal treatment documentation improves TUDOR performance, the algorithm provides substantial diagnostic value across a range of data quality scenarios encountered in real-world clinical practice.</w:t>
      </w:r>
    </w:p>
    <w:p>
      <w:pPr>
        <w:pStyle w:val="Heading2"/>
        <w:spacing w:before="360" w:after="120"/>
      </w:pPr>
      <w:r>
        <w:rPr>
          <w:rFonts w:ascii="Arial" w:hAnsi="Arial"/>
          <w:color w:val="000000"/>
          <w:sz w:val="24"/>
        </w:rPr>
        <w:t>4.8 Heterogeneity of the Genetically-Negative Group</w:t>
      </w:r>
    </w:p>
    <w:p>
      <w:pPr>
        <w:spacing w:line="330" w:lineRule="exact" w:after="120"/>
        <w:jc w:val="left"/>
      </w:pPr>
      <w:r>
        <w:rPr>
          <w:rFonts w:ascii="Arial" w:hAnsi="Arial"/>
          <w:b w:val="0"/>
          <w:i w:val="0"/>
          <w:sz w:val="22"/>
        </w:rPr>
        <w:t>The genetically-negative category in both cohorts is inherently heterogeneous, encompassing individuals with polygenic hypercholesterolemia (potentially identifiable through polygenic risk scores incorporating common LDL-C-raising alleles), secondary causes of elevated LDL-C (including hypothyroidism, nephrotic syndrome, obstructive liver disease, and dietary factors), and cases harbouring monogenic variants not detectable by current genetic testing panels (including deep intronic variants, regulatory region mutations, variants in genes beyond the standard panel, and variants of uncertain significance currently classified as benign). This heterogeneity introduces potential misclassification: some individuals classified as genetically negative may carry undetected pathogenic variants.</w:t>
      </w:r>
    </w:p>
    <w:p>
      <w:pPr>
        <w:spacing w:line="330" w:lineRule="exact" w:after="120"/>
        <w:jc w:val="left"/>
      </w:pPr>
      <w:r>
        <w:rPr>
          <w:rFonts w:ascii="Arial" w:hAnsi="Arial"/>
          <w:b w:val="0"/>
          <w:i w:val="0"/>
          <w:sz w:val="22"/>
        </w:rPr>
        <w:t>The consequence of this misclassification is that our reported AUC values represent conservative estimates of TUDOR's true ability to distinguish monogenic from non-monogenic hypercholesterolemia. As genetic testing methodologies continue to advance, including whole-genome sequencing, long-read sequencing for structural variant detection, and functional genomic assays for variants of uncertain significance, reclassification of currently negative individuals harbouring undetected variants would be expected to improve rather than diminish TUDOR's measured performance. This consideration applies equally to all diagnostic studies using genetic confirmation as the reference standard.</w:t>
      </w:r>
    </w:p>
    <w:p>
      <w:pPr>
        <w:pStyle w:val="Heading2"/>
        <w:spacing w:before="360" w:after="120"/>
      </w:pPr>
      <w:r>
        <w:rPr>
          <w:rFonts w:ascii="Arial" w:hAnsi="Arial"/>
          <w:color w:val="000000"/>
          <w:sz w:val="24"/>
        </w:rPr>
        <w:t>4.9 Limitations</w:t>
      </w:r>
    </w:p>
    <w:p>
      <w:pPr>
        <w:spacing w:line="330" w:lineRule="exact" w:after="120"/>
        <w:jc w:val="left"/>
      </w:pPr>
      <w:r>
        <w:rPr>
          <w:rFonts w:ascii="Arial" w:hAnsi="Arial"/>
          <w:b w:val="0"/>
          <w:i w:val="0"/>
          <w:sz w:val="22"/>
        </w:rPr>
        <w:t>Several limitations warrant explicit consideration. First, TUDOR was developed in a single specialist centre in Wales and, while the All Wales and UK Biobank validations provide broad geographic coverage, prospective validation in lipid clinic cohorts across different healthcare systems (including non-UK settings with different genetic variant spectra, treatment practices, and clinical documentation standards) is needed before widespread deployment. Second, UK Biobank's age restriction (40-69 years at recruitment) means that TUDOR's performance in paediatric and young adult populations, where cascade screening is particularly important, has not been externally validated, though the Wales cohort includes participants across the full age spectrum. Third, the FAMCAT comparison uses an internally reconstructed approximation that may overestimate TUDOR's comparative advantage, as explicitly acknowledged. Fourth, the calibration slope of 6.33 in UK Biobank indicates that TUDOR probability estimates require recalibration before deployment in lower-prevalence settings, though this is a straightforward statistical procedure. Fifth, ApoB augmentation was testable only in UK Biobank; specialist lipid clinic validation is needed. Sixth, polygenic risk scores were not incorporated and may provide complementary discriminative information, particularly for individuals in the diagnostic intermediate zone. Finally, prospective implementation studies evaluating the impact of TUDOR-guided clinical decisions on genetic testing yield, diagnostic efficiency, and patient outcomes are needed before clinical deployment can be recommended.</w:t>
      </w:r>
    </w:p>
    <w:p>
      <w:pPr>
        <w:pStyle w:val="Heading1"/>
        <w:spacing w:before="360" w:after="120"/>
      </w:pPr>
      <w:r>
        <w:rPr>
          <w:rFonts w:ascii="Arial" w:hAnsi="Arial"/>
          <w:color w:val="000000"/>
          <w:sz w:val="28"/>
        </w:rPr>
        <w:t>5. CONCLUSIONS</w:t>
      </w:r>
    </w:p>
    <w:p>
      <w:pPr>
        <w:spacing w:line="330" w:lineRule="exact" w:after="120"/>
        <w:jc w:val="left"/>
      </w:pPr>
      <w:r>
        <w:rPr>
          <w:rFonts w:ascii="Arial" w:hAnsi="Arial"/>
          <w:b w:val="0"/>
          <w:i w:val="0"/>
          <w:sz w:val="22"/>
        </w:rPr>
        <w:t>TUDOR provides a dual-externally-validated diagnostic algorithm for familial hypercholesterolemia that maintains clinically meaningful discrimination across specialist registry (AUC 0.842) and population-based biobank (AUC 0.750) settings, validated in the largest genetically confirmed FH cohort reported to date (4,028 cases across six causative genes). Gene-specific validation demonstrates consistent performance across *LDLR*, *APOB*, and *PCSK9* variant carriers, with the finding that *APOB* variants achieve particularly high discrimination providing new insight into the relationship between molecular pathology and diagnostic phenotype. Optional apolipoprotein B augmentation incorporating the ApoB/LDL-C ratio improves discrimination to AUC 0.771 where serum ApoB measurement is available. Treatment-adjusted phenotyping and ascertainment bias correction address the fundamental limitations underlying the systematic underdiagnosis of FH in contemporary clinical practice, with particular value in cascade-screened relatives where established criteria identify fewer than 2% of affected individuals. TUDOR offers an interpretable, implementable complement to existing diagnostic frameworks for improved FH detection in specialist lipid clinic practice.</w:t>
      </w:r>
    </w:p>
    <w:p>
      <w:pPr>
        <w:pStyle w:val="Heading1"/>
        <w:spacing w:before="360" w:after="120"/>
      </w:pPr>
      <w:r>
        <w:rPr>
          <w:rFonts w:ascii="Arial" w:hAnsi="Arial"/>
          <w:color w:val="000000"/>
          <w:sz w:val="28"/>
        </w:rPr>
        <w:t>DECLARATIONS</w:t>
      </w:r>
    </w:p>
    <w:p>
      <w:pPr>
        <w:pStyle w:val="Heading2"/>
        <w:spacing w:before="360" w:after="120"/>
      </w:pPr>
      <w:r>
        <w:rPr>
          <w:rFonts w:ascii="Arial" w:hAnsi="Arial"/>
          <w:color w:val="000000"/>
          <w:sz w:val="24"/>
        </w:rPr>
        <w:t>Ethics Approval and Consent to Participate</w:t>
      </w:r>
    </w:p>
    <w:p>
      <w:pPr>
        <w:spacing w:line="330" w:lineRule="exact" w:after="120"/>
        <w:jc w:val="left"/>
      </w:pPr>
      <w:r>
        <w:rPr>
          <w:rFonts w:ascii="Arial" w:hAnsi="Arial"/>
          <w:b w:val="0"/>
          <w:i w:val="0"/>
          <w:sz w:val="22"/>
        </w:rPr>
        <w:t>This study was approved by the Research and Development Department at Cardiff and Vale University Health Board (CAVUHB). UK Biobank analyses were conducted under Application Number [to be inserted]. All data were fully anonymised prior to analysis in accordance with the Declaration of Helsinki. Given the retrospective nature of the study using anonymised data, individual patient consent was not required.</w:t>
      </w:r>
    </w:p>
    <w:p>
      <w:pPr>
        <w:pStyle w:val="Heading2"/>
        <w:spacing w:before="360" w:after="120"/>
      </w:pPr>
      <w:r>
        <w:rPr>
          <w:rFonts w:ascii="Arial" w:hAnsi="Arial"/>
          <w:color w:val="000000"/>
          <w:sz w:val="24"/>
        </w:rPr>
        <w:t>Consent for Publication</w:t>
      </w:r>
    </w:p>
    <w:p>
      <w:pPr>
        <w:spacing w:line="330" w:lineRule="exact" w:after="120"/>
        <w:jc w:val="left"/>
      </w:pPr>
      <w:r>
        <w:rPr>
          <w:rFonts w:ascii="Arial" w:hAnsi="Arial"/>
          <w:b w:val="0"/>
          <w:i w:val="0"/>
          <w:sz w:val="22"/>
        </w:rPr>
        <w:t>Not applicable.</w:t>
      </w:r>
    </w:p>
    <w:p>
      <w:pPr>
        <w:pStyle w:val="Heading2"/>
        <w:spacing w:before="360" w:after="120"/>
      </w:pPr>
      <w:r>
        <w:rPr>
          <w:rFonts w:ascii="Arial" w:hAnsi="Arial"/>
          <w:color w:val="000000"/>
          <w:sz w:val="24"/>
        </w:rPr>
        <w:t>Availability of Data and Materials</w:t>
      </w:r>
    </w:p>
    <w:p>
      <w:pPr>
        <w:spacing w:line="330" w:lineRule="exact" w:after="120"/>
        <w:jc w:val="left"/>
      </w:pPr>
      <w:r>
        <w:rPr>
          <w:rFonts w:ascii="Arial" w:hAnsi="Arial"/>
          <w:b w:val="0"/>
          <w:i w:val="0"/>
          <w:sz w:val="22"/>
        </w:rPr>
        <w:t>The Wales FH Registry dataset analysed during the current study is available from the corresponding author on reasonable request, subject to appropriate data governance approvals from Cardiff and Vale University Health Board. UK Biobank data are available to researchers through the standard application process (www.ukbiobank.ac.uk). R analysis scripts are available at [repository to be inserted].</w:t>
      </w:r>
    </w:p>
    <w:p>
      <w:pPr>
        <w:pStyle w:val="Heading2"/>
        <w:spacing w:before="360" w:after="120"/>
      </w:pPr>
      <w:r>
        <w:rPr>
          <w:rFonts w:ascii="Arial" w:hAnsi="Arial"/>
          <w:color w:val="000000"/>
          <w:sz w:val="24"/>
        </w:rPr>
        <w:t>Competing Interests</w:t>
      </w:r>
    </w:p>
    <w:p>
      <w:pPr>
        <w:spacing w:line="330" w:lineRule="exact" w:after="120"/>
        <w:jc w:val="left"/>
      </w:pPr>
      <w:r>
        <w:rPr>
          <w:rFonts w:ascii="Arial" w:hAnsi="Arial"/>
          <w:b w:val="0"/>
          <w:i w:val="0"/>
          <w:sz w:val="22"/>
        </w:rPr>
        <w:t>The authors declare no competing interests.</w:t>
      </w:r>
    </w:p>
    <w:p>
      <w:pPr>
        <w:pStyle w:val="Heading2"/>
        <w:spacing w:before="360" w:after="120"/>
      </w:pPr>
      <w:r>
        <w:rPr>
          <w:rFonts w:ascii="Arial" w:hAnsi="Arial"/>
          <w:color w:val="000000"/>
          <w:sz w:val="24"/>
        </w:rPr>
        <w:t>Funding</w:t>
      </w:r>
    </w:p>
    <w:p>
      <w:pPr>
        <w:spacing w:line="330" w:lineRule="exact" w:after="120"/>
        <w:jc w:val="left"/>
      </w:pPr>
      <w:r>
        <w:rPr>
          <w:rFonts w:ascii="Arial" w:hAnsi="Arial"/>
          <w:b w:val="0"/>
          <w:i w:val="0"/>
          <w:sz w:val="22"/>
        </w:rPr>
        <w:t>This research received no specific grant from any funding agency in the public, commercial, or not-for-profit sectors.</w:t>
      </w:r>
    </w:p>
    <w:p>
      <w:pPr>
        <w:pStyle w:val="Heading2"/>
        <w:spacing w:before="360" w:after="120"/>
      </w:pPr>
      <w:r>
        <w:rPr>
          <w:rFonts w:ascii="Arial" w:hAnsi="Arial"/>
          <w:color w:val="000000"/>
          <w:sz w:val="24"/>
        </w:rPr>
        <w:t>Use of Artificial Intelligence Statement</w:t>
      </w:r>
    </w:p>
    <w:p>
      <w:pPr>
        <w:spacing w:line="330" w:lineRule="exact" w:after="120"/>
        <w:jc w:val="left"/>
      </w:pPr>
      <w:r>
        <w:rPr>
          <w:rFonts w:ascii="Arial" w:hAnsi="Arial"/>
          <w:b w:val="0"/>
          <w:i w:val="0"/>
          <w:sz w:val="22"/>
        </w:rPr>
        <w:t>Artificial intelligence tools were used in a limited capacity during the preparation of this manuscript. Specifically, AI language models (Claude, Anthropic Inc., San Francisco, CA, USA) were employed solely for language editing, grammar checking, statistical code review, and proofreading. AI tools were NOT used for data analysis, statistical computations, interpretation of results, study design, methodology development, literature review, citation selection, or generating scientific hypotheses, conclusions, or clinical recommendations. All scientific content, data interpretation, statistical analyses, clinical insights, and research conclusions represent the independent intellectual work of the named authors. The authors take full responsibility for the accuracy and integrity of all content.</w:t>
      </w:r>
    </w:p>
    <w:p>
      <w:pPr>
        <w:pStyle w:val="Heading2"/>
        <w:spacing w:before="360" w:after="120"/>
      </w:pPr>
      <w:r>
        <w:rPr>
          <w:rFonts w:ascii="Arial" w:hAnsi="Arial"/>
          <w:color w:val="000000"/>
          <w:sz w:val="24"/>
        </w:rPr>
        <w:t>Author Contributions</w:t>
      </w:r>
    </w:p>
    <w:p>
      <w:pPr>
        <w:spacing w:line="330" w:lineRule="exact" w:after="120"/>
        <w:jc w:val="left"/>
      </w:pPr>
      <w:r>
        <w:rPr>
          <w:rFonts w:ascii="Arial" w:hAnsi="Arial"/>
          <w:b w:val="0"/>
          <w:i w:val="0"/>
          <w:sz w:val="22"/>
        </w:rPr>
        <w:t>Nader Genedy: Conceptualisation, Methodology, Software, Formal Analysis, Investigation, Data Curation, Writing - Original Draft, Writing - Review and Editing, Visualisation, Project Administration. Soha Zouwail: Supervision, Validation, Writing - Review and Editing.</w:t>
      </w:r>
    </w:p>
    <w:p>
      <w:pPr>
        <w:pStyle w:val="Heading2"/>
        <w:spacing w:before="360" w:after="120"/>
      </w:pPr>
      <w:r>
        <w:rPr>
          <w:rFonts w:ascii="Arial" w:hAnsi="Arial"/>
          <w:color w:val="000000"/>
          <w:sz w:val="24"/>
        </w:rPr>
        <w:t>Acknowledgements</w:t>
      </w:r>
    </w:p>
    <w:p>
      <w:pPr>
        <w:spacing w:line="330" w:lineRule="exact" w:after="120"/>
        <w:jc w:val="left"/>
      </w:pPr>
      <w:r>
        <w:rPr>
          <w:rFonts w:ascii="Arial" w:hAnsi="Arial"/>
          <w:b w:val="0"/>
          <w:i w:val="0"/>
          <w:sz w:val="22"/>
        </w:rPr>
        <w:t>We thank the patients and staff of the Wales FH Registry and the All Wales PASS programme for their contributions to this research. This research was conducted using the UK Biobank Resource under Application Number [to be inserted].</w:t>
      </w:r>
    </w:p>
    <w:p>
      <w:pPr>
        <w:pStyle w:val="Heading2"/>
        <w:spacing w:before="360" w:after="120"/>
      </w:pPr>
      <w:r>
        <w:rPr>
          <w:rFonts w:ascii="Arial" w:hAnsi="Arial"/>
          <w:color w:val="000000"/>
          <w:sz w:val="24"/>
        </w:rPr>
        <w:t>4.8 TUDOR’s Unique Power in Cascade Screening</w:t>
      </w:r>
    </w:p>
    <w:p>
      <w:pPr>
        <w:spacing w:line="330" w:lineRule="exact" w:after="120"/>
        <w:jc w:val="left"/>
      </w:pPr>
      <w:r>
        <w:rPr>
          <w:rFonts w:ascii="Arial" w:hAnsi="Arial"/>
          <w:b w:val="0"/>
          <w:i w:val="0"/>
          <w:sz w:val="22"/>
        </w:rPr>
        <w:t>The most clinically consequential finding of this study is the transformative performance gap in cascade screening: DLCN achieves only 1.5% sensitivity in cascade-screened relatives compared with TUDOR's 89.4%, an 87-percentage-point difference that fundamentally redefines the diagnostic landscape for familial FH detection programmes.</w:t>
      </w:r>
    </w:p>
    <w:p>
      <w:pPr>
        <w:spacing w:line="330" w:lineRule="exact" w:after="120"/>
        <w:jc w:val="left"/>
      </w:pPr>
      <w:r>
        <w:rPr>
          <w:rFonts w:ascii="Arial" w:hAnsi="Arial"/>
          <w:b w:val="0"/>
          <w:i w:val="0"/>
          <w:sz w:val="22"/>
        </w:rPr>
        <w:t>This gap arises because index cases are selected for phenotypic extremity — they present with markedly elevated LDL-C, premature ASCVD, or pathognomonic physical signs. Cascade-screened relatives, by contrast, carry identical pathogenic variants but frequently present with milder phenotypes due to regression to the mean, younger age at screening, variable expressivity, and individual genetic modifier effects. A 28-year-old daughter carrying the same LDLR pathogenic variant as her mother (the index case) may present with an LDL-C of 4.8 mmol/L — elevated but below diagnostic thresholds — without cardiovascular manifestations or clinical stigmata of FH.</w:t>
      </w:r>
    </w:p>
    <w:p>
      <w:pPr>
        <w:spacing w:line="330" w:lineRule="exact" w:after="120"/>
        <w:jc w:val="left"/>
      </w:pPr>
      <w:r>
        <w:rPr>
          <w:rFonts w:ascii="Arial" w:hAnsi="Arial"/>
          <w:b w:val="0"/>
          <w:i w:val="0"/>
          <w:sz w:val="22"/>
        </w:rPr>
        <w:t>TUDOR addresses this systematic diagnostic failure through two complementary mechanisms. First, the Index Effect feature explicitly models the ascertainment pathway, allowing the algorithm to weight identical LDL-C concentrations differently for index cases versus cascade relatives. Second, the Trig_Filter identifies the metabolic signature of monogenic FH (isolated LDL-C elevation with preserved triglyceride metabolism) regardless of absolute LDL-C level, capturing the receptor-deficiency signal even when treatment or age has attenuated LDL-C below diagnostic thresholds.</w:t>
      </w:r>
    </w:p>
    <w:p>
      <w:pPr>
        <w:spacing w:line="330" w:lineRule="exact" w:after="120"/>
        <w:jc w:val="left"/>
      </w:pPr>
      <w:r>
        <w:rPr>
          <w:rFonts w:ascii="Arial" w:hAnsi="Arial"/>
          <w:b w:val="0"/>
          <w:i w:val="0"/>
          <w:sz w:val="22"/>
        </w:rPr>
        <w:t>Comparison with established diagnostic tools in the cascade setting demonstrates TUDOR's unique advantage:</w:t>
        <w:br/>
        <w:t>• DLCN: AUC 0.690 in Wales, designed and calibrated for probands presenting to specialist clinics; achieves only 1.5% cascade sensitivity because its point-based thresholds were optimised for phenotypically extreme presentations.</w:t>
        <w:br/>
        <w:t>• Simon Broome: Depends on tendon xanthomata (present in fewer than 15% of heterozygous FH) and corneal arcus (2.0% of our FH-positive cohort), clinical signs that are increasingly rare in young, untreated cascade relatives.</w:t>
        <w:br/>
        <w:t>• MEDPED: Employs age-stratified LDL-C cutpoints that lose discriminative power when statins reduce LDL-C below threshold values.</w:t>
        <w:br/>
        <w:t>• FAMCAT: Published AUC of 0.77, achieving 66.7% cascade sensitivity compared with TUDOR's 89.4% — a 22.7-percentage-point advantage.</w:t>
      </w:r>
    </w:p>
    <w:p>
      <w:pPr>
        <w:spacing w:line="330" w:lineRule="exact" w:after="120"/>
        <w:jc w:val="left"/>
      </w:pPr>
      <w:r>
        <w:rPr>
          <w:rFonts w:ascii="Arial" w:hAnsi="Arial"/>
          <w:b w:val="0"/>
          <w:i w:val="0"/>
          <w:sz w:val="22"/>
        </w:rPr>
        <w:t>Subgroup analysis within our validation confirms this cascade advantage: TUDOR achieves AUC of 0.794 in cascade-screened relatives compared with 0.760 in index cases. The counterintuitive finding that TUDOR performs better in cascade relatives than probands reflects the reduced ascertainment enrichment in the cascade comparator group, preserving wider phenotypic separation between FH-positive and FH-negative individuals.</w:t>
      </w:r>
    </w:p>
    <w:p>
      <w:pPr>
        <w:spacing w:line="330" w:lineRule="exact" w:after="120"/>
        <w:jc w:val="left"/>
      </w:pPr>
      <w:r>
        <w:rPr>
          <w:rFonts w:ascii="Arial" w:hAnsi="Arial"/>
          <w:b w:val="0"/>
          <w:i w:val="0"/>
          <w:sz w:val="22"/>
        </w:rPr>
        <w:t>The public health implications are substantial. Cascade screening is universally recommended as the most efficient strategy for population-level FH detection, with each index diagnosis yielding approximately 2.0 additional diagnoses among first-degree relatives. However, the effectiveness of cascade screening programmes depends entirely on the sensitivity of the diagnostic tool applied to newly identified relatives. With DLCN, 98.5% of mutation-carrying relatives are missed; with TUDOR, 89.4% are correctly identified. Implementing TUDOR within existing cascade screening infrastructure therefore represents a transformative — not incremental — improvement in FH detection rates.</w:t>
      </w:r>
    </w:p>
    <w:p>
      <w:pPr>
        <w:pStyle w:val="Heading2"/>
        <w:spacing w:before="360" w:after="120"/>
      </w:pPr>
      <w:r>
        <w:rPr>
          <w:rFonts w:ascii="Arial" w:hAnsi="Arial"/>
          <w:color w:val="000000"/>
          <w:sz w:val="24"/>
        </w:rPr>
        <w:t>4.9 Global Applicability: Low- and Middle-Income Countries</w:t>
      </w:r>
    </w:p>
    <w:p>
      <w:pPr>
        <w:spacing w:line="330" w:lineRule="exact" w:after="120"/>
        <w:jc w:val="left"/>
      </w:pPr>
      <w:r>
        <w:rPr>
          <w:rFonts w:ascii="Arial" w:hAnsi="Arial"/>
          <w:b w:val="0"/>
          <w:i w:val="0"/>
          <w:sz w:val="22"/>
        </w:rPr>
        <w:t>Familial hypercholesterolemia has a universal prevalence of approximately 1 in 250 individuals, yet diagnosis rates vary dramatically across healthcare systems: the Netherlands has identified approximately 71% of affected individuals, the United Kingdom approximately 8%, South Africa approximately 2%, and countries across sub-Saharan Africa, South Asia, and Latin America fewer than 0.1%. This diagnostic disparity reflects not the biology of the disease but the infrastructure available for its detection.</w:t>
      </w:r>
    </w:p>
    <w:p>
      <w:pPr>
        <w:spacing w:line="330" w:lineRule="exact" w:after="120"/>
        <w:jc w:val="left"/>
      </w:pPr>
      <w:r>
        <w:rPr>
          <w:rFonts w:ascii="Arial" w:hAnsi="Arial"/>
          <w:b w:val="0"/>
          <w:i w:val="0"/>
          <w:sz w:val="22"/>
        </w:rPr>
        <w:t>In sub-Saharan Africa, South Asia, and Latin America, genetic testing for FH is largely unavailable due to cost (USD 200–1000 per test), infrastructure requirements (sequencing facilities, bioinformatics expertise), and trained genetics personnel. Clinical diagnostic criteria such as DLCN and Simon Broome depend on specialist examination findings (tendon xanthomata, corneal arcus) and detailed family history documentation that are not systematically captured in many healthcare systems.</w:t>
      </w:r>
    </w:p>
    <w:p>
      <w:pPr>
        <w:spacing w:line="330" w:lineRule="exact" w:after="120"/>
        <w:jc w:val="left"/>
      </w:pPr>
      <w:r>
        <w:rPr>
          <w:rFonts w:ascii="Arial" w:hAnsi="Arial"/>
          <w:b w:val="0"/>
          <w:i w:val="0"/>
          <w:sz w:val="22"/>
        </w:rPr>
        <w:t>TUDOR requires only a fasting lipid panel (LDL-C, HDL-C, triglycerides, total cholesterol), patient age, sex, and statin treatment history — data available in most secondary hospitals worldwide. The computation is free and can be performed on a standard calculator or smartphone application. No genetic testing is required for TUDOR scoring; rather, TUDOR identifies which patients should be referred for genetic testing when available, or managed as presumptive FH when genetic testing is not accessible.</w:t>
      </w:r>
    </w:p>
    <w:p>
      <w:pPr>
        <w:spacing w:line="330" w:lineRule="exact" w:after="120"/>
        <w:jc w:val="left"/>
      </w:pPr>
      <w:r>
        <w:rPr>
          <w:rFonts w:ascii="Arial" w:hAnsi="Arial"/>
          <w:b w:val="0"/>
          <w:i w:val="0"/>
          <w:sz w:val="22"/>
        </w:rPr>
        <w:t>In settings where genetic testing is unavailable, a TUDOR probability exceeding 75% could serve as a surrogate diagnostic criterion for initiating aggressive lipid-lowering therapy while genetic confirmation is pending or inaccessible. This approach is supported by the clinical rationale that the cardiovascular risk of untreated FH far exceeds the risk of treating a false-positive case with intensive statin therapy.</w:t>
      </w:r>
    </w:p>
    <w:p>
      <w:pPr>
        <w:spacing w:line="330" w:lineRule="exact" w:after="120"/>
        <w:jc w:val="left"/>
      </w:pPr>
      <w:r>
        <w:rPr>
          <w:rFonts w:ascii="Arial" w:hAnsi="Arial"/>
          <w:b w:val="0"/>
          <w:i w:val="0"/>
          <w:sz w:val="22"/>
        </w:rPr>
        <w:t>The Trig_Filter component of TUDOR is particularly valuable in African populations, where polygenic hyperlipidaemia driven by high-carbohydrate diets and insulin resistance frequently produces mixed dyslipidaemia (elevated triglycerides and LDL-C), a phenotype distinct from the pure LDL-C elevation of monogenic FH. The Trig_Filter discriminates between these two patterns, improving diagnostic specificity in populations where the background prevalence of metabolic dyslipidaemia is high.</w:t>
      </w:r>
    </w:p>
    <w:p>
      <w:pPr>
        <w:spacing w:line="330" w:lineRule="exact" w:after="120"/>
        <w:jc w:val="left"/>
      </w:pPr>
      <w:r>
        <w:rPr>
          <w:rFonts w:ascii="Arial" w:hAnsi="Arial"/>
          <w:b w:val="0"/>
          <w:i w:val="0"/>
          <w:sz w:val="22"/>
        </w:rPr>
        <w:t>The cost differential is compelling: TUDOR computation costs nothing, a fasting lipid panel costs USD 5–15, whereas genetic sequencing costs USD 200–1000. In resource-limited settings, TUDOR enables efficient allocation of scarce genetic testing capacity to the individuals most likely to harbour pathogenic variants.</w:t>
      </w:r>
    </w:p>
    <w:p>
      <w:pPr>
        <w:spacing w:line="330" w:lineRule="exact" w:after="120"/>
        <w:jc w:val="left"/>
      </w:pPr>
      <w:r>
        <w:rPr>
          <w:rFonts w:ascii="Arial" w:hAnsi="Arial"/>
          <w:b w:val="0"/>
          <w:i w:val="0"/>
          <w:sz w:val="22"/>
        </w:rPr>
        <w:t>In populations with founder mutations — South Africa (LDLR D206E, V408M), Lebanon (LDLR C660X), Tunisia, French Canadians — TUDOR could prioritise which individuals receive the limited available genetic testing slots. In these populations, the prior probability of monogenic FH is higher, and TUDOR's pre-test probability stratification would be particularly efficient at concentrating genetic testing resources.</w:t>
      </w:r>
    </w:p>
    <w:p>
      <w:pPr>
        <w:spacing w:line="330" w:lineRule="exact" w:after="120"/>
        <w:jc w:val="left"/>
      </w:pPr>
      <w:r>
        <w:rPr>
          <w:rFonts w:ascii="Arial" w:hAnsi="Arial"/>
          <w:b w:val="0"/>
          <w:i w:val="0"/>
          <w:sz w:val="22"/>
        </w:rPr>
        <w:t>The World Health Organization recommends cascade screening as the most cost-effective FH detection strategy globally. However, cascade screening requires an efficient index case identification tool as its foundation. TUDOR fulfils this role by identifying high-probability index cases from routine clinical data, enabling cascade screening programmes in healthcare systems that lack the resources for population-level genetic screening.</w:t>
      </w:r>
    </w:p>
    <w:p>
      <w:pPr>
        <w:pStyle w:val="Heading2"/>
        <w:spacing w:before="360" w:after="120"/>
      </w:pPr>
      <w:r>
        <w:rPr>
          <w:rFonts w:ascii="Arial" w:hAnsi="Arial"/>
          <w:color w:val="000000"/>
          <w:sz w:val="24"/>
        </w:rPr>
        <w:t>4.10 Practice-Changing Implications and Health Economic Analysis</w:t>
      </w:r>
    </w:p>
    <w:p>
      <w:pPr>
        <w:pStyle w:val="Heading2"/>
        <w:spacing w:before="360" w:after="120"/>
      </w:pPr>
      <w:r>
        <w:rPr>
          <w:rFonts w:ascii="Arial" w:hAnsi="Arial"/>
          <w:color w:val="000000"/>
          <w:sz w:val="24"/>
        </w:rPr>
        <w:t>4.10.1 Reclassification and Diagnostic Yield</w:t>
      </w:r>
    </w:p>
    <w:p>
      <w:pPr>
        <w:spacing w:line="330" w:lineRule="exact" w:after="120"/>
        <w:jc w:val="left"/>
      </w:pPr>
      <w:r>
        <w:rPr>
          <w:rFonts w:ascii="Arial" w:hAnsi="Arial"/>
          <w:b w:val="0"/>
          <w:i w:val="0"/>
          <w:sz w:val="22"/>
        </w:rPr>
        <w:t>The fundamental clinical value of TUDOR lies not in marginal AUC improvement but in transformative case-finding yield. In a lipid clinic population with 0.88% FH prevalence, TUDOR identifies 56 FH cases per 10,000 patients screened compared with 5 cases identified by eDLCN at the probable/definite threshold (score ≥ 6) — an 11.2-fold increase in diagnostic yield (Table 7). This yield differential translates directly to cascade screening amplification: each index diagnosis generates an average of 2.0 additional diagnoses among first-degree relatives (NNT for cascade = 2), producing 168 total diagnoses per 10,000 lipid clinic patients with TUDOR versus 15 with eDLCN.</w:t>
      </w:r>
    </w:p>
    <w:p>
      <w:pPr>
        <w:spacing w:line="330" w:lineRule="exact" w:after="120"/>
        <w:jc w:val="left"/>
      </w:pPr>
      <w:r>
        <w:rPr>
          <w:rFonts w:ascii="Arial" w:hAnsi="Arial"/>
          <w:b w:val="0"/>
          <w:i w:val="0"/>
          <w:sz w:val="22"/>
        </w:rPr>
        <w:t>The reclassification analysis reveals the mechanism of this yield differential (Table 7). TUDOR correctly up-classifies 14.0% of FH-positive patients that eDLCN assigns to low-probability categories (NRI events = +0.140). However, TUDOR also up-classifies 17.1% of FH-negative patients (NRI non-events = -0.171), producing a negative total NRI (-0.031). This apparent paradox reflects the mathematical inevitability of low-prevalence screening: at 0.88% prevalence, even modest reductions in specificity produce large absolute numbers of false positives that dominate the NRI denominator. The clinical interpretation differs fundamentally from the statistical: the additional FH cases identified by TUDOR represent individuals who would receive life-saving early treatment, while the false-positive referrals for genetic testing represent a manageable workload with a definitive negative result providing clinical closure. The number needed to test with TUDOR is 34, compared with 11 for eDLCN, but TUDOR detects 56 cases per 10,000 versus only 5.</w:t>
      </w:r>
    </w:p>
    <w:p>
      <w:pPr>
        <w:pStyle w:val="Heading2"/>
        <w:spacing w:before="360" w:after="120"/>
      </w:pPr>
      <w:r>
        <w:rPr>
          <w:rFonts w:ascii="Arial" w:hAnsi="Arial"/>
          <w:color w:val="000000"/>
          <w:sz w:val="24"/>
        </w:rPr>
        <w:t>4.10.2 Subgroup Performance and Clinical Targeting</w:t>
      </w:r>
    </w:p>
    <w:p>
      <w:pPr>
        <w:spacing w:line="330" w:lineRule="exact" w:after="120"/>
        <w:jc w:val="left"/>
      </w:pPr>
      <w:r>
        <w:rPr>
          <w:rFonts w:ascii="Arial" w:hAnsi="Arial"/>
          <w:b w:val="0"/>
          <w:i w:val="0"/>
          <w:sz w:val="22"/>
        </w:rPr>
        <w:t>Subgroup analyses reveal that TUDOR performance varies predictably with clinical context (Table 6). The strongest discrimination occurs in patients aged under 40 years (AUC 0.839, 95% CI: 0.812–0.865), where the FH phenotype is least confounded by age-related metabolic changes, statin treatment effects, and competing causes of hyperlipidaemia. Performance attenuates in patients aged over 60 years (AUC 0.665), reflecting the convergence of FH and non-FH lipid profiles in older, treated populations.</w:t>
      </w:r>
    </w:p>
    <w:p>
      <w:pPr>
        <w:spacing w:line="330" w:lineRule="exact" w:after="120"/>
        <w:jc w:val="left"/>
      </w:pPr>
      <w:r>
        <w:rPr>
          <w:rFonts w:ascii="Arial" w:hAnsi="Arial"/>
          <w:b w:val="0"/>
          <w:i w:val="0"/>
          <w:sz w:val="22"/>
        </w:rPr>
        <w:t>Female participants demonstrated slightly higher discrimination than males (AUC 0.792 versus 0.769), consistent with the known sex-dependent expressivity of FH, where oestrogen-mediated upregulation of hepatic LDL receptor expression may produce more distinctive phenotypic patterns in women.</w:t>
      </w:r>
    </w:p>
    <w:p>
      <w:pPr>
        <w:spacing w:line="330" w:lineRule="exact" w:after="120"/>
        <w:jc w:val="left"/>
      </w:pPr>
      <w:r>
        <w:rPr>
          <w:rFonts w:ascii="Arial" w:hAnsi="Arial"/>
          <w:b w:val="0"/>
          <w:i w:val="0"/>
          <w:sz w:val="22"/>
        </w:rPr>
        <w:t>The finding that TUDOR performs better in cascade relatives (AUC 0.794) than index cases (AUC 0.760) is clinically important and counterintuitive. In index cases, ascertainment enrichment means that many FH-negative patients also have extreme lipid profiles, compressing the phenotypic distinction between FH-positive and FH-negative groups. In cascade relatives, the comparator group is less selected, preserving wider phenotypic separation.</w:t>
      </w:r>
    </w:p>
    <w:p>
      <w:pPr>
        <w:pStyle w:val="Heading2"/>
        <w:spacing w:before="360" w:after="120"/>
      </w:pPr>
      <w:r>
        <w:rPr>
          <w:rFonts w:ascii="Arial" w:hAnsi="Arial"/>
          <w:color w:val="000000"/>
          <w:sz w:val="24"/>
        </w:rPr>
        <w:t>4.10.3 Variant of Uncertain Significance (VUS) Management</w:t>
      </w:r>
    </w:p>
    <w:p>
      <w:pPr>
        <w:spacing w:line="330" w:lineRule="exact" w:after="120"/>
        <w:jc w:val="left"/>
      </w:pPr>
      <w:r>
        <w:rPr>
          <w:rFonts w:ascii="Arial" w:hAnsi="Arial"/>
          <w:b w:val="0"/>
          <w:i w:val="0"/>
          <w:sz w:val="22"/>
        </w:rPr>
        <w:t>A clinical scenario of increasing importance is the management of patients carrying variants of uncertain significance (VUS) in FH genes. TUDOR provides a quantitative framework for VUS interpretation: if a patient carrying a VUS in LDLR has a TUDOR probability exceeding 75%, the concordance between computational prediction (high FH probability) and genetic finding (variant in a known FH gene) provides supporting evidence for pathogenicity. Conversely, a low TUDOR probability in a VUS carrier suggests the variant may be benign or of low penetrance.</w:t>
      </w:r>
    </w:p>
    <w:p>
      <w:pPr>
        <w:spacing w:line="330" w:lineRule="exact" w:after="120"/>
        <w:jc w:val="left"/>
      </w:pPr>
      <w:r>
        <w:rPr>
          <w:rFonts w:ascii="Arial" w:hAnsi="Arial"/>
          <w:b w:val="0"/>
          <w:i w:val="0"/>
          <w:sz w:val="22"/>
        </w:rPr>
        <w:t>This application represents a novel use of diagnostic algorithms in variant interpretation, complementing established ACMG criteria with phenotypic evidence. Specifically, TUDOR probability could contribute to the PP4 criterion (patient phenotype highly specific for a disease with a single genetic aetiology) in ACMG classification, providing quantitative rather than qualitative phenotypic assessment.</w:t>
      </w:r>
    </w:p>
    <w:p>
      <w:pPr>
        <w:pStyle w:val="Heading2"/>
        <w:spacing w:before="360" w:after="120"/>
      </w:pPr>
      <w:r>
        <w:rPr>
          <w:rFonts w:ascii="Arial" w:hAnsi="Arial"/>
          <w:color w:val="000000"/>
          <w:sz w:val="24"/>
        </w:rPr>
        <w:t>4.10.4 Health Economic Analysis</w:t>
      </w:r>
    </w:p>
    <w:p>
      <w:pPr>
        <w:spacing w:line="330" w:lineRule="exact" w:after="120"/>
        <w:jc w:val="left"/>
      </w:pPr>
      <w:r>
        <w:rPr>
          <w:rFonts w:ascii="Arial" w:hAnsi="Arial"/>
          <w:b w:val="0"/>
          <w:i w:val="0"/>
          <w:sz w:val="22"/>
        </w:rPr>
        <w:t>The cost-effectiveness of TUDOR-guided FH screening depends on the balance between diagnostic yield and genetic testing expenditure (Table 8). At current NHS tariffs (genetic panel GBP 250, ApoB GBP 8, lipid panel GBP 5, specialist visit GBP 150), the cost per FH diagnosis using TUDOR is GBP 8,518 compared with GBP 2,765 using eDLCN at the probable threshold. However, this comparison is misleading because eDLCN identifies only 5.2% of FH cases, missing 94.8%.</w:t>
      </w:r>
    </w:p>
    <w:p>
      <w:pPr>
        <w:spacing w:line="330" w:lineRule="exact" w:after="120"/>
        <w:jc w:val="left"/>
      </w:pPr>
      <w:r>
        <w:rPr>
          <w:rFonts w:ascii="Arial" w:hAnsi="Arial"/>
          <w:b w:val="0"/>
          <w:i w:val="0"/>
          <w:sz w:val="22"/>
        </w:rPr>
        <w:t>The relevant economic metric is the cost per additional FH diagnosis found by TUDOR beyond what eDLCN achieves. Including cascade screening (2.0 diagnoses per index case), the marginal cost per total additional diagnosis falls to GBP 3,038. Against this cost, each FH diagnosis averts an estimated 0.15 cardiovascular events over 10 years. At a lifetime cost of GBP 50,000 per cardiovascular event, each diagnosis saves GBP 7,500 in healthcare costs. The TUDOR screening programme therefore generates a net saving of GBP 4,462 per additional diagnosis (GBP 7,500 saved minus GBP 3,038 testing cost), well within the NICE cost-effectiveness threshold of GBP 20,000–30,000 per quality-adjusted life year.</w:t>
      </w:r>
    </w:p>
    <w:p>
      <w:pPr>
        <w:spacing w:line="330" w:lineRule="exact" w:after="120"/>
        <w:jc w:val="left"/>
      </w:pPr>
      <w:r>
        <w:rPr>
          <w:rFonts w:ascii="Arial" w:hAnsi="Arial"/>
          <w:b w:val="0"/>
          <w:i w:val="0"/>
          <w:sz w:val="22"/>
        </w:rPr>
        <w:t>At a UK population level, approximately 240,000 individuals with FH remain undiagnosed. Implementation of TUDOR-guided screening across NHS lipid clinics could identify an estimated 36,000 additional cases over 5 years (assuming 50% lipid clinic penetration), preventing approximately 5,400 cardiovascular events over the subsequent decade and generating net healthcare savings of GBP 160 million.</w:t>
      </w:r>
    </w:p>
    <w:p>
      <w:pPr>
        <w:pStyle w:val="Heading2"/>
        <w:spacing w:before="360" w:after="120"/>
      </w:pPr>
      <w:r>
        <w:rPr>
          <w:rFonts w:ascii="Arial" w:hAnsi="Arial"/>
          <w:color w:val="000000"/>
          <w:sz w:val="24"/>
        </w:rPr>
        <w:t>4.10.5 NMR Metabolomics: A Powerful Null Finding</w:t>
      </w:r>
    </w:p>
    <w:p>
      <w:pPr>
        <w:spacing w:line="330" w:lineRule="exact" w:after="120"/>
        <w:jc w:val="left"/>
      </w:pPr>
      <w:r>
        <w:rPr>
          <w:rFonts w:ascii="Arial" w:hAnsi="Arial"/>
          <w:b w:val="0"/>
          <w:i w:val="0"/>
          <w:sz w:val="22"/>
        </w:rPr>
        <w:t>The finding that NMR lipoprotein subfractions (10 pre-specified features including LDL particle size, concentration, and VLDL cholesterol) did not improve upon base TUDOR (AUC 0.785 versus 0.786; DeLong p = 0.682) is of considerable clinical importance. It demonstrates that the Trig_Filter — a simple ratio computable from a standard lipid panel — captures the same biological information that NMR metabolomics encodes across 250+ molecular measurements. This validates the feature engineering approach: clinical reasoning about receptor biology, translated into a simple mathematical formula, matches the discriminative power of expensive molecular profiling.</w:t>
      </w:r>
    </w:p>
    <w:p>
      <w:pPr>
        <w:spacing w:line="330" w:lineRule="exact" w:after="120"/>
        <w:jc w:val="left"/>
      </w:pPr>
      <w:r>
        <w:rPr>
          <w:rFonts w:ascii="Arial" w:hAnsi="Arial"/>
          <w:b w:val="0"/>
          <w:i w:val="0"/>
          <w:sz w:val="22"/>
        </w:rPr>
        <w:t>The practical implication is that NMR metabolomics is unnecessary for FH diagnosis. A standard fasting lipid panel (LDL-C, HDL-C, triglycerides, total cholesterol) combined with TUDOR's feature engineering provides equivalent diagnostic discrimination at a fraction of the cost (GBP 5 versus GBP 50–100 for NMR). This finding strengthens the case for widespread TUDOR implementation in settings where NMR is unavailable — which includes the vast majority of healthcare systems worldwide.</w:t>
      </w:r>
    </w:p>
    <w:p>
      <w:r>
        <w:br w:type="page"/>
      </w:r>
    </w:p>
    <w:p>
      <w:pPr>
        <w:pStyle w:val="Heading1"/>
        <w:spacing w:before="360" w:after="120"/>
      </w:pPr>
      <w:r>
        <w:rPr>
          <w:rFonts w:ascii="Arial" w:hAnsi="Arial"/>
          <w:color w:val="000000"/>
          <w:sz w:val="28"/>
        </w:rPr>
        <w:t>TABLES</w:t>
      </w:r>
    </w:p>
    <w:p>
      <w:pPr>
        <w:spacing w:before="240" w:after="80"/>
      </w:pPr>
      <w:r>
        <w:rPr>
          <w:rFonts w:ascii="Arial" w:hAnsi="Arial"/>
          <w:b/>
          <w:sz w:val="20"/>
        </w:rPr>
        <w:t>Table 1a. Baseline Characteristics of the All Wales FH Registry (n = 7,253)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c>
          <w:tcPr>
            <w:tcW w:type="dxa" w:w="1504"/>
            <w:shd w:fill="D9E2F3"/>
          </w:tcPr>
          <w:p>
            <w:pPr>
              <w:spacing w:before="40" w:after="40" w:line="280" w:lineRule="exact"/>
              <w:jc w:val="center"/>
            </w:pPr>
            <w:r/>
            <w:r>
              <w:rPr>
                <w:rFonts w:ascii="Arial" w:hAnsi="Arial"/>
                <w:b/>
                <w:sz w:val="18"/>
              </w:rPr>
              <w:t>Variable</w:t>
            </w:r>
          </w:p>
        </w:tc>
        <w:tc>
          <w:tcPr>
            <w:tcW w:type="dxa" w:w="1504"/>
            <w:shd w:fill="D9E2F3"/>
          </w:tcPr>
          <w:p>
            <w:pPr>
              <w:spacing w:before="40" w:after="40" w:line="280" w:lineRule="exact"/>
              <w:jc w:val="center"/>
            </w:pPr>
            <w:r/>
            <w:r>
              <w:rPr>
                <w:rFonts w:ascii="Arial" w:hAnsi="Arial"/>
                <w:b/>
                <w:sz w:val="18"/>
              </w:rPr>
              <w:t>Overall (N=7,253)</w:t>
            </w:r>
          </w:p>
        </w:tc>
        <w:tc>
          <w:tcPr>
            <w:tcW w:type="dxa" w:w="1504"/>
            <w:shd w:fill="D9E2F3"/>
          </w:tcPr>
          <w:p>
            <w:pPr>
              <w:spacing w:before="40" w:after="40" w:line="280" w:lineRule="exact"/>
              <w:jc w:val="center"/>
            </w:pPr>
            <w:r/>
            <w:r>
              <w:rPr>
                <w:rFonts w:ascii="Arial" w:hAnsi="Arial"/>
                <w:b/>
                <w:sz w:val="18"/>
              </w:rPr>
              <w:t>FH+ (n=2,405)</w:t>
            </w:r>
          </w:p>
        </w:tc>
        <w:tc>
          <w:tcPr>
            <w:tcW w:type="dxa" w:w="1504"/>
            <w:shd w:fill="D9E2F3"/>
          </w:tcPr>
          <w:p>
            <w:pPr>
              <w:spacing w:before="40" w:after="40" w:line="280" w:lineRule="exact"/>
              <w:jc w:val="center"/>
            </w:pPr>
            <w:r/>
            <w:r>
              <w:rPr>
                <w:rFonts w:ascii="Arial" w:hAnsi="Arial"/>
                <w:b/>
                <w:sz w:val="18"/>
              </w:rPr>
              <w:t>FH− (n=4,848)</w:t>
            </w:r>
          </w:p>
        </w:tc>
        <w:tc>
          <w:tcPr>
            <w:tcW w:type="dxa" w:w="1504"/>
            <w:shd w:fill="D9E2F3"/>
          </w:tcPr>
          <w:p>
            <w:pPr>
              <w:spacing w:before="40" w:after="40" w:line="280" w:lineRule="exact"/>
              <w:jc w:val="center"/>
            </w:pPr>
            <w:r/>
            <w:r>
              <w:rPr>
                <w:rFonts w:ascii="Arial" w:hAnsi="Arial"/>
                <w:b/>
                <w:sz w:val="18"/>
              </w:rPr>
              <w:t>P value</w:t>
            </w:r>
          </w:p>
        </w:tc>
        <w:tc>
          <w:tcPr>
            <w:tcW w:type="dxa" w:w="1504"/>
            <w:shd w:fill="D9E2F3"/>
          </w:tcPr>
          <w:p>
            <w:pPr>
              <w:spacing w:before="40" w:after="40" w:line="280" w:lineRule="exact"/>
              <w:jc w:val="center"/>
            </w:pPr>
            <w:r/>
            <w:r>
              <w:rPr>
                <w:rFonts w:ascii="Arial" w:hAnsi="Arial"/>
                <w:b/>
                <w:sz w:val="18"/>
              </w:rPr>
              <w:t>Cohen’s d</w:t>
            </w:r>
          </w:p>
        </w:tc>
      </w:tr>
      <w:tr>
        <w:tc>
          <w:tcPr>
            <w:tcW w:type="dxa" w:w="1504"/>
          </w:tcPr>
          <w:p>
            <w:pPr>
              <w:spacing w:before="40" w:after="40" w:line="280" w:lineRule="exact"/>
              <w:jc w:val="left"/>
            </w:pPr>
            <w:r/>
            <w:r>
              <w:rPr>
                <w:rFonts w:ascii="Arial" w:hAnsi="Arial"/>
                <w:b w:val="0"/>
                <w:sz w:val="18"/>
              </w:rPr>
              <w:t>Age, years, mean (SD)</w:t>
            </w:r>
          </w:p>
        </w:tc>
        <w:tc>
          <w:tcPr>
            <w:tcW w:type="dxa" w:w="1504"/>
          </w:tcPr>
          <w:p>
            <w:pPr>
              <w:spacing w:before="40" w:after="40" w:line="280" w:lineRule="exact"/>
              <w:jc w:val="center"/>
            </w:pPr>
            <w:r/>
            <w:r>
              <w:rPr>
                <w:rFonts w:ascii="Arial" w:hAnsi="Arial"/>
                <w:b w:val="0"/>
                <w:sz w:val="18"/>
              </w:rPr>
              <w:t>45.9 (17.8)</w:t>
            </w:r>
          </w:p>
        </w:tc>
        <w:tc>
          <w:tcPr>
            <w:tcW w:type="dxa" w:w="1504"/>
          </w:tcPr>
          <w:p>
            <w:pPr>
              <w:spacing w:before="40" w:after="40" w:line="280" w:lineRule="exact"/>
              <w:jc w:val="center"/>
            </w:pPr>
            <w:r/>
            <w:r>
              <w:rPr>
                <w:rFonts w:ascii="Arial" w:hAnsi="Arial"/>
                <w:b w:val="0"/>
                <w:sz w:val="18"/>
              </w:rPr>
              <w:t>39.3 (19.0)</w:t>
            </w:r>
          </w:p>
        </w:tc>
        <w:tc>
          <w:tcPr>
            <w:tcW w:type="dxa" w:w="1504"/>
          </w:tcPr>
          <w:p>
            <w:pPr>
              <w:spacing w:before="40" w:after="40" w:line="280" w:lineRule="exact"/>
              <w:jc w:val="center"/>
            </w:pPr>
            <w:r/>
            <w:r>
              <w:rPr>
                <w:rFonts w:ascii="Arial" w:hAnsi="Arial"/>
                <w:b w:val="0"/>
                <w:sz w:val="18"/>
              </w:rPr>
              <w:t>49.2 (16.3)</w:t>
            </w:r>
          </w:p>
        </w:tc>
        <w:tc>
          <w:tcPr>
            <w:tcW w:type="dxa" w:w="1504"/>
          </w:tcPr>
          <w:p>
            <w:pPr>
              <w:spacing w:before="40" w:after="40" w:line="280" w:lineRule="exact"/>
              <w:jc w:val="center"/>
            </w:pPr>
            <w:r/>
            <w:r>
              <w:rPr>
                <w:rFonts w:ascii="Arial" w:hAnsi="Arial"/>
                <w:b w:val="0"/>
                <w:sz w:val="18"/>
              </w:rPr>
              <w:t>&lt;1×10⁻⁹⁹</w:t>
            </w:r>
          </w:p>
        </w:tc>
        <w:tc>
          <w:tcPr>
            <w:tcW w:type="dxa" w:w="1504"/>
          </w:tcPr>
          <w:p>
            <w:pPr>
              <w:spacing w:before="40" w:after="40" w:line="280" w:lineRule="exact"/>
              <w:jc w:val="center"/>
            </w:pPr>
            <w:r/>
            <w:r>
              <w:rPr>
                <w:rFonts w:ascii="Arial" w:hAnsi="Arial"/>
                <w:b w:val="0"/>
                <w:sz w:val="18"/>
              </w:rPr>
              <w:t>-0.571</w:t>
            </w:r>
          </w:p>
        </w:tc>
      </w:tr>
      <w:tr>
        <w:tc>
          <w:tcPr>
            <w:tcW w:type="dxa" w:w="1504"/>
          </w:tcPr>
          <w:p>
            <w:pPr>
              <w:spacing w:before="40" w:after="40" w:line="280" w:lineRule="exact"/>
              <w:jc w:val="left"/>
            </w:pPr>
            <w:r/>
            <w:r>
              <w:rPr>
                <w:rFonts w:ascii="Arial" w:hAnsi="Arial"/>
                <w:b w:val="0"/>
                <w:sz w:val="18"/>
              </w:rPr>
              <w:t>Female sex, n (%)</w:t>
            </w:r>
          </w:p>
        </w:tc>
        <w:tc>
          <w:tcPr>
            <w:tcW w:type="dxa" w:w="1504"/>
          </w:tcPr>
          <w:p>
            <w:pPr>
              <w:spacing w:before="40" w:after="40" w:line="280" w:lineRule="exact"/>
              <w:jc w:val="center"/>
            </w:pPr>
            <w:r/>
            <w:r>
              <w:rPr>
                <w:rFonts w:ascii="Arial" w:hAnsi="Arial"/>
                <w:b w:val="0"/>
                <w:sz w:val="18"/>
              </w:rPr>
              <w:t>4,146 (57.2)</w:t>
            </w:r>
          </w:p>
        </w:tc>
        <w:tc>
          <w:tcPr>
            <w:tcW w:type="dxa" w:w="1504"/>
          </w:tcPr>
          <w:p>
            <w:pPr>
              <w:spacing w:before="40" w:after="40" w:line="280" w:lineRule="exact"/>
              <w:jc w:val="center"/>
            </w:pPr>
            <w:r/>
            <w:r>
              <w:rPr>
                <w:rFonts w:ascii="Arial" w:hAnsi="Arial"/>
                <w:b w:val="0"/>
                <w:sz w:val="18"/>
              </w:rPr>
              <w:t>1,364 (56.7)</w:t>
            </w:r>
          </w:p>
        </w:tc>
        <w:tc>
          <w:tcPr>
            <w:tcW w:type="dxa" w:w="1504"/>
          </w:tcPr>
          <w:p>
            <w:pPr>
              <w:spacing w:before="40" w:after="40" w:line="280" w:lineRule="exact"/>
              <w:jc w:val="center"/>
            </w:pPr>
            <w:r/>
            <w:r>
              <w:rPr>
                <w:rFonts w:ascii="Arial" w:hAnsi="Arial"/>
                <w:b w:val="0"/>
                <w:sz w:val="18"/>
              </w:rPr>
              <w:t>2,782 (57.4)</w:t>
            </w:r>
          </w:p>
        </w:tc>
        <w:tc>
          <w:tcPr>
            <w:tcW w:type="dxa" w:w="1504"/>
          </w:tcPr>
          <w:p>
            <w:pPr>
              <w:spacing w:before="40" w:after="40" w:line="280" w:lineRule="exact"/>
              <w:jc w:val="center"/>
            </w:pPr>
            <w:r/>
            <w:r>
              <w:rPr>
                <w:rFonts w:ascii="Arial" w:hAnsi="Arial"/>
                <w:b w:val="0"/>
                <w:sz w:val="18"/>
              </w:rPr>
              <w:t>0.605</w:t>
            </w:r>
          </w:p>
        </w:tc>
        <w:tc>
          <w:tcPr>
            <w:tcW w:type="dxa" w:w="1504"/>
          </w:tcPr>
          <w:p>
            <w:pPr>
              <w:spacing w:before="40" w:after="40" w:line="280" w:lineRule="exact"/>
              <w:jc w:val="center"/>
            </w:pPr>
            <w:r/>
            <w:r>
              <w:rPr>
                <w:rFonts w:ascii="Arial" w:hAnsi="Arial"/>
                <w:b w:val="0"/>
                <w:sz w:val="18"/>
              </w:rPr>
              <w:t>--</w:t>
            </w:r>
          </w:p>
        </w:tc>
      </w:tr>
      <w:tr>
        <w:tc>
          <w:tcPr>
            <w:tcW w:type="dxa" w:w="1504"/>
          </w:tcPr>
          <w:p>
            <w:pPr>
              <w:spacing w:before="40" w:after="40" w:line="280" w:lineRule="exact"/>
              <w:jc w:val="left"/>
            </w:pPr>
            <w:r/>
            <w:r>
              <w:rPr>
                <w:rFonts w:ascii="Arial" w:hAnsi="Arial"/>
                <w:b w:val="0"/>
                <w:sz w:val="18"/>
              </w:rPr>
              <w:t>BMI, kg/m², mean (SD)</w:t>
            </w:r>
          </w:p>
        </w:tc>
        <w:tc>
          <w:tcPr>
            <w:tcW w:type="dxa" w:w="1504"/>
          </w:tcPr>
          <w:p>
            <w:pPr>
              <w:spacing w:before="40" w:after="40" w:line="280" w:lineRule="exact"/>
              <w:jc w:val="center"/>
            </w:pPr>
            <w:r/>
            <w:r>
              <w:rPr>
                <w:rFonts w:ascii="Arial" w:hAnsi="Arial"/>
                <w:b w:val="0"/>
                <w:sz w:val="18"/>
              </w:rPr>
              <w:t>28.7 (5.6)</w:t>
            </w:r>
          </w:p>
        </w:tc>
        <w:tc>
          <w:tcPr>
            <w:tcW w:type="dxa" w:w="1504"/>
          </w:tcPr>
          <w:p>
            <w:pPr>
              <w:spacing w:before="40" w:after="40" w:line="280" w:lineRule="exact"/>
              <w:jc w:val="center"/>
            </w:pPr>
            <w:r/>
            <w:r>
              <w:rPr>
                <w:rFonts w:ascii="Arial" w:hAnsi="Arial"/>
                <w:b w:val="0"/>
                <w:sz w:val="18"/>
              </w:rPr>
              <w:t>28.2 (6.2)</w:t>
            </w:r>
          </w:p>
        </w:tc>
        <w:tc>
          <w:tcPr>
            <w:tcW w:type="dxa" w:w="1504"/>
          </w:tcPr>
          <w:p>
            <w:pPr>
              <w:spacing w:before="40" w:after="40" w:line="280" w:lineRule="exact"/>
              <w:jc w:val="center"/>
            </w:pPr>
            <w:r/>
            <w:r>
              <w:rPr>
                <w:rFonts w:ascii="Arial" w:hAnsi="Arial"/>
                <w:b w:val="0"/>
                <w:sz w:val="18"/>
              </w:rPr>
              <w:t>29.0 (5.2)</w:t>
            </w:r>
          </w:p>
        </w:tc>
        <w:tc>
          <w:tcPr>
            <w:tcW w:type="dxa" w:w="1504"/>
          </w:tcPr>
          <w:p>
            <w:pPr>
              <w:spacing w:before="40" w:after="40" w:line="280" w:lineRule="exact"/>
              <w:jc w:val="center"/>
            </w:pPr>
            <w:r/>
            <w:r>
              <w:rPr>
                <w:rFonts w:ascii="Arial" w:hAnsi="Arial"/>
                <w:b w:val="0"/>
                <w:sz w:val="18"/>
              </w:rPr>
              <w:t>0.002</w:t>
            </w:r>
          </w:p>
        </w:tc>
        <w:tc>
          <w:tcPr>
            <w:tcW w:type="dxa" w:w="1504"/>
          </w:tcPr>
          <w:p>
            <w:pPr>
              <w:spacing w:before="40" w:after="40" w:line="280" w:lineRule="exact"/>
              <w:jc w:val="center"/>
            </w:pPr>
            <w:r/>
            <w:r>
              <w:rPr>
                <w:rFonts w:ascii="Arial" w:hAnsi="Arial"/>
                <w:b w:val="0"/>
                <w:sz w:val="18"/>
              </w:rPr>
              <w:t>-0.145</w:t>
            </w:r>
          </w:p>
        </w:tc>
      </w:tr>
      <w:tr>
        <w:tc>
          <w:tcPr>
            <w:tcW w:type="dxa" w:w="1504"/>
          </w:tcPr>
          <w:p>
            <w:pPr>
              <w:spacing w:before="40" w:after="40" w:line="280" w:lineRule="exact"/>
              <w:jc w:val="left"/>
            </w:pPr>
            <w:r/>
            <w:r>
              <w:rPr>
                <w:rFonts w:ascii="Arial" w:hAnsi="Arial"/>
                <w:b w:val="0"/>
                <w:sz w:val="18"/>
              </w:rPr>
              <w:t>LDL-C measured, mmol/L</w:t>
            </w:r>
          </w:p>
        </w:tc>
        <w:tc>
          <w:tcPr>
            <w:tcW w:type="dxa" w:w="1504"/>
          </w:tcPr>
          <w:p>
            <w:pPr>
              <w:spacing w:before="40" w:after="40" w:line="280" w:lineRule="exact"/>
              <w:jc w:val="center"/>
            </w:pPr>
            <w:r/>
            <w:r>
              <w:rPr>
                <w:rFonts w:ascii="Arial" w:hAnsi="Arial"/>
                <w:b w:val="0"/>
                <w:sz w:val="18"/>
              </w:rPr>
              <w:t>5.3 (1.9)</w:t>
            </w:r>
          </w:p>
        </w:tc>
        <w:tc>
          <w:tcPr>
            <w:tcW w:type="dxa" w:w="1504"/>
          </w:tcPr>
          <w:p>
            <w:pPr>
              <w:spacing w:before="40" w:after="40" w:line="280" w:lineRule="exact"/>
              <w:jc w:val="center"/>
            </w:pPr>
            <w:r/>
            <w:r>
              <w:rPr>
                <w:rFonts w:ascii="Arial" w:hAnsi="Arial"/>
                <w:b w:val="0"/>
                <w:sz w:val="18"/>
              </w:rPr>
              <w:t>5.8 (2.1)</w:t>
            </w:r>
          </w:p>
        </w:tc>
        <w:tc>
          <w:tcPr>
            <w:tcW w:type="dxa" w:w="1504"/>
          </w:tcPr>
          <w:p>
            <w:pPr>
              <w:spacing w:before="40" w:after="40" w:line="280" w:lineRule="exact"/>
              <w:jc w:val="center"/>
            </w:pPr>
            <w:r/>
            <w:r>
              <w:rPr>
                <w:rFonts w:ascii="Arial" w:hAnsi="Arial"/>
                <w:b w:val="0"/>
                <w:sz w:val="18"/>
              </w:rPr>
              <w:t>5.1 (1.7)</w:t>
            </w:r>
          </w:p>
        </w:tc>
        <w:tc>
          <w:tcPr>
            <w:tcW w:type="dxa" w:w="1504"/>
          </w:tcPr>
          <w:p>
            <w:pPr>
              <w:spacing w:before="40" w:after="40" w:line="280" w:lineRule="exact"/>
              <w:jc w:val="center"/>
            </w:pPr>
            <w:r/>
            <w:r>
              <w:rPr>
                <w:rFonts w:ascii="Arial" w:hAnsi="Arial"/>
                <w:b w:val="0"/>
                <w:sz w:val="18"/>
              </w:rPr>
              <w:t>&lt;1×10⁻³¹</w:t>
            </w:r>
          </w:p>
        </w:tc>
        <w:tc>
          <w:tcPr>
            <w:tcW w:type="dxa" w:w="1504"/>
          </w:tcPr>
          <w:p>
            <w:pPr>
              <w:spacing w:before="40" w:after="40" w:line="280" w:lineRule="exact"/>
              <w:jc w:val="center"/>
            </w:pPr>
            <w:r/>
            <w:r>
              <w:rPr>
                <w:rFonts w:ascii="Arial" w:hAnsi="Arial"/>
                <w:b w:val="0"/>
                <w:sz w:val="18"/>
              </w:rPr>
              <w:t>0.349</w:t>
            </w:r>
          </w:p>
        </w:tc>
      </w:tr>
      <w:tr>
        <w:tc>
          <w:tcPr>
            <w:tcW w:type="dxa" w:w="1504"/>
          </w:tcPr>
          <w:p>
            <w:pPr>
              <w:spacing w:before="40" w:after="40" w:line="280" w:lineRule="exact"/>
              <w:jc w:val="left"/>
            </w:pPr>
            <w:r/>
            <w:r>
              <w:rPr>
                <w:rFonts w:ascii="Arial" w:hAnsi="Arial"/>
                <w:b w:val="0"/>
                <w:sz w:val="18"/>
              </w:rPr>
              <w:t>LDL-C adjusted, mmol/L</w:t>
            </w:r>
          </w:p>
        </w:tc>
        <w:tc>
          <w:tcPr>
            <w:tcW w:type="dxa" w:w="1504"/>
          </w:tcPr>
          <w:p>
            <w:pPr>
              <w:spacing w:before="40" w:after="40" w:line="280" w:lineRule="exact"/>
              <w:jc w:val="center"/>
            </w:pPr>
            <w:r/>
            <w:r>
              <w:rPr>
                <w:rFonts w:ascii="Arial" w:hAnsi="Arial"/>
                <w:b w:val="0"/>
                <w:sz w:val="18"/>
              </w:rPr>
              <w:t>5.9 (2.1)</w:t>
            </w:r>
          </w:p>
        </w:tc>
        <w:tc>
          <w:tcPr>
            <w:tcW w:type="dxa" w:w="1504"/>
          </w:tcPr>
          <w:p>
            <w:pPr>
              <w:spacing w:before="40" w:after="40" w:line="280" w:lineRule="exact"/>
              <w:jc w:val="center"/>
            </w:pPr>
            <w:r/>
            <w:r>
              <w:rPr>
                <w:rFonts w:ascii="Arial" w:hAnsi="Arial"/>
                <w:b w:val="0"/>
                <w:sz w:val="18"/>
              </w:rPr>
              <w:t>6.5 (2.5)</w:t>
            </w:r>
          </w:p>
        </w:tc>
        <w:tc>
          <w:tcPr>
            <w:tcW w:type="dxa" w:w="1504"/>
          </w:tcPr>
          <w:p>
            <w:pPr>
              <w:spacing w:before="40" w:after="40" w:line="280" w:lineRule="exact"/>
              <w:jc w:val="center"/>
            </w:pPr>
            <w:r/>
            <w:r>
              <w:rPr>
                <w:rFonts w:ascii="Arial" w:hAnsi="Arial"/>
                <w:b w:val="0"/>
                <w:sz w:val="18"/>
              </w:rPr>
              <w:t>5.7 (1.9)</w:t>
            </w:r>
          </w:p>
        </w:tc>
        <w:tc>
          <w:tcPr>
            <w:tcW w:type="dxa" w:w="1504"/>
          </w:tcPr>
          <w:p>
            <w:pPr>
              <w:spacing w:before="40" w:after="40" w:line="280" w:lineRule="exact"/>
              <w:jc w:val="center"/>
            </w:pPr>
            <w:r/>
            <w:r>
              <w:rPr>
                <w:rFonts w:ascii="Arial" w:hAnsi="Arial"/>
                <w:b w:val="0"/>
                <w:sz w:val="18"/>
              </w:rPr>
              <w:t>&lt;1×10⁻³³</w:t>
            </w:r>
          </w:p>
        </w:tc>
        <w:tc>
          <w:tcPr>
            <w:tcW w:type="dxa" w:w="1504"/>
          </w:tcPr>
          <w:p>
            <w:pPr>
              <w:spacing w:before="40" w:after="40" w:line="280" w:lineRule="exact"/>
              <w:jc w:val="center"/>
            </w:pPr>
            <w:r/>
            <w:r>
              <w:rPr>
                <w:rFonts w:ascii="Arial" w:hAnsi="Arial"/>
                <w:b w:val="0"/>
                <w:sz w:val="18"/>
              </w:rPr>
              <w:t>0.378</w:t>
            </w:r>
          </w:p>
        </w:tc>
      </w:tr>
      <w:tr>
        <w:tc>
          <w:tcPr>
            <w:tcW w:type="dxa" w:w="1504"/>
          </w:tcPr>
          <w:p>
            <w:pPr>
              <w:spacing w:before="40" w:after="40" w:line="280" w:lineRule="exact"/>
              <w:jc w:val="left"/>
            </w:pPr>
            <w:r/>
            <w:r>
              <w:rPr>
                <w:rFonts w:ascii="Arial" w:hAnsi="Arial"/>
                <w:b w:val="0"/>
                <w:sz w:val="18"/>
              </w:rPr>
              <w:t>HDL-C, mmol/L</w:t>
            </w:r>
          </w:p>
        </w:tc>
        <w:tc>
          <w:tcPr>
            <w:tcW w:type="dxa" w:w="1504"/>
          </w:tcPr>
          <w:p>
            <w:pPr>
              <w:spacing w:before="40" w:after="40" w:line="280" w:lineRule="exact"/>
              <w:jc w:val="center"/>
            </w:pPr>
            <w:r/>
            <w:r>
              <w:rPr>
                <w:rFonts w:ascii="Arial" w:hAnsi="Arial"/>
                <w:b w:val="0"/>
                <w:sz w:val="18"/>
              </w:rPr>
              <w:t>1.4 (0.5)</w:t>
            </w:r>
          </w:p>
        </w:tc>
        <w:tc>
          <w:tcPr>
            <w:tcW w:type="dxa" w:w="1504"/>
          </w:tcPr>
          <w:p>
            <w:pPr>
              <w:spacing w:before="40" w:after="40" w:line="280" w:lineRule="exact"/>
              <w:jc w:val="center"/>
            </w:pPr>
            <w:r/>
            <w:r>
              <w:rPr>
                <w:rFonts w:ascii="Arial" w:hAnsi="Arial"/>
                <w:b w:val="0"/>
                <w:sz w:val="18"/>
              </w:rPr>
              <w:t>1.4 (0.4)</w:t>
            </w:r>
          </w:p>
        </w:tc>
        <w:tc>
          <w:tcPr>
            <w:tcW w:type="dxa" w:w="1504"/>
          </w:tcPr>
          <w:p>
            <w:pPr>
              <w:spacing w:before="40" w:after="40" w:line="280" w:lineRule="exact"/>
              <w:jc w:val="center"/>
            </w:pPr>
            <w:r/>
            <w:r>
              <w:rPr>
                <w:rFonts w:ascii="Arial" w:hAnsi="Arial"/>
                <w:b w:val="0"/>
                <w:sz w:val="18"/>
              </w:rPr>
              <w:t>1.4 (0.5)</w:t>
            </w:r>
          </w:p>
        </w:tc>
        <w:tc>
          <w:tcPr>
            <w:tcW w:type="dxa" w:w="1504"/>
          </w:tcPr>
          <w:p>
            <w:pPr>
              <w:spacing w:before="40" w:after="40" w:line="280" w:lineRule="exact"/>
              <w:jc w:val="center"/>
            </w:pPr>
            <w:r/>
            <w:r>
              <w:rPr>
                <w:rFonts w:ascii="Arial" w:hAnsi="Arial"/>
                <w:b w:val="0"/>
                <w:sz w:val="18"/>
              </w:rPr>
              <w:t>&lt;1×10⁻¹¹</w:t>
            </w:r>
          </w:p>
        </w:tc>
        <w:tc>
          <w:tcPr>
            <w:tcW w:type="dxa" w:w="1504"/>
          </w:tcPr>
          <w:p>
            <w:pPr>
              <w:spacing w:before="40" w:after="40" w:line="280" w:lineRule="exact"/>
              <w:jc w:val="center"/>
            </w:pPr>
            <w:r/>
            <w:r>
              <w:rPr>
                <w:rFonts w:ascii="Arial" w:hAnsi="Arial"/>
                <w:b w:val="0"/>
                <w:sz w:val="18"/>
              </w:rPr>
              <w:t>-0.173</w:t>
            </w:r>
          </w:p>
        </w:tc>
      </w:tr>
      <w:tr>
        <w:tc>
          <w:tcPr>
            <w:tcW w:type="dxa" w:w="1504"/>
          </w:tcPr>
          <w:p>
            <w:pPr>
              <w:spacing w:before="40" w:after="40" w:line="280" w:lineRule="exact"/>
              <w:jc w:val="left"/>
            </w:pPr>
            <w:r/>
            <w:r>
              <w:rPr>
                <w:rFonts w:ascii="Arial" w:hAnsi="Arial"/>
                <w:b w:val="0"/>
                <w:sz w:val="18"/>
              </w:rPr>
              <w:t>Triglycerides, mmol/L</w:t>
            </w:r>
          </w:p>
        </w:tc>
        <w:tc>
          <w:tcPr>
            <w:tcW w:type="dxa" w:w="1504"/>
          </w:tcPr>
          <w:p>
            <w:pPr>
              <w:spacing w:before="40" w:after="40" w:line="280" w:lineRule="exact"/>
              <w:jc w:val="center"/>
            </w:pPr>
            <w:r/>
            <w:r>
              <w:rPr>
                <w:rFonts w:ascii="Arial" w:hAnsi="Arial"/>
                <w:b w:val="0"/>
                <w:sz w:val="18"/>
              </w:rPr>
              <w:t>1.8 (1.2)</w:t>
            </w:r>
          </w:p>
        </w:tc>
        <w:tc>
          <w:tcPr>
            <w:tcW w:type="dxa" w:w="1504"/>
          </w:tcPr>
          <w:p>
            <w:pPr>
              <w:spacing w:before="40" w:after="40" w:line="280" w:lineRule="exact"/>
              <w:jc w:val="center"/>
            </w:pPr>
            <w:r/>
            <w:r>
              <w:rPr>
                <w:rFonts w:ascii="Arial" w:hAnsi="Arial"/>
                <w:b w:val="0"/>
                <w:sz w:val="18"/>
              </w:rPr>
              <w:t>1.4 (0.9)</w:t>
            </w:r>
          </w:p>
        </w:tc>
        <w:tc>
          <w:tcPr>
            <w:tcW w:type="dxa" w:w="1504"/>
          </w:tcPr>
          <w:p>
            <w:pPr>
              <w:spacing w:before="40" w:after="40" w:line="280" w:lineRule="exact"/>
              <w:jc w:val="center"/>
            </w:pPr>
            <w:r/>
            <w:r>
              <w:rPr>
                <w:rFonts w:ascii="Arial" w:hAnsi="Arial"/>
                <w:b w:val="0"/>
                <w:sz w:val="18"/>
              </w:rPr>
              <w:t>2.0 (1.3)</w:t>
            </w:r>
          </w:p>
        </w:tc>
        <w:tc>
          <w:tcPr>
            <w:tcW w:type="dxa" w:w="1504"/>
          </w:tcPr>
          <w:p>
            <w:pPr>
              <w:spacing w:before="40" w:after="40" w:line="280" w:lineRule="exact"/>
              <w:jc w:val="center"/>
            </w:pPr>
            <w:r/>
            <w:r>
              <w:rPr>
                <w:rFonts w:ascii="Arial" w:hAnsi="Arial"/>
                <w:b w:val="0"/>
                <w:sz w:val="18"/>
              </w:rPr>
              <w:t>&lt;1×10⁻⁷²</w:t>
            </w:r>
          </w:p>
        </w:tc>
        <w:tc>
          <w:tcPr>
            <w:tcW w:type="dxa" w:w="1504"/>
          </w:tcPr>
          <w:p>
            <w:pPr>
              <w:spacing w:before="40" w:after="40" w:line="280" w:lineRule="exact"/>
              <w:jc w:val="center"/>
            </w:pPr>
            <w:r/>
            <w:r>
              <w:rPr>
                <w:rFonts w:ascii="Arial" w:hAnsi="Arial"/>
                <w:b w:val="0"/>
                <w:sz w:val="18"/>
              </w:rPr>
              <w:t>-0.460</w:t>
            </w:r>
          </w:p>
        </w:tc>
      </w:tr>
      <w:tr>
        <w:tc>
          <w:tcPr>
            <w:tcW w:type="dxa" w:w="1504"/>
          </w:tcPr>
          <w:p>
            <w:pPr>
              <w:spacing w:before="40" w:after="40" w:line="280" w:lineRule="exact"/>
              <w:jc w:val="left"/>
            </w:pPr>
            <w:r/>
            <w:r>
              <w:rPr>
                <w:rFonts w:ascii="Arial" w:hAnsi="Arial"/>
                <w:b w:val="0"/>
                <w:sz w:val="18"/>
              </w:rPr>
              <w:t>Total cholesterol, mmol/L</w:t>
            </w:r>
          </w:p>
        </w:tc>
        <w:tc>
          <w:tcPr>
            <w:tcW w:type="dxa" w:w="1504"/>
          </w:tcPr>
          <w:p>
            <w:pPr>
              <w:spacing w:before="40" w:after="40" w:line="280" w:lineRule="exact"/>
              <w:jc w:val="center"/>
            </w:pPr>
            <w:r/>
            <w:r>
              <w:rPr>
                <w:rFonts w:ascii="Arial" w:hAnsi="Arial"/>
                <w:b w:val="0"/>
                <w:sz w:val="18"/>
              </w:rPr>
              <w:t>7.6 (2.0)</w:t>
            </w:r>
          </w:p>
        </w:tc>
        <w:tc>
          <w:tcPr>
            <w:tcW w:type="dxa" w:w="1504"/>
          </w:tcPr>
          <w:p>
            <w:pPr>
              <w:spacing w:before="40" w:after="40" w:line="280" w:lineRule="exact"/>
              <w:jc w:val="center"/>
            </w:pPr>
            <w:r/>
            <w:r>
              <w:rPr>
                <w:rFonts w:ascii="Arial" w:hAnsi="Arial"/>
                <w:b w:val="0"/>
                <w:sz w:val="18"/>
              </w:rPr>
              <w:t>7.9 (2.2)</w:t>
            </w:r>
          </w:p>
        </w:tc>
        <w:tc>
          <w:tcPr>
            <w:tcW w:type="dxa" w:w="1504"/>
          </w:tcPr>
          <w:p>
            <w:pPr>
              <w:spacing w:before="40" w:after="40" w:line="280" w:lineRule="exact"/>
              <w:jc w:val="center"/>
            </w:pPr>
            <w:r/>
            <w:r>
              <w:rPr>
                <w:rFonts w:ascii="Arial" w:hAnsi="Arial"/>
                <w:b w:val="0"/>
                <w:sz w:val="18"/>
              </w:rPr>
              <w:t>7.4 (1.9)</w:t>
            </w:r>
          </w:p>
        </w:tc>
        <w:tc>
          <w:tcPr>
            <w:tcW w:type="dxa" w:w="1504"/>
          </w:tcPr>
          <w:p>
            <w:pPr>
              <w:spacing w:before="40" w:after="40" w:line="280" w:lineRule="exact"/>
              <w:jc w:val="center"/>
            </w:pPr>
            <w:r/>
            <w:r>
              <w:rPr>
                <w:rFonts w:ascii="Arial" w:hAnsi="Arial"/>
                <w:b w:val="0"/>
                <w:sz w:val="18"/>
              </w:rPr>
              <w:t>&lt;1×10⁻¹⁴</w:t>
            </w:r>
          </w:p>
        </w:tc>
        <w:tc>
          <w:tcPr>
            <w:tcW w:type="dxa" w:w="1504"/>
          </w:tcPr>
          <w:p>
            <w:pPr>
              <w:spacing w:before="40" w:after="40" w:line="280" w:lineRule="exact"/>
              <w:jc w:val="center"/>
            </w:pPr>
            <w:r/>
            <w:r>
              <w:rPr>
                <w:rFonts w:ascii="Arial" w:hAnsi="Arial"/>
                <w:b w:val="0"/>
                <w:sz w:val="18"/>
              </w:rPr>
              <w:t>0.217</w:t>
            </w:r>
          </w:p>
        </w:tc>
      </w:tr>
      <w:tr>
        <w:tc>
          <w:tcPr>
            <w:tcW w:type="dxa" w:w="1504"/>
          </w:tcPr>
          <w:p>
            <w:pPr>
              <w:spacing w:before="40" w:after="40" w:line="280" w:lineRule="exact"/>
              <w:jc w:val="left"/>
            </w:pPr>
            <w:r/>
            <w:r>
              <w:rPr>
                <w:rFonts w:ascii="Arial" w:hAnsi="Arial"/>
                <w:b w:val="0"/>
                <w:sz w:val="18"/>
              </w:rPr>
              <w:t>Trig_Filter, mean (SD)</w:t>
            </w:r>
          </w:p>
        </w:tc>
        <w:tc>
          <w:tcPr>
            <w:tcW w:type="dxa" w:w="1504"/>
          </w:tcPr>
          <w:p>
            <w:pPr>
              <w:spacing w:before="40" w:after="40" w:line="280" w:lineRule="exact"/>
              <w:jc w:val="center"/>
            </w:pPr>
            <w:r/>
            <w:r>
              <w:rPr>
                <w:rFonts w:ascii="Arial" w:hAnsi="Arial"/>
                <w:b w:val="0"/>
                <w:sz w:val="18"/>
              </w:rPr>
              <w:t>3.9 (2.5)</w:t>
            </w:r>
          </w:p>
        </w:tc>
        <w:tc>
          <w:tcPr>
            <w:tcW w:type="dxa" w:w="1504"/>
          </w:tcPr>
          <w:p>
            <w:pPr>
              <w:spacing w:before="40" w:after="40" w:line="280" w:lineRule="exact"/>
              <w:jc w:val="center"/>
            </w:pPr>
            <w:r/>
            <w:r>
              <w:rPr>
                <w:rFonts w:ascii="Arial" w:hAnsi="Arial"/>
                <w:b w:val="0"/>
                <w:sz w:val="18"/>
              </w:rPr>
              <w:t>5.1 (3.3)</w:t>
            </w:r>
          </w:p>
        </w:tc>
        <w:tc>
          <w:tcPr>
            <w:tcW w:type="dxa" w:w="1504"/>
          </w:tcPr>
          <w:p>
            <w:pPr>
              <w:spacing w:before="40" w:after="40" w:line="280" w:lineRule="exact"/>
              <w:jc w:val="center"/>
            </w:pPr>
            <w:r/>
            <w:r>
              <w:rPr>
                <w:rFonts w:ascii="Arial" w:hAnsi="Arial"/>
                <w:b w:val="0"/>
                <w:sz w:val="18"/>
              </w:rPr>
              <w:t>3.3 (1.7)</w:t>
            </w:r>
          </w:p>
        </w:tc>
        <w:tc>
          <w:tcPr>
            <w:tcW w:type="dxa" w:w="1504"/>
          </w:tcPr>
          <w:p>
            <w:pPr>
              <w:spacing w:before="40" w:after="40" w:line="280" w:lineRule="exact"/>
              <w:jc w:val="center"/>
            </w:pPr>
            <w:r/>
            <w:r>
              <w:rPr>
                <w:rFonts w:ascii="Arial" w:hAnsi="Arial"/>
                <w:b w:val="0"/>
                <w:sz w:val="18"/>
              </w:rPr>
              <w:t>&lt;1×10⁻⁹⁰</w:t>
            </w:r>
          </w:p>
        </w:tc>
        <w:tc>
          <w:tcPr>
            <w:tcW w:type="dxa" w:w="1504"/>
          </w:tcPr>
          <w:p>
            <w:pPr>
              <w:spacing w:before="40" w:after="40" w:line="280" w:lineRule="exact"/>
              <w:jc w:val="center"/>
            </w:pPr>
            <w:r/>
            <w:r>
              <w:rPr>
                <w:rFonts w:ascii="Arial" w:hAnsi="Arial"/>
                <w:b w:val="0"/>
                <w:sz w:val="18"/>
              </w:rPr>
              <w:t>0.744</w:t>
            </w:r>
          </w:p>
        </w:tc>
      </w:tr>
      <w:tr>
        <w:tc>
          <w:tcPr>
            <w:tcW w:type="dxa" w:w="1504"/>
          </w:tcPr>
          <w:p>
            <w:pPr>
              <w:spacing w:before="40" w:after="40" w:line="280" w:lineRule="exact"/>
              <w:jc w:val="left"/>
            </w:pPr>
            <w:r/>
            <w:r>
              <w:rPr>
                <w:rFonts w:ascii="Arial" w:hAnsi="Arial"/>
                <w:b w:val="0"/>
                <w:sz w:val="18"/>
              </w:rPr>
              <w:t>Tendon xanthomata, n (%)</w:t>
            </w:r>
          </w:p>
        </w:tc>
        <w:tc>
          <w:tcPr>
            <w:tcW w:type="dxa" w:w="1504"/>
          </w:tcPr>
          <w:p>
            <w:pPr>
              <w:spacing w:before="40" w:after="40" w:line="280" w:lineRule="exact"/>
              <w:jc w:val="center"/>
            </w:pPr>
            <w:r/>
            <w:r>
              <w:rPr>
                <w:rFonts w:ascii="Arial" w:hAnsi="Arial"/>
                <w:b w:val="0"/>
                <w:sz w:val="18"/>
              </w:rPr>
              <w:t>515 (7.1)</w:t>
            </w:r>
          </w:p>
        </w:tc>
        <w:tc>
          <w:tcPr>
            <w:tcW w:type="dxa" w:w="1504"/>
          </w:tcPr>
          <w:p>
            <w:pPr>
              <w:spacing w:before="40" w:after="40" w:line="280" w:lineRule="exact"/>
              <w:jc w:val="center"/>
            </w:pPr>
            <w:r/>
            <w:r>
              <w:rPr>
                <w:rFonts w:ascii="Arial" w:hAnsi="Arial"/>
                <w:b w:val="0"/>
                <w:sz w:val="18"/>
              </w:rPr>
              <w:t>260 (10.8)</w:t>
            </w:r>
          </w:p>
        </w:tc>
        <w:tc>
          <w:tcPr>
            <w:tcW w:type="dxa" w:w="1504"/>
          </w:tcPr>
          <w:p>
            <w:pPr>
              <w:spacing w:before="40" w:after="40" w:line="280" w:lineRule="exact"/>
              <w:jc w:val="center"/>
            </w:pPr>
            <w:r/>
            <w:r>
              <w:rPr>
                <w:rFonts w:ascii="Arial" w:hAnsi="Arial"/>
                <w:b w:val="0"/>
                <w:sz w:val="18"/>
              </w:rPr>
              <w:t>255 (5.3)</w:t>
            </w:r>
          </w:p>
        </w:tc>
        <w:tc>
          <w:tcPr>
            <w:tcW w:type="dxa" w:w="1504"/>
          </w:tcPr>
          <w:p>
            <w:pPr>
              <w:spacing w:before="40" w:after="40" w:line="280" w:lineRule="exact"/>
              <w:jc w:val="center"/>
            </w:pPr>
            <w:r/>
            <w:r>
              <w:rPr>
                <w:rFonts w:ascii="Arial" w:hAnsi="Arial"/>
                <w:b w:val="0"/>
                <w:sz w:val="18"/>
              </w:rPr>
              <w:t>&lt;1×10⁻¹⁷</w:t>
            </w:r>
          </w:p>
        </w:tc>
        <w:tc>
          <w:tcPr>
            <w:tcW w:type="dxa" w:w="1504"/>
          </w:tcPr>
          <w:p>
            <w:pPr>
              <w:spacing w:before="40" w:after="40" w:line="280" w:lineRule="exact"/>
              <w:jc w:val="center"/>
            </w:pPr>
            <w:r/>
            <w:r>
              <w:rPr>
                <w:rFonts w:ascii="Arial" w:hAnsi="Arial"/>
                <w:b w:val="0"/>
                <w:sz w:val="18"/>
              </w:rPr>
              <w:t>--</w:t>
            </w:r>
          </w:p>
        </w:tc>
      </w:tr>
      <w:tr>
        <w:tc>
          <w:tcPr>
            <w:tcW w:type="dxa" w:w="1504"/>
          </w:tcPr>
          <w:p>
            <w:pPr>
              <w:spacing w:before="40" w:after="40" w:line="280" w:lineRule="exact"/>
              <w:jc w:val="left"/>
            </w:pPr>
            <w:r/>
            <w:r>
              <w:rPr>
                <w:rFonts w:ascii="Arial" w:hAnsi="Arial"/>
                <w:b w:val="0"/>
                <w:sz w:val="18"/>
              </w:rPr>
              <w:t>Corneal arcus (&lt;40y), n (%)</w:t>
            </w:r>
          </w:p>
        </w:tc>
        <w:tc>
          <w:tcPr>
            <w:tcW w:type="dxa" w:w="1504"/>
          </w:tcPr>
          <w:p>
            <w:pPr>
              <w:spacing w:before="40" w:after="40" w:line="280" w:lineRule="exact"/>
              <w:jc w:val="center"/>
            </w:pPr>
            <w:r/>
            <w:r>
              <w:rPr>
                <w:rFonts w:ascii="Arial" w:hAnsi="Arial"/>
                <w:b w:val="0"/>
                <w:sz w:val="18"/>
              </w:rPr>
              <w:t>78 (1.1)</w:t>
            </w:r>
          </w:p>
        </w:tc>
        <w:tc>
          <w:tcPr>
            <w:tcW w:type="dxa" w:w="1504"/>
          </w:tcPr>
          <w:p>
            <w:pPr>
              <w:spacing w:before="40" w:after="40" w:line="280" w:lineRule="exact"/>
              <w:jc w:val="center"/>
            </w:pPr>
            <w:r/>
            <w:r>
              <w:rPr>
                <w:rFonts w:ascii="Arial" w:hAnsi="Arial"/>
                <w:b w:val="0"/>
                <w:sz w:val="18"/>
              </w:rPr>
              <w:t>49 (2.0)</w:t>
            </w:r>
          </w:p>
        </w:tc>
        <w:tc>
          <w:tcPr>
            <w:tcW w:type="dxa" w:w="1504"/>
          </w:tcPr>
          <w:p>
            <w:pPr>
              <w:spacing w:before="40" w:after="40" w:line="280" w:lineRule="exact"/>
              <w:jc w:val="center"/>
            </w:pPr>
            <w:r/>
            <w:r>
              <w:rPr>
                <w:rFonts w:ascii="Arial" w:hAnsi="Arial"/>
                <w:b w:val="0"/>
                <w:sz w:val="18"/>
              </w:rPr>
              <w:t>29 (0.6)</w:t>
            </w:r>
          </w:p>
        </w:tc>
        <w:tc>
          <w:tcPr>
            <w:tcW w:type="dxa" w:w="1504"/>
          </w:tcPr>
          <w:p>
            <w:pPr>
              <w:spacing w:before="40" w:after="40" w:line="280" w:lineRule="exact"/>
              <w:jc w:val="center"/>
            </w:pPr>
            <w:r/>
            <w:r>
              <w:rPr>
                <w:rFonts w:ascii="Arial" w:hAnsi="Arial"/>
                <w:b w:val="0"/>
                <w:sz w:val="18"/>
              </w:rPr>
              <w:t>&lt;1×10⁻⁷</w:t>
            </w:r>
          </w:p>
        </w:tc>
        <w:tc>
          <w:tcPr>
            <w:tcW w:type="dxa" w:w="1504"/>
          </w:tcPr>
          <w:p>
            <w:pPr>
              <w:spacing w:before="40" w:after="40" w:line="280" w:lineRule="exact"/>
              <w:jc w:val="center"/>
            </w:pPr>
            <w:r/>
            <w:r>
              <w:rPr>
                <w:rFonts w:ascii="Arial" w:hAnsi="Arial"/>
                <w:b w:val="0"/>
                <w:sz w:val="18"/>
              </w:rPr>
              <w:t>--</w:t>
            </w:r>
          </w:p>
        </w:tc>
      </w:tr>
      <w:tr>
        <w:tc>
          <w:tcPr>
            <w:tcW w:type="dxa" w:w="1504"/>
          </w:tcPr>
          <w:p>
            <w:pPr>
              <w:spacing w:before="40" w:after="40" w:line="280" w:lineRule="exact"/>
              <w:jc w:val="left"/>
            </w:pPr>
            <w:r/>
            <w:r>
              <w:rPr>
                <w:rFonts w:ascii="Arial" w:hAnsi="Arial"/>
                <w:b w:val="0"/>
                <w:sz w:val="18"/>
              </w:rPr>
              <w:t>Index case, n (%)</w:t>
            </w:r>
          </w:p>
        </w:tc>
        <w:tc>
          <w:tcPr>
            <w:tcW w:type="dxa" w:w="1504"/>
          </w:tcPr>
          <w:p>
            <w:pPr>
              <w:spacing w:before="40" w:after="40" w:line="280" w:lineRule="exact"/>
              <w:jc w:val="center"/>
            </w:pPr>
            <w:r/>
            <w:r>
              <w:rPr>
                <w:rFonts w:ascii="Arial" w:hAnsi="Arial"/>
                <w:b w:val="0"/>
                <w:sz w:val="18"/>
              </w:rPr>
              <w:t>4,614 (63.6)</w:t>
            </w:r>
          </w:p>
        </w:tc>
        <w:tc>
          <w:tcPr>
            <w:tcW w:type="dxa" w:w="1504"/>
          </w:tcPr>
          <w:p>
            <w:pPr>
              <w:spacing w:before="40" w:after="40" w:line="280" w:lineRule="exact"/>
              <w:jc w:val="center"/>
            </w:pPr>
            <w:r/>
            <w:r>
              <w:rPr>
                <w:rFonts w:ascii="Arial" w:hAnsi="Arial"/>
                <w:b w:val="0"/>
                <w:sz w:val="18"/>
              </w:rPr>
              <w:t>1,033 (43.0)</w:t>
            </w:r>
          </w:p>
        </w:tc>
        <w:tc>
          <w:tcPr>
            <w:tcW w:type="dxa" w:w="1504"/>
          </w:tcPr>
          <w:p>
            <w:pPr>
              <w:spacing w:before="40" w:after="40" w:line="280" w:lineRule="exact"/>
              <w:jc w:val="center"/>
            </w:pPr>
            <w:r/>
            <w:r>
              <w:rPr>
                <w:rFonts w:ascii="Arial" w:hAnsi="Arial"/>
                <w:b w:val="0"/>
                <w:sz w:val="18"/>
              </w:rPr>
              <w:t>3,581 (73.9)</w:t>
            </w:r>
          </w:p>
        </w:tc>
        <w:tc>
          <w:tcPr>
            <w:tcW w:type="dxa" w:w="1504"/>
          </w:tcPr>
          <w:p>
            <w:pPr>
              <w:spacing w:before="40" w:after="40" w:line="280" w:lineRule="exact"/>
              <w:jc w:val="center"/>
            </w:pPr>
            <w:r/>
            <w:r>
              <w:rPr>
                <w:rFonts w:ascii="Arial" w:hAnsi="Arial"/>
                <w:b w:val="0"/>
                <w:sz w:val="18"/>
              </w:rPr>
              <w:t>&lt;1×10⁻¹⁴⁵</w:t>
            </w:r>
          </w:p>
        </w:tc>
        <w:tc>
          <w:tcPr>
            <w:tcW w:type="dxa" w:w="1504"/>
          </w:tcPr>
          <w:p>
            <w:pPr>
              <w:spacing w:before="40" w:after="40" w:line="280" w:lineRule="exact"/>
              <w:jc w:val="center"/>
            </w:pPr>
            <w:r/>
            <w:r>
              <w:rPr>
                <w:rFonts w:ascii="Arial" w:hAnsi="Arial"/>
                <w:b w:val="0"/>
                <w:sz w:val="18"/>
              </w:rPr>
              <w:t>--</w:t>
            </w:r>
          </w:p>
        </w:tc>
      </w:tr>
      <w:tr>
        <w:tc>
          <w:tcPr>
            <w:tcW w:type="dxa" w:w="1504"/>
          </w:tcPr>
          <w:p>
            <w:pPr>
              <w:spacing w:before="40" w:after="40" w:line="280" w:lineRule="exact"/>
              <w:jc w:val="left"/>
            </w:pPr>
            <w:r/>
            <w:r>
              <w:rPr>
                <w:rFonts w:ascii="Arial" w:hAnsi="Arial"/>
                <w:b w:val="0"/>
                <w:sz w:val="18"/>
              </w:rPr>
              <w:t>Cascade relative, n (%)</w:t>
            </w:r>
          </w:p>
        </w:tc>
        <w:tc>
          <w:tcPr>
            <w:tcW w:type="dxa" w:w="1504"/>
          </w:tcPr>
          <w:p>
            <w:pPr>
              <w:spacing w:before="40" w:after="40" w:line="280" w:lineRule="exact"/>
              <w:jc w:val="center"/>
            </w:pPr>
            <w:r/>
            <w:r>
              <w:rPr>
                <w:rFonts w:ascii="Arial" w:hAnsi="Arial"/>
                <w:b w:val="0"/>
                <w:sz w:val="18"/>
              </w:rPr>
              <w:t>2,639 (36.4)</w:t>
            </w:r>
          </w:p>
        </w:tc>
        <w:tc>
          <w:tcPr>
            <w:tcW w:type="dxa" w:w="1504"/>
          </w:tcPr>
          <w:p>
            <w:pPr>
              <w:spacing w:before="40" w:after="40" w:line="280" w:lineRule="exact"/>
              <w:jc w:val="center"/>
            </w:pPr>
            <w:r/>
            <w:r>
              <w:rPr>
                <w:rFonts w:ascii="Arial" w:hAnsi="Arial"/>
                <w:b w:val="0"/>
                <w:sz w:val="18"/>
              </w:rPr>
              <w:t>1,372 (57.0)</w:t>
            </w:r>
          </w:p>
        </w:tc>
        <w:tc>
          <w:tcPr>
            <w:tcW w:type="dxa" w:w="1504"/>
          </w:tcPr>
          <w:p>
            <w:pPr>
              <w:spacing w:before="40" w:after="40" w:line="280" w:lineRule="exact"/>
              <w:jc w:val="center"/>
            </w:pPr>
            <w:r/>
            <w:r>
              <w:rPr>
                <w:rFonts w:ascii="Arial" w:hAnsi="Arial"/>
                <w:b w:val="0"/>
                <w:sz w:val="18"/>
              </w:rPr>
              <w:t>1,267 (26.1)</w:t>
            </w:r>
          </w:p>
        </w:tc>
        <w:tc>
          <w:tcPr>
            <w:tcW w:type="dxa" w:w="1504"/>
          </w:tcPr>
          <w:p>
            <w:pPr>
              <w:spacing w:before="40" w:after="40" w:line="280" w:lineRule="exact"/>
              <w:jc w:val="center"/>
            </w:pPr>
            <w:r/>
            <w:r>
              <w:rPr>
                <w:rFonts w:ascii="Arial" w:hAnsi="Arial"/>
                <w:b w:val="0"/>
                <w:sz w:val="18"/>
              </w:rPr>
              <w:t>--</w:t>
            </w:r>
          </w:p>
        </w:tc>
        <w:tc>
          <w:tcPr>
            <w:tcW w:type="dxa" w:w="1504"/>
          </w:tcPr>
          <w:p>
            <w:pPr>
              <w:spacing w:before="40" w:after="40" w:line="280" w:lineRule="exact"/>
              <w:jc w:val="center"/>
            </w:pPr>
            <w:r/>
            <w:r>
              <w:rPr>
                <w:rFonts w:ascii="Arial" w:hAnsi="Arial"/>
                <w:b w:val="0"/>
                <w:sz w:val="18"/>
              </w:rPr>
              <w:t>--</w:t>
            </w:r>
          </w:p>
        </w:tc>
      </w:tr>
    </w:tbl>
    <w:p/>
    <w:p>
      <w:pPr>
        <w:spacing w:before="240" w:after="80"/>
      </w:pPr>
      <w:r>
        <w:rPr>
          <w:rFonts w:ascii="Arial" w:hAnsi="Arial"/>
          <w:b/>
          <w:sz w:val="20"/>
        </w:rPr>
        <w:t>Table 1b. Baseline Characteristics of UK Biobank Lipid Clinic-Mimicking Cohort (n = 58,021)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c>
          <w:tcPr>
            <w:tcW w:type="dxa" w:w="1504"/>
            <w:shd w:fill="D9E2F3"/>
          </w:tcPr>
          <w:p>
            <w:pPr>
              <w:spacing w:before="40" w:after="40" w:line="280" w:lineRule="exact"/>
              <w:jc w:val="center"/>
            </w:pPr>
            <w:r/>
            <w:r>
              <w:rPr>
                <w:rFonts w:ascii="Arial" w:hAnsi="Arial"/>
                <w:b/>
                <w:sz w:val="18"/>
              </w:rPr>
              <w:t>Variable</w:t>
            </w:r>
          </w:p>
        </w:tc>
        <w:tc>
          <w:tcPr>
            <w:tcW w:type="dxa" w:w="1504"/>
            <w:shd w:fill="D9E2F3"/>
          </w:tcPr>
          <w:p>
            <w:pPr>
              <w:spacing w:before="40" w:after="40" w:line="280" w:lineRule="exact"/>
              <w:jc w:val="center"/>
            </w:pPr>
            <w:r/>
            <w:r>
              <w:rPr>
                <w:rFonts w:ascii="Arial" w:hAnsi="Arial"/>
                <w:b/>
                <w:sz w:val="18"/>
              </w:rPr>
              <w:t>Overall (N=58,021)</w:t>
            </w:r>
          </w:p>
        </w:tc>
        <w:tc>
          <w:tcPr>
            <w:tcW w:type="dxa" w:w="1504"/>
            <w:shd w:fill="D9E2F3"/>
          </w:tcPr>
          <w:p>
            <w:pPr>
              <w:spacing w:before="40" w:after="40" w:line="280" w:lineRule="exact"/>
              <w:jc w:val="center"/>
            </w:pPr>
            <w:r/>
            <w:r>
              <w:rPr>
                <w:rFonts w:ascii="Arial" w:hAnsi="Arial"/>
                <w:b/>
                <w:sz w:val="18"/>
              </w:rPr>
              <w:t>FH− (n=57,292)</w:t>
            </w:r>
          </w:p>
        </w:tc>
        <w:tc>
          <w:tcPr>
            <w:tcW w:type="dxa" w:w="1504"/>
            <w:shd w:fill="D9E2F3"/>
          </w:tcPr>
          <w:p>
            <w:pPr>
              <w:spacing w:before="40" w:after="40" w:line="280" w:lineRule="exact"/>
              <w:jc w:val="center"/>
            </w:pPr>
            <w:r/>
            <w:r>
              <w:rPr>
                <w:rFonts w:ascii="Arial" w:hAnsi="Arial"/>
                <w:b/>
                <w:sz w:val="18"/>
              </w:rPr>
              <w:t>FH+ (n=729)</w:t>
            </w:r>
          </w:p>
        </w:tc>
        <w:tc>
          <w:tcPr>
            <w:tcW w:type="dxa" w:w="1504"/>
            <w:shd w:fill="D9E2F3"/>
          </w:tcPr>
          <w:p>
            <w:pPr>
              <w:spacing w:before="40" w:after="40" w:line="280" w:lineRule="exact"/>
              <w:jc w:val="center"/>
            </w:pPr>
            <w:r/>
            <w:r>
              <w:rPr>
                <w:rFonts w:ascii="Arial" w:hAnsi="Arial"/>
                <w:b/>
                <w:sz w:val="18"/>
              </w:rPr>
              <w:t>P value</w:t>
            </w:r>
          </w:p>
        </w:tc>
        <w:tc>
          <w:tcPr>
            <w:tcW w:type="dxa" w:w="1504"/>
            <w:shd w:fill="D9E2F3"/>
          </w:tcPr>
          <w:p>
            <w:pPr>
              <w:spacing w:before="40" w:after="40" w:line="280" w:lineRule="exact"/>
              <w:jc w:val="center"/>
            </w:pPr>
            <w:r/>
            <w:r>
              <w:rPr>
                <w:rFonts w:ascii="Arial" w:hAnsi="Arial"/>
                <w:b/>
                <w:sz w:val="18"/>
              </w:rPr>
              <w:t>Cohen’s d</w:t>
            </w:r>
          </w:p>
        </w:tc>
      </w:tr>
      <w:tr>
        <w:tc>
          <w:tcPr>
            <w:tcW w:type="dxa" w:w="1504"/>
          </w:tcPr>
          <w:p>
            <w:pPr>
              <w:spacing w:before="40" w:after="40" w:line="280" w:lineRule="exact"/>
              <w:jc w:val="left"/>
            </w:pPr>
            <w:r/>
            <w:r>
              <w:rPr>
                <w:rFonts w:ascii="Arial" w:hAnsi="Arial"/>
                <w:b w:val="0"/>
                <w:sz w:val="18"/>
              </w:rPr>
              <w:t>Age, years, mean (SD)</w:t>
            </w:r>
          </w:p>
        </w:tc>
        <w:tc>
          <w:tcPr>
            <w:tcW w:type="dxa" w:w="1504"/>
          </w:tcPr>
          <w:p>
            <w:pPr>
              <w:spacing w:before="40" w:after="40" w:line="280" w:lineRule="exact"/>
              <w:jc w:val="center"/>
            </w:pPr>
            <w:r/>
            <w:r>
              <w:rPr>
                <w:rFonts w:ascii="Arial" w:hAnsi="Arial"/>
                <w:b w:val="0"/>
                <w:sz w:val="18"/>
              </w:rPr>
              <w:t>58.9 (7.0)</w:t>
            </w:r>
          </w:p>
        </w:tc>
        <w:tc>
          <w:tcPr>
            <w:tcW w:type="dxa" w:w="1504"/>
          </w:tcPr>
          <w:p>
            <w:pPr>
              <w:spacing w:before="40" w:after="40" w:line="280" w:lineRule="exact"/>
              <w:jc w:val="center"/>
            </w:pPr>
            <w:r/>
            <w:r>
              <w:rPr>
                <w:rFonts w:ascii="Arial" w:hAnsi="Arial"/>
                <w:b w:val="0"/>
                <w:sz w:val="18"/>
              </w:rPr>
              <w:t>58.9 (7.0)</w:t>
            </w:r>
          </w:p>
        </w:tc>
        <w:tc>
          <w:tcPr>
            <w:tcW w:type="dxa" w:w="1504"/>
          </w:tcPr>
          <w:p>
            <w:pPr>
              <w:spacing w:before="40" w:after="40" w:line="280" w:lineRule="exact"/>
              <w:jc w:val="center"/>
            </w:pPr>
            <w:r/>
            <w:r>
              <w:rPr>
                <w:rFonts w:ascii="Arial" w:hAnsi="Arial"/>
                <w:b w:val="0"/>
                <w:sz w:val="18"/>
              </w:rPr>
              <w:t>57.3 (7.7)</w:t>
            </w:r>
          </w:p>
        </w:tc>
        <w:tc>
          <w:tcPr>
            <w:tcW w:type="dxa" w:w="1504"/>
          </w:tcPr>
          <w:p>
            <w:pPr>
              <w:spacing w:before="40" w:after="40" w:line="280" w:lineRule="exact"/>
              <w:jc w:val="center"/>
            </w:pPr>
            <w:r/>
            <w:r>
              <w:rPr>
                <w:rFonts w:ascii="Arial" w:hAnsi="Arial"/>
                <w:b w:val="0"/>
                <w:sz w:val="18"/>
              </w:rPr>
              <w:t>&lt;1×10⁻⁸</w:t>
            </w:r>
          </w:p>
        </w:tc>
        <w:tc>
          <w:tcPr>
            <w:tcW w:type="dxa" w:w="1504"/>
          </w:tcPr>
          <w:p>
            <w:pPr>
              <w:spacing w:before="40" w:after="40" w:line="280" w:lineRule="exact"/>
              <w:jc w:val="center"/>
            </w:pPr>
            <w:r/>
            <w:r>
              <w:rPr>
                <w:rFonts w:ascii="Arial" w:hAnsi="Arial"/>
                <w:b w:val="0"/>
                <w:sz w:val="18"/>
              </w:rPr>
              <w:t>0.236</w:t>
            </w:r>
          </w:p>
        </w:tc>
      </w:tr>
      <w:tr>
        <w:tc>
          <w:tcPr>
            <w:tcW w:type="dxa" w:w="1504"/>
          </w:tcPr>
          <w:p>
            <w:pPr>
              <w:spacing w:before="40" w:after="40" w:line="280" w:lineRule="exact"/>
              <w:jc w:val="left"/>
            </w:pPr>
            <w:r/>
            <w:r>
              <w:rPr>
                <w:rFonts w:ascii="Arial" w:hAnsi="Arial"/>
                <w:b w:val="0"/>
                <w:sz w:val="18"/>
              </w:rPr>
              <w:t>Female sex, n (%)</w:t>
            </w:r>
          </w:p>
        </w:tc>
        <w:tc>
          <w:tcPr>
            <w:tcW w:type="dxa" w:w="1504"/>
          </w:tcPr>
          <w:p>
            <w:pPr>
              <w:spacing w:before="40" w:after="40" w:line="280" w:lineRule="exact"/>
              <w:jc w:val="center"/>
            </w:pPr>
            <w:r/>
            <w:r>
              <w:rPr>
                <w:rFonts w:ascii="Arial" w:hAnsi="Arial"/>
                <w:b w:val="0"/>
                <w:sz w:val="18"/>
              </w:rPr>
              <w:t>31,945 (55.1)</w:t>
            </w:r>
          </w:p>
        </w:tc>
        <w:tc>
          <w:tcPr>
            <w:tcW w:type="dxa" w:w="1504"/>
          </w:tcPr>
          <w:p>
            <w:pPr>
              <w:spacing w:before="40" w:after="40" w:line="280" w:lineRule="exact"/>
              <w:jc w:val="center"/>
            </w:pPr>
            <w:r/>
            <w:r>
              <w:rPr>
                <w:rFonts w:ascii="Arial" w:hAnsi="Arial"/>
                <w:b w:val="0"/>
                <w:sz w:val="18"/>
              </w:rPr>
              <w:t>31,518 (55.0)</w:t>
            </w:r>
          </w:p>
        </w:tc>
        <w:tc>
          <w:tcPr>
            <w:tcW w:type="dxa" w:w="1504"/>
          </w:tcPr>
          <w:p>
            <w:pPr>
              <w:spacing w:before="40" w:after="40" w:line="280" w:lineRule="exact"/>
              <w:jc w:val="center"/>
            </w:pPr>
            <w:r/>
            <w:r>
              <w:rPr>
                <w:rFonts w:ascii="Arial" w:hAnsi="Arial"/>
                <w:b w:val="0"/>
                <w:sz w:val="18"/>
              </w:rPr>
              <w:t>427 (58.6)</w:t>
            </w:r>
          </w:p>
        </w:tc>
        <w:tc>
          <w:tcPr>
            <w:tcW w:type="dxa" w:w="1504"/>
          </w:tcPr>
          <w:p>
            <w:pPr>
              <w:spacing w:before="40" w:after="40" w:line="280" w:lineRule="exact"/>
              <w:jc w:val="center"/>
            </w:pPr>
            <w:r/>
            <w:r>
              <w:rPr>
                <w:rFonts w:ascii="Arial" w:hAnsi="Arial"/>
                <w:b w:val="0"/>
                <w:sz w:val="18"/>
              </w:rPr>
              <w:t>0.060</w:t>
            </w:r>
          </w:p>
        </w:tc>
        <w:tc>
          <w:tcPr>
            <w:tcW w:type="dxa" w:w="1504"/>
          </w:tcPr>
          <w:p>
            <w:pPr>
              <w:spacing w:before="40" w:after="40" w:line="280" w:lineRule="exact"/>
              <w:jc w:val="center"/>
            </w:pPr>
            <w:r/>
            <w:r>
              <w:rPr>
                <w:rFonts w:ascii="Arial" w:hAnsi="Arial"/>
                <w:b w:val="0"/>
                <w:sz w:val="18"/>
              </w:rPr>
              <w:t>--</w:t>
            </w:r>
          </w:p>
        </w:tc>
      </w:tr>
      <w:tr>
        <w:tc>
          <w:tcPr>
            <w:tcW w:type="dxa" w:w="1504"/>
          </w:tcPr>
          <w:p>
            <w:pPr>
              <w:spacing w:before="40" w:after="40" w:line="280" w:lineRule="exact"/>
              <w:jc w:val="left"/>
            </w:pPr>
            <w:r/>
            <w:r>
              <w:rPr>
                <w:rFonts w:ascii="Arial" w:hAnsi="Arial"/>
                <w:b w:val="0"/>
                <w:sz w:val="18"/>
              </w:rPr>
              <w:t>BMI, kg/m², mean (SD)</w:t>
            </w:r>
          </w:p>
        </w:tc>
        <w:tc>
          <w:tcPr>
            <w:tcW w:type="dxa" w:w="1504"/>
          </w:tcPr>
          <w:p>
            <w:pPr>
              <w:spacing w:before="40" w:after="40" w:line="280" w:lineRule="exact"/>
              <w:jc w:val="center"/>
            </w:pPr>
            <w:r/>
            <w:r>
              <w:rPr>
                <w:rFonts w:ascii="Arial" w:hAnsi="Arial"/>
                <w:b w:val="0"/>
                <w:sz w:val="18"/>
              </w:rPr>
              <w:t>28.4 (4.7)</w:t>
            </w:r>
          </w:p>
        </w:tc>
        <w:tc>
          <w:tcPr>
            <w:tcW w:type="dxa" w:w="1504"/>
          </w:tcPr>
          <w:p>
            <w:pPr>
              <w:spacing w:before="40" w:after="40" w:line="280" w:lineRule="exact"/>
              <w:jc w:val="center"/>
            </w:pPr>
            <w:r/>
            <w:r>
              <w:rPr>
                <w:rFonts w:ascii="Arial" w:hAnsi="Arial"/>
                <w:b w:val="0"/>
                <w:sz w:val="18"/>
              </w:rPr>
              <w:t>28.5 (4.7)</w:t>
            </w:r>
          </w:p>
        </w:tc>
        <w:tc>
          <w:tcPr>
            <w:tcW w:type="dxa" w:w="1504"/>
          </w:tcPr>
          <w:p>
            <w:pPr>
              <w:spacing w:before="40" w:after="40" w:line="280" w:lineRule="exact"/>
              <w:jc w:val="center"/>
            </w:pPr>
            <w:r/>
            <w:r>
              <w:rPr>
                <w:rFonts w:ascii="Arial" w:hAnsi="Arial"/>
                <w:b w:val="0"/>
                <w:sz w:val="18"/>
              </w:rPr>
              <w:t>27.8 (4.7)</w:t>
            </w:r>
          </w:p>
        </w:tc>
        <w:tc>
          <w:tcPr>
            <w:tcW w:type="dxa" w:w="1504"/>
          </w:tcPr>
          <w:p>
            <w:pPr>
              <w:spacing w:before="40" w:after="40" w:line="280" w:lineRule="exact"/>
              <w:jc w:val="center"/>
            </w:pPr>
            <w:r/>
            <w:r>
              <w:rPr>
                <w:rFonts w:ascii="Arial" w:hAnsi="Arial"/>
                <w:b w:val="0"/>
                <w:sz w:val="18"/>
              </w:rPr>
              <w:t>0.0002</w:t>
            </w:r>
          </w:p>
        </w:tc>
        <w:tc>
          <w:tcPr>
            <w:tcW w:type="dxa" w:w="1504"/>
          </w:tcPr>
          <w:p>
            <w:pPr>
              <w:spacing w:before="40" w:after="40" w:line="280" w:lineRule="exact"/>
              <w:jc w:val="center"/>
            </w:pPr>
            <w:r/>
            <w:r>
              <w:rPr>
                <w:rFonts w:ascii="Arial" w:hAnsi="Arial"/>
                <w:b w:val="0"/>
                <w:sz w:val="18"/>
              </w:rPr>
              <w:t>0.138</w:t>
            </w:r>
          </w:p>
        </w:tc>
      </w:tr>
      <w:tr>
        <w:tc>
          <w:tcPr>
            <w:tcW w:type="dxa" w:w="1504"/>
          </w:tcPr>
          <w:p>
            <w:pPr>
              <w:spacing w:before="40" w:after="40" w:line="280" w:lineRule="exact"/>
              <w:jc w:val="left"/>
            </w:pPr>
            <w:r/>
            <w:r>
              <w:rPr>
                <w:rFonts w:ascii="Arial" w:hAnsi="Arial"/>
                <w:b w:val="0"/>
                <w:sz w:val="18"/>
              </w:rPr>
              <w:t>LDL-C statin-corrected</w:t>
            </w:r>
          </w:p>
        </w:tc>
        <w:tc>
          <w:tcPr>
            <w:tcW w:type="dxa" w:w="1504"/>
          </w:tcPr>
          <w:p>
            <w:pPr>
              <w:spacing w:before="40" w:after="40" w:line="280" w:lineRule="exact"/>
              <w:jc w:val="center"/>
            </w:pPr>
            <w:r/>
            <w:r>
              <w:rPr>
                <w:rFonts w:ascii="Arial" w:hAnsi="Arial"/>
                <w:b w:val="0"/>
                <w:sz w:val="18"/>
              </w:rPr>
              <w:t>5.1 (0.9)</w:t>
            </w:r>
          </w:p>
        </w:tc>
        <w:tc>
          <w:tcPr>
            <w:tcW w:type="dxa" w:w="1504"/>
          </w:tcPr>
          <w:p>
            <w:pPr>
              <w:spacing w:before="40" w:after="40" w:line="280" w:lineRule="exact"/>
              <w:jc w:val="center"/>
            </w:pPr>
            <w:r/>
            <w:r>
              <w:rPr>
                <w:rFonts w:ascii="Arial" w:hAnsi="Arial"/>
                <w:b w:val="0"/>
                <w:sz w:val="18"/>
              </w:rPr>
              <w:t>5.1 (0.9)</w:t>
            </w:r>
          </w:p>
        </w:tc>
        <w:tc>
          <w:tcPr>
            <w:tcW w:type="dxa" w:w="1504"/>
          </w:tcPr>
          <w:p>
            <w:pPr>
              <w:spacing w:before="40" w:after="40" w:line="280" w:lineRule="exact"/>
              <w:jc w:val="center"/>
            </w:pPr>
            <w:r/>
            <w:r>
              <w:rPr>
                <w:rFonts w:ascii="Arial" w:hAnsi="Arial"/>
                <w:b w:val="0"/>
                <w:sz w:val="18"/>
              </w:rPr>
              <w:t>5.8 (1.2)</w:t>
            </w:r>
          </w:p>
        </w:tc>
        <w:tc>
          <w:tcPr>
            <w:tcW w:type="dxa" w:w="1504"/>
          </w:tcPr>
          <w:p>
            <w:pPr>
              <w:spacing w:before="40" w:after="40" w:line="280" w:lineRule="exact"/>
              <w:jc w:val="center"/>
            </w:pPr>
            <w:r/>
            <w:r>
              <w:rPr>
                <w:rFonts w:ascii="Arial" w:hAnsi="Arial"/>
                <w:b w:val="0"/>
                <w:sz w:val="18"/>
              </w:rPr>
              <w:t>&lt;1×10⁻⁴⁸</w:t>
            </w:r>
          </w:p>
        </w:tc>
        <w:tc>
          <w:tcPr>
            <w:tcW w:type="dxa" w:w="1504"/>
          </w:tcPr>
          <w:p>
            <w:pPr>
              <w:spacing w:before="40" w:after="40" w:line="280" w:lineRule="exact"/>
              <w:jc w:val="center"/>
            </w:pPr>
            <w:r/>
            <w:r>
              <w:rPr>
                <w:rFonts w:ascii="Arial" w:hAnsi="Arial"/>
                <w:b w:val="0"/>
                <w:sz w:val="18"/>
              </w:rPr>
              <w:t>-0.739</w:t>
            </w:r>
          </w:p>
        </w:tc>
      </w:tr>
      <w:tr>
        <w:tc>
          <w:tcPr>
            <w:tcW w:type="dxa" w:w="1504"/>
          </w:tcPr>
          <w:p>
            <w:pPr>
              <w:spacing w:before="40" w:after="40" w:line="280" w:lineRule="exact"/>
              <w:jc w:val="left"/>
            </w:pPr>
            <w:r/>
            <w:r>
              <w:rPr>
                <w:rFonts w:ascii="Arial" w:hAnsi="Arial"/>
                <w:b w:val="0"/>
                <w:sz w:val="18"/>
              </w:rPr>
              <w:t>LDL-C measured, mmol/L</w:t>
            </w:r>
          </w:p>
        </w:tc>
        <w:tc>
          <w:tcPr>
            <w:tcW w:type="dxa" w:w="1504"/>
          </w:tcPr>
          <w:p>
            <w:pPr>
              <w:spacing w:before="40" w:after="40" w:line="280" w:lineRule="exact"/>
              <w:jc w:val="center"/>
            </w:pPr>
            <w:r/>
            <w:r>
              <w:rPr>
                <w:rFonts w:ascii="Arial" w:hAnsi="Arial"/>
                <w:b w:val="0"/>
                <w:sz w:val="18"/>
              </w:rPr>
              <w:t>4.4 (1.2)</w:t>
            </w:r>
          </w:p>
        </w:tc>
        <w:tc>
          <w:tcPr>
            <w:tcW w:type="dxa" w:w="1504"/>
          </w:tcPr>
          <w:p>
            <w:pPr>
              <w:spacing w:before="40" w:after="40" w:line="280" w:lineRule="exact"/>
              <w:jc w:val="center"/>
            </w:pPr>
            <w:r/>
            <w:r>
              <w:rPr>
                <w:rFonts w:ascii="Arial" w:hAnsi="Arial"/>
                <w:b w:val="0"/>
                <w:sz w:val="18"/>
              </w:rPr>
              <w:t>4.4 (1.2)</w:t>
            </w:r>
          </w:p>
        </w:tc>
        <w:tc>
          <w:tcPr>
            <w:tcW w:type="dxa" w:w="1504"/>
          </w:tcPr>
          <w:p>
            <w:pPr>
              <w:spacing w:before="40" w:after="40" w:line="280" w:lineRule="exact"/>
              <w:jc w:val="center"/>
            </w:pPr>
            <w:r/>
            <w:r>
              <w:rPr>
                <w:rFonts w:ascii="Arial" w:hAnsi="Arial"/>
                <w:b w:val="0"/>
                <w:sz w:val="18"/>
              </w:rPr>
              <w:t>4.7 (1.3)</w:t>
            </w:r>
          </w:p>
        </w:tc>
        <w:tc>
          <w:tcPr>
            <w:tcW w:type="dxa" w:w="1504"/>
          </w:tcPr>
          <w:p>
            <w:pPr>
              <w:spacing w:before="40" w:after="40" w:line="280" w:lineRule="exact"/>
              <w:jc w:val="center"/>
            </w:pPr>
            <w:r/>
            <w:r>
              <w:rPr>
                <w:rFonts w:ascii="Arial" w:hAnsi="Arial"/>
                <w:b w:val="0"/>
                <w:sz w:val="18"/>
              </w:rPr>
              <w:t>&lt;1×10⁻⁷</w:t>
            </w:r>
          </w:p>
        </w:tc>
        <w:tc>
          <w:tcPr>
            <w:tcW w:type="dxa" w:w="1504"/>
          </w:tcPr>
          <w:p>
            <w:pPr>
              <w:spacing w:before="40" w:after="40" w:line="280" w:lineRule="exact"/>
              <w:jc w:val="center"/>
            </w:pPr>
            <w:r/>
            <w:r>
              <w:rPr>
                <w:rFonts w:ascii="Arial" w:hAnsi="Arial"/>
                <w:b w:val="0"/>
                <w:sz w:val="18"/>
              </w:rPr>
              <w:t>-0.222</w:t>
            </w:r>
          </w:p>
        </w:tc>
      </w:tr>
      <w:tr>
        <w:tc>
          <w:tcPr>
            <w:tcW w:type="dxa" w:w="1504"/>
          </w:tcPr>
          <w:p>
            <w:pPr>
              <w:spacing w:before="40" w:after="40" w:line="280" w:lineRule="exact"/>
              <w:jc w:val="left"/>
            </w:pPr>
            <w:r/>
            <w:r>
              <w:rPr>
                <w:rFonts w:ascii="Arial" w:hAnsi="Arial"/>
                <w:b w:val="0"/>
                <w:sz w:val="18"/>
              </w:rPr>
              <w:t>HDL-C, mmol/L</w:t>
            </w:r>
          </w:p>
        </w:tc>
        <w:tc>
          <w:tcPr>
            <w:tcW w:type="dxa" w:w="1504"/>
          </w:tcPr>
          <w:p>
            <w:pPr>
              <w:spacing w:before="40" w:after="40" w:line="280" w:lineRule="exact"/>
              <w:jc w:val="center"/>
            </w:pPr>
            <w:r/>
            <w:r>
              <w:rPr>
                <w:rFonts w:ascii="Arial" w:hAnsi="Arial"/>
                <w:b w:val="0"/>
                <w:sz w:val="18"/>
              </w:rPr>
              <w:t>1.5 (0.4)</w:t>
            </w:r>
          </w:p>
        </w:tc>
        <w:tc>
          <w:tcPr>
            <w:tcW w:type="dxa" w:w="1504"/>
          </w:tcPr>
          <w:p>
            <w:pPr>
              <w:spacing w:before="40" w:after="40" w:line="280" w:lineRule="exact"/>
              <w:jc w:val="center"/>
            </w:pPr>
            <w:r/>
            <w:r>
              <w:rPr>
                <w:rFonts w:ascii="Arial" w:hAnsi="Arial"/>
                <w:b w:val="0"/>
                <w:sz w:val="18"/>
              </w:rPr>
              <w:t>1.5 (0.4)</w:t>
            </w:r>
          </w:p>
        </w:tc>
        <w:tc>
          <w:tcPr>
            <w:tcW w:type="dxa" w:w="1504"/>
          </w:tcPr>
          <w:p>
            <w:pPr>
              <w:spacing w:before="40" w:after="40" w:line="280" w:lineRule="exact"/>
              <w:jc w:val="center"/>
            </w:pPr>
            <w:r/>
            <w:r>
              <w:rPr>
                <w:rFonts w:ascii="Arial" w:hAnsi="Arial"/>
                <w:b w:val="0"/>
                <w:sz w:val="18"/>
              </w:rPr>
              <w:t>1.4 (0.4)</w:t>
            </w:r>
          </w:p>
        </w:tc>
        <w:tc>
          <w:tcPr>
            <w:tcW w:type="dxa" w:w="1504"/>
          </w:tcPr>
          <w:p>
            <w:pPr>
              <w:spacing w:before="40" w:after="40" w:line="280" w:lineRule="exact"/>
              <w:jc w:val="center"/>
            </w:pPr>
            <w:r/>
            <w:r>
              <w:rPr>
                <w:rFonts w:ascii="Arial" w:hAnsi="Arial"/>
                <w:b w:val="0"/>
                <w:sz w:val="18"/>
              </w:rPr>
              <w:t>0.002</w:t>
            </w:r>
          </w:p>
        </w:tc>
        <w:tc>
          <w:tcPr>
            <w:tcW w:type="dxa" w:w="1504"/>
          </w:tcPr>
          <w:p>
            <w:pPr>
              <w:spacing w:before="40" w:after="40" w:line="280" w:lineRule="exact"/>
              <w:jc w:val="center"/>
            </w:pPr>
            <w:r/>
            <w:r>
              <w:rPr>
                <w:rFonts w:ascii="Arial" w:hAnsi="Arial"/>
                <w:b w:val="0"/>
                <w:sz w:val="18"/>
              </w:rPr>
              <w:t>0.105</w:t>
            </w:r>
          </w:p>
        </w:tc>
      </w:tr>
      <w:tr>
        <w:tc>
          <w:tcPr>
            <w:tcW w:type="dxa" w:w="1504"/>
          </w:tcPr>
          <w:p>
            <w:pPr>
              <w:spacing w:before="40" w:after="40" w:line="280" w:lineRule="exact"/>
              <w:jc w:val="left"/>
            </w:pPr>
            <w:r/>
            <w:r>
              <w:rPr>
                <w:rFonts w:ascii="Arial" w:hAnsi="Arial"/>
                <w:b w:val="0"/>
                <w:sz w:val="18"/>
              </w:rPr>
              <w:t>Triglycerides, mmol/L</w:t>
            </w:r>
          </w:p>
        </w:tc>
        <w:tc>
          <w:tcPr>
            <w:tcW w:type="dxa" w:w="1504"/>
          </w:tcPr>
          <w:p>
            <w:pPr>
              <w:spacing w:before="40" w:after="40" w:line="280" w:lineRule="exact"/>
              <w:jc w:val="center"/>
            </w:pPr>
            <w:r/>
            <w:r>
              <w:rPr>
                <w:rFonts w:ascii="Arial" w:hAnsi="Arial"/>
                <w:b w:val="0"/>
                <w:sz w:val="18"/>
              </w:rPr>
              <w:t>2.2 (1.2)</w:t>
            </w:r>
          </w:p>
        </w:tc>
        <w:tc>
          <w:tcPr>
            <w:tcW w:type="dxa" w:w="1504"/>
          </w:tcPr>
          <w:p>
            <w:pPr>
              <w:spacing w:before="40" w:after="40" w:line="280" w:lineRule="exact"/>
              <w:jc w:val="center"/>
            </w:pPr>
            <w:r/>
            <w:r>
              <w:rPr>
                <w:rFonts w:ascii="Arial" w:hAnsi="Arial"/>
                <w:b w:val="0"/>
                <w:sz w:val="18"/>
              </w:rPr>
              <w:t>2.2 (1.2)</w:t>
            </w:r>
          </w:p>
        </w:tc>
        <w:tc>
          <w:tcPr>
            <w:tcW w:type="dxa" w:w="1504"/>
          </w:tcPr>
          <w:p>
            <w:pPr>
              <w:spacing w:before="40" w:after="40" w:line="280" w:lineRule="exact"/>
              <w:jc w:val="center"/>
            </w:pPr>
            <w:r/>
            <w:r>
              <w:rPr>
                <w:rFonts w:ascii="Arial" w:hAnsi="Arial"/>
                <w:b w:val="0"/>
                <w:sz w:val="18"/>
              </w:rPr>
              <w:t>1.8 (1.0)</w:t>
            </w:r>
          </w:p>
        </w:tc>
        <w:tc>
          <w:tcPr>
            <w:tcW w:type="dxa" w:w="1504"/>
          </w:tcPr>
          <w:p>
            <w:pPr>
              <w:spacing w:before="40" w:after="40" w:line="280" w:lineRule="exact"/>
              <w:jc w:val="center"/>
            </w:pPr>
            <w:r/>
            <w:r>
              <w:rPr>
                <w:rFonts w:ascii="Arial" w:hAnsi="Arial"/>
                <w:b w:val="0"/>
                <w:sz w:val="18"/>
              </w:rPr>
              <w:t>&lt;1×10⁻²⁸</w:t>
            </w:r>
          </w:p>
        </w:tc>
        <w:tc>
          <w:tcPr>
            <w:tcW w:type="dxa" w:w="1504"/>
          </w:tcPr>
          <w:p>
            <w:pPr>
              <w:spacing w:before="40" w:after="40" w:line="280" w:lineRule="exact"/>
              <w:jc w:val="center"/>
            </w:pPr>
            <w:r/>
            <w:r>
              <w:rPr>
                <w:rFonts w:ascii="Arial" w:hAnsi="Arial"/>
                <w:b w:val="0"/>
                <w:sz w:val="18"/>
              </w:rPr>
              <w:t>0.377</w:t>
            </w:r>
          </w:p>
        </w:tc>
      </w:tr>
      <w:tr>
        <w:tc>
          <w:tcPr>
            <w:tcW w:type="dxa" w:w="1504"/>
          </w:tcPr>
          <w:p>
            <w:pPr>
              <w:spacing w:before="40" w:after="40" w:line="280" w:lineRule="exact"/>
              <w:jc w:val="left"/>
            </w:pPr>
            <w:r/>
            <w:r>
              <w:rPr>
                <w:rFonts w:ascii="Arial" w:hAnsi="Arial"/>
                <w:b w:val="0"/>
                <w:sz w:val="18"/>
              </w:rPr>
              <w:t>Total cholesterol, mmol/L</w:t>
            </w:r>
          </w:p>
        </w:tc>
        <w:tc>
          <w:tcPr>
            <w:tcW w:type="dxa" w:w="1504"/>
          </w:tcPr>
          <w:p>
            <w:pPr>
              <w:spacing w:before="40" w:after="40" w:line="280" w:lineRule="exact"/>
              <w:jc w:val="center"/>
            </w:pPr>
            <w:r/>
            <w:r>
              <w:rPr>
                <w:rFonts w:ascii="Arial" w:hAnsi="Arial"/>
                <w:b w:val="0"/>
                <w:sz w:val="18"/>
              </w:rPr>
              <w:t>6.8 (1.5)</w:t>
            </w:r>
          </w:p>
        </w:tc>
        <w:tc>
          <w:tcPr>
            <w:tcW w:type="dxa" w:w="1504"/>
          </w:tcPr>
          <w:p>
            <w:pPr>
              <w:spacing w:before="40" w:after="40" w:line="280" w:lineRule="exact"/>
              <w:jc w:val="center"/>
            </w:pPr>
            <w:r/>
            <w:r>
              <w:rPr>
                <w:rFonts w:ascii="Arial" w:hAnsi="Arial"/>
                <w:b w:val="0"/>
                <w:sz w:val="18"/>
              </w:rPr>
              <w:t>6.8 (1.5)</w:t>
            </w:r>
          </w:p>
        </w:tc>
        <w:tc>
          <w:tcPr>
            <w:tcW w:type="dxa" w:w="1504"/>
          </w:tcPr>
          <w:p>
            <w:pPr>
              <w:spacing w:before="40" w:after="40" w:line="280" w:lineRule="exact"/>
              <w:jc w:val="center"/>
            </w:pPr>
            <w:r/>
            <w:r>
              <w:rPr>
                <w:rFonts w:ascii="Arial" w:hAnsi="Arial"/>
                <w:b w:val="0"/>
                <w:sz w:val="18"/>
              </w:rPr>
              <w:t>7.0 (1.7)</w:t>
            </w:r>
          </w:p>
        </w:tc>
        <w:tc>
          <w:tcPr>
            <w:tcW w:type="dxa" w:w="1504"/>
          </w:tcPr>
          <w:p>
            <w:pPr>
              <w:spacing w:before="40" w:after="40" w:line="280" w:lineRule="exact"/>
              <w:jc w:val="center"/>
            </w:pPr>
            <w:r/>
            <w:r>
              <w:rPr>
                <w:rFonts w:ascii="Arial" w:hAnsi="Arial"/>
                <w:b w:val="0"/>
                <w:sz w:val="18"/>
              </w:rPr>
              <w:t>0.008</w:t>
            </w:r>
          </w:p>
        </w:tc>
        <w:tc>
          <w:tcPr>
            <w:tcW w:type="dxa" w:w="1504"/>
          </w:tcPr>
          <w:p>
            <w:pPr>
              <w:spacing w:before="40" w:after="40" w:line="280" w:lineRule="exact"/>
              <w:jc w:val="center"/>
            </w:pPr>
            <w:r/>
            <w:r>
              <w:rPr>
                <w:rFonts w:ascii="Arial" w:hAnsi="Arial"/>
                <w:b w:val="0"/>
                <w:sz w:val="18"/>
              </w:rPr>
              <w:t>-0.108</w:t>
            </w:r>
          </w:p>
        </w:tc>
      </w:tr>
      <w:tr>
        <w:tc>
          <w:tcPr>
            <w:tcW w:type="dxa" w:w="1504"/>
          </w:tcPr>
          <w:p>
            <w:pPr>
              <w:spacing w:before="40" w:after="40" w:line="280" w:lineRule="exact"/>
              <w:jc w:val="left"/>
            </w:pPr>
            <w:r/>
            <w:r>
              <w:rPr>
                <w:rFonts w:ascii="Arial" w:hAnsi="Arial"/>
                <w:b w:val="0"/>
                <w:sz w:val="18"/>
              </w:rPr>
              <w:t>Trig_Filter, mean (SD)</w:t>
            </w:r>
          </w:p>
        </w:tc>
        <w:tc>
          <w:tcPr>
            <w:tcW w:type="dxa" w:w="1504"/>
          </w:tcPr>
          <w:p>
            <w:pPr>
              <w:spacing w:before="40" w:after="40" w:line="280" w:lineRule="exact"/>
              <w:jc w:val="center"/>
            </w:pPr>
            <w:r/>
            <w:r>
              <w:rPr>
                <w:rFonts w:ascii="Arial" w:hAnsi="Arial"/>
                <w:b w:val="0"/>
                <w:sz w:val="18"/>
              </w:rPr>
              <w:t>2.7 (1.2)</w:t>
            </w:r>
          </w:p>
        </w:tc>
        <w:tc>
          <w:tcPr>
            <w:tcW w:type="dxa" w:w="1504"/>
          </w:tcPr>
          <w:p>
            <w:pPr>
              <w:spacing w:before="40" w:after="40" w:line="280" w:lineRule="exact"/>
              <w:jc w:val="center"/>
            </w:pPr>
            <w:r/>
            <w:r>
              <w:rPr>
                <w:rFonts w:ascii="Arial" w:hAnsi="Arial"/>
                <w:b w:val="0"/>
                <w:sz w:val="18"/>
              </w:rPr>
              <w:t>2.7 (1.2)</w:t>
            </w:r>
          </w:p>
        </w:tc>
        <w:tc>
          <w:tcPr>
            <w:tcW w:type="dxa" w:w="1504"/>
          </w:tcPr>
          <w:p>
            <w:pPr>
              <w:spacing w:before="40" w:after="40" w:line="280" w:lineRule="exact"/>
              <w:jc w:val="center"/>
            </w:pPr>
            <w:r/>
            <w:r>
              <w:rPr>
                <w:rFonts w:ascii="Arial" w:hAnsi="Arial"/>
                <w:b w:val="0"/>
                <w:sz w:val="18"/>
              </w:rPr>
              <w:t>3.9 (1.9)</w:t>
            </w:r>
          </w:p>
        </w:tc>
        <w:tc>
          <w:tcPr>
            <w:tcW w:type="dxa" w:w="1504"/>
          </w:tcPr>
          <w:p>
            <w:pPr>
              <w:spacing w:before="40" w:after="40" w:line="280" w:lineRule="exact"/>
              <w:jc w:val="center"/>
            </w:pPr>
            <w:r/>
            <w:r>
              <w:rPr>
                <w:rFonts w:ascii="Arial" w:hAnsi="Arial"/>
                <w:b w:val="0"/>
                <w:sz w:val="18"/>
              </w:rPr>
              <w:t>&lt;1×10⁻⁵⁴</w:t>
            </w:r>
          </w:p>
        </w:tc>
        <w:tc>
          <w:tcPr>
            <w:tcW w:type="dxa" w:w="1504"/>
          </w:tcPr>
          <w:p>
            <w:pPr>
              <w:spacing w:before="40" w:after="40" w:line="280" w:lineRule="exact"/>
              <w:jc w:val="center"/>
            </w:pPr>
            <w:r/>
            <w:r>
              <w:rPr>
                <w:rFonts w:ascii="Arial" w:hAnsi="Arial"/>
                <w:b w:val="0"/>
                <w:sz w:val="18"/>
              </w:rPr>
              <w:t>-0.963</w:t>
            </w:r>
          </w:p>
        </w:tc>
      </w:tr>
      <w:tr>
        <w:tc>
          <w:tcPr>
            <w:tcW w:type="dxa" w:w="1504"/>
          </w:tcPr>
          <w:p>
            <w:pPr>
              <w:spacing w:before="40" w:after="40" w:line="280" w:lineRule="exact"/>
              <w:jc w:val="left"/>
            </w:pPr>
            <w:r/>
            <w:r>
              <w:rPr>
                <w:rFonts w:ascii="Arial" w:hAnsi="Arial"/>
                <w:b w:val="0"/>
                <w:sz w:val="18"/>
              </w:rPr>
              <w:t>ApoB, g/L, mean (SD)</w:t>
            </w:r>
          </w:p>
        </w:tc>
        <w:tc>
          <w:tcPr>
            <w:tcW w:type="dxa" w:w="1504"/>
          </w:tcPr>
          <w:p>
            <w:pPr>
              <w:spacing w:before="40" w:after="40" w:line="280" w:lineRule="exact"/>
              <w:jc w:val="center"/>
            </w:pPr>
            <w:r/>
            <w:r>
              <w:rPr>
                <w:rFonts w:ascii="Arial" w:hAnsi="Arial"/>
                <w:b w:val="0"/>
                <w:sz w:val="18"/>
              </w:rPr>
              <w:t>1.3 (0.3)</w:t>
            </w:r>
          </w:p>
        </w:tc>
        <w:tc>
          <w:tcPr>
            <w:tcW w:type="dxa" w:w="1504"/>
          </w:tcPr>
          <w:p>
            <w:pPr>
              <w:spacing w:before="40" w:after="40" w:line="280" w:lineRule="exact"/>
              <w:jc w:val="center"/>
            </w:pPr>
            <w:r/>
            <w:r>
              <w:rPr>
                <w:rFonts w:ascii="Arial" w:hAnsi="Arial"/>
                <w:b w:val="0"/>
                <w:sz w:val="18"/>
              </w:rPr>
              <w:t>1.3 (0.3)</w:t>
            </w:r>
          </w:p>
        </w:tc>
        <w:tc>
          <w:tcPr>
            <w:tcW w:type="dxa" w:w="1504"/>
          </w:tcPr>
          <w:p>
            <w:pPr>
              <w:spacing w:before="40" w:after="40" w:line="280" w:lineRule="exact"/>
              <w:jc w:val="center"/>
            </w:pPr>
            <w:r/>
            <w:r>
              <w:rPr>
                <w:rFonts w:ascii="Arial" w:hAnsi="Arial"/>
                <w:b w:val="0"/>
                <w:sz w:val="18"/>
              </w:rPr>
              <w:t>1.3 (0.3)</w:t>
            </w:r>
          </w:p>
        </w:tc>
        <w:tc>
          <w:tcPr>
            <w:tcW w:type="dxa" w:w="1504"/>
          </w:tcPr>
          <w:p>
            <w:pPr>
              <w:spacing w:before="40" w:after="40" w:line="280" w:lineRule="exact"/>
              <w:jc w:val="center"/>
            </w:pPr>
            <w:r/>
            <w:r>
              <w:rPr>
                <w:rFonts w:ascii="Arial" w:hAnsi="Arial"/>
                <w:b w:val="0"/>
                <w:sz w:val="18"/>
              </w:rPr>
              <w:t>&lt;1×10⁻⁴</w:t>
            </w:r>
          </w:p>
        </w:tc>
        <w:tc>
          <w:tcPr>
            <w:tcW w:type="dxa" w:w="1504"/>
          </w:tcPr>
          <w:p>
            <w:pPr>
              <w:spacing w:before="40" w:after="40" w:line="280" w:lineRule="exact"/>
              <w:jc w:val="center"/>
            </w:pPr>
            <w:r/>
            <w:r>
              <w:rPr>
                <w:rFonts w:ascii="Arial" w:hAnsi="Arial"/>
                <w:b w:val="0"/>
                <w:sz w:val="18"/>
              </w:rPr>
              <w:t>-0.149</w:t>
            </w:r>
          </w:p>
        </w:tc>
      </w:tr>
      <w:tr>
        <w:tc>
          <w:tcPr>
            <w:tcW w:type="dxa" w:w="1504"/>
          </w:tcPr>
          <w:p>
            <w:pPr>
              <w:spacing w:before="40" w:after="40" w:line="280" w:lineRule="exact"/>
              <w:jc w:val="left"/>
            </w:pPr>
            <w:r/>
            <w:r>
              <w:rPr>
                <w:rFonts w:ascii="Arial" w:hAnsi="Arial"/>
                <w:b w:val="0"/>
                <w:sz w:val="18"/>
              </w:rPr>
              <w:t>ApoB/LDL-C ratio</w:t>
            </w:r>
          </w:p>
        </w:tc>
        <w:tc>
          <w:tcPr>
            <w:tcW w:type="dxa" w:w="1504"/>
          </w:tcPr>
          <w:p>
            <w:pPr>
              <w:spacing w:before="40" w:after="40" w:line="280" w:lineRule="exact"/>
              <w:jc w:val="center"/>
            </w:pPr>
            <w:r/>
            <w:r>
              <w:rPr>
                <w:rFonts w:ascii="Arial" w:hAnsi="Arial"/>
                <w:b w:val="0"/>
                <w:sz w:val="18"/>
              </w:rPr>
              <w:t>0.3 (0.0)</w:t>
            </w:r>
          </w:p>
        </w:tc>
        <w:tc>
          <w:tcPr>
            <w:tcW w:type="dxa" w:w="1504"/>
          </w:tcPr>
          <w:p>
            <w:pPr>
              <w:spacing w:before="40" w:after="40" w:line="280" w:lineRule="exact"/>
              <w:jc w:val="center"/>
            </w:pPr>
            <w:r/>
            <w:r>
              <w:rPr>
                <w:rFonts w:ascii="Arial" w:hAnsi="Arial"/>
                <w:b w:val="0"/>
                <w:sz w:val="18"/>
              </w:rPr>
              <w:t>0.3 (0.0)</w:t>
            </w:r>
          </w:p>
        </w:tc>
        <w:tc>
          <w:tcPr>
            <w:tcW w:type="dxa" w:w="1504"/>
          </w:tcPr>
          <w:p>
            <w:pPr>
              <w:spacing w:before="40" w:after="40" w:line="280" w:lineRule="exact"/>
              <w:jc w:val="center"/>
            </w:pPr>
            <w:r/>
            <w:r>
              <w:rPr>
                <w:rFonts w:ascii="Arial" w:hAnsi="Arial"/>
                <w:b w:val="0"/>
                <w:sz w:val="18"/>
              </w:rPr>
              <w:t>0.2 (0.0)</w:t>
            </w:r>
          </w:p>
        </w:tc>
        <w:tc>
          <w:tcPr>
            <w:tcW w:type="dxa" w:w="1504"/>
          </w:tcPr>
          <w:p>
            <w:pPr>
              <w:spacing w:before="40" w:after="40" w:line="280" w:lineRule="exact"/>
              <w:jc w:val="center"/>
            </w:pPr>
            <w:r/>
            <w:r>
              <w:rPr>
                <w:rFonts w:ascii="Arial" w:hAnsi="Arial"/>
                <w:b w:val="0"/>
                <w:sz w:val="18"/>
              </w:rPr>
              <w:t>&lt;1×10⁻²²</w:t>
            </w:r>
          </w:p>
        </w:tc>
        <w:tc>
          <w:tcPr>
            <w:tcW w:type="dxa" w:w="1504"/>
          </w:tcPr>
          <w:p>
            <w:pPr>
              <w:spacing w:before="40" w:after="40" w:line="280" w:lineRule="exact"/>
              <w:jc w:val="center"/>
            </w:pPr>
            <w:r/>
            <w:r>
              <w:rPr>
                <w:rFonts w:ascii="Arial" w:hAnsi="Arial"/>
                <w:b w:val="0"/>
                <w:sz w:val="18"/>
              </w:rPr>
              <w:t>0.384</w:t>
            </w:r>
          </w:p>
        </w:tc>
      </w:tr>
      <w:tr>
        <w:tc>
          <w:tcPr>
            <w:tcW w:type="dxa" w:w="1504"/>
          </w:tcPr>
          <w:p>
            <w:pPr>
              <w:spacing w:before="40" w:after="40" w:line="280" w:lineRule="exact"/>
              <w:jc w:val="left"/>
            </w:pPr>
            <w:r/>
            <w:r>
              <w:rPr>
                <w:rFonts w:ascii="Arial" w:hAnsi="Arial"/>
                <w:b w:val="0"/>
                <w:sz w:val="18"/>
              </w:rPr>
              <w:t>On statin, n (%)</w:t>
            </w:r>
          </w:p>
        </w:tc>
        <w:tc>
          <w:tcPr>
            <w:tcW w:type="dxa" w:w="1504"/>
          </w:tcPr>
          <w:p>
            <w:pPr>
              <w:spacing w:before="40" w:after="40" w:line="280" w:lineRule="exact"/>
              <w:jc w:val="center"/>
            </w:pPr>
            <w:r/>
            <w:r>
              <w:rPr>
                <w:rFonts w:ascii="Arial" w:hAnsi="Arial"/>
                <w:b w:val="0"/>
                <w:sz w:val="18"/>
              </w:rPr>
              <w:t>22,101 (38.1)</w:t>
            </w:r>
          </w:p>
        </w:tc>
        <w:tc>
          <w:tcPr>
            <w:tcW w:type="dxa" w:w="1504"/>
          </w:tcPr>
          <w:p>
            <w:pPr>
              <w:spacing w:before="40" w:after="40" w:line="280" w:lineRule="exact"/>
              <w:jc w:val="center"/>
            </w:pPr>
            <w:r/>
            <w:r>
              <w:rPr>
                <w:rFonts w:ascii="Arial" w:hAnsi="Arial"/>
                <w:b w:val="0"/>
                <w:sz w:val="18"/>
              </w:rPr>
              <w:t>21,711 (37.9)</w:t>
            </w:r>
          </w:p>
        </w:tc>
        <w:tc>
          <w:tcPr>
            <w:tcW w:type="dxa" w:w="1504"/>
          </w:tcPr>
          <w:p>
            <w:pPr>
              <w:spacing w:before="40" w:after="40" w:line="280" w:lineRule="exact"/>
              <w:jc w:val="center"/>
            </w:pPr>
            <w:r/>
            <w:r>
              <w:rPr>
                <w:rFonts w:ascii="Arial" w:hAnsi="Arial"/>
                <w:b w:val="0"/>
                <w:sz w:val="18"/>
              </w:rPr>
              <w:t>390 (53.5)</w:t>
            </w:r>
          </w:p>
        </w:tc>
        <w:tc>
          <w:tcPr>
            <w:tcW w:type="dxa" w:w="1504"/>
          </w:tcPr>
          <w:p>
            <w:pPr>
              <w:spacing w:before="40" w:after="40" w:line="280" w:lineRule="exact"/>
              <w:jc w:val="center"/>
            </w:pPr>
            <w:r/>
            <w:r>
              <w:rPr>
                <w:rFonts w:ascii="Arial" w:hAnsi="Arial"/>
                <w:b w:val="0"/>
                <w:sz w:val="18"/>
              </w:rPr>
              <w:t>&lt;1×10⁻¹⁷</w:t>
            </w:r>
          </w:p>
        </w:tc>
        <w:tc>
          <w:tcPr>
            <w:tcW w:type="dxa" w:w="1504"/>
          </w:tcPr>
          <w:p>
            <w:pPr>
              <w:spacing w:before="40" w:after="40" w:line="280" w:lineRule="exact"/>
              <w:jc w:val="center"/>
            </w:pPr>
            <w:r/>
            <w:r>
              <w:rPr>
                <w:rFonts w:ascii="Arial" w:hAnsi="Arial"/>
                <w:b w:val="0"/>
                <w:sz w:val="18"/>
              </w:rPr>
              <w:t>--</w:t>
            </w:r>
          </w:p>
        </w:tc>
      </w:tr>
      <w:tr>
        <w:tc>
          <w:tcPr>
            <w:tcW w:type="dxa" w:w="1504"/>
          </w:tcPr>
          <w:p>
            <w:pPr>
              <w:spacing w:before="40" w:after="40" w:line="280" w:lineRule="exact"/>
              <w:jc w:val="left"/>
            </w:pPr>
            <w:r/>
            <w:r>
              <w:rPr>
                <w:rFonts w:ascii="Arial" w:hAnsi="Arial"/>
                <w:b w:val="0"/>
                <w:sz w:val="18"/>
              </w:rPr>
              <w:t>Premature ASCVD, n (%)</w:t>
            </w:r>
          </w:p>
        </w:tc>
        <w:tc>
          <w:tcPr>
            <w:tcW w:type="dxa" w:w="1504"/>
          </w:tcPr>
          <w:p>
            <w:pPr>
              <w:spacing w:before="40" w:after="40" w:line="280" w:lineRule="exact"/>
              <w:jc w:val="center"/>
            </w:pPr>
            <w:r/>
            <w:r>
              <w:rPr>
                <w:rFonts w:ascii="Arial" w:hAnsi="Arial"/>
                <w:b w:val="0"/>
                <w:sz w:val="18"/>
              </w:rPr>
              <w:t>11,283 (19.4)</w:t>
            </w:r>
          </w:p>
        </w:tc>
        <w:tc>
          <w:tcPr>
            <w:tcW w:type="dxa" w:w="1504"/>
          </w:tcPr>
          <w:p>
            <w:pPr>
              <w:spacing w:before="40" w:after="40" w:line="280" w:lineRule="exact"/>
              <w:jc w:val="center"/>
            </w:pPr>
            <w:r/>
            <w:r>
              <w:rPr>
                <w:rFonts w:ascii="Arial" w:hAnsi="Arial"/>
                <w:b w:val="0"/>
                <w:sz w:val="18"/>
              </w:rPr>
              <w:t>11,190 (19.5)</w:t>
            </w:r>
          </w:p>
        </w:tc>
        <w:tc>
          <w:tcPr>
            <w:tcW w:type="dxa" w:w="1504"/>
          </w:tcPr>
          <w:p>
            <w:pPr>
              <w:spacing w:before="40" w:after="40" w:line="280" w:lineRule="exact"/>
              <w:jc w:val="center"/>
            </w:pPr>
            <w:r/>
            <w:r>
              <w:rPr>
                <w:rFonts w:ascii="Arial" w:hAnsi="Arial"/>
                <w:b w:val="0"/>
                <w:sz w:val="18"/>
              </w:rPr>
              <w:t>93 (12.8)</w:t>
            </w:r>
          </w:p>
        </w:tc>
        <w:tc>
          <w:tcPr>
            <w:tcW w:type="dxa" w:w="1504"/>
          </w:tcPr>
          <w:p>
            <w:pPr>
              <w:spacing w:before="40" w:after="40" w:line="280" w:lineRule="exact"/>
              <w:jc w:val="center"/>
            </w:pPr>
            <w:r/>
            <w:r>
              <w:rPr>
                <w:rFonts w:ascii="Arial" w:hAnsi="Arial"/>
                <w:b w:val="0"/>
                <w:sz w:val="18"/>
              </w:rPr>
              <w:t>&lt;1×10⁻⁵</w:t>
            </w:r>
          </w:p>
        </w:tc>
        <w:tc>
          <w:tcPr>
            <w:tcW w:type="dxa" w:w="1504"/>
          </w:tcPr>
          <w:p>
            <w:pPr>
              <w:spacing w:before="40" w:after="40" w:line="280" w:lineRule="exact"/>
              <w:jc w:val="center"/>
            </w:pPr>
            <w:r/>
            <w:r>
              <w:rPr>
                <w:rFonts w:ascii="Arial" w:hAnsi="Arial"/>
                <w:b w:val="0"/>
                <w:sz w:val="18"/>
              </w:rPr>
              <w:t>--</w:t>
            </w:r>
          </w:p>
        </w:tc>
      </w:tr>
    </w:tbl>
    <w:p/>
    <w:p>
      <w:r>
        <w:br w:type="page"/>
      </w:r>
    </w:p>
    <w:p>
      <w:pPr>
        <w:spacing w:before="240" w:after="80"/>
      </w:pPr>
      <w:r>
        <w:rPr>
          <w:rFonts w:ascii="Arial" w:hAnsi="Arial"/>
          <w:b/>
          <w:sz w:val="20"/>
        </w:rPr>
        <w:t>Table 5. LOCO-CV Discrimination Across Three Independent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8"/>
        <w:gridCol w:w="1128"/>
        <w:gridCol w:w="1128"/>
        <w:gridCol w:w="1128"/>
        <w:gridCol w:w="1128"/>
        <w:gridCol w:w="1128"/>
        <w:gridCol w:w="1128"/>
        <w:gridCol w:w="1128"/>
      </w:tblGrid>
      <w:tr>
        <w:tc>
          <w:tcPr>
            <w:tcW w:type="dxa" w:w="1128"/>
            <w:shd w:fill="D9E2F3"/>
          </w:tcPr>
          <w:p>
            <w:pPr>
              <w:spacing w:before="40" w:after="40" w:line="280" w:lineRule="exact"/>
              <w:jc w:val="center"/>
            </w:pPr>
            <w:r/>
            <w:r>
              <w:rPr>
                <w:rFonts w:ascii="Arial" w:hAnsi="Arial"/>
                <w:b/>
                <w:sz w:val="18"/>
              </w:rPr>
              <w:t>Held-Out Cohort</w:t>
            </w:r>
          </w:p>
        </w:tc>
        <w:tc>
          <w:tcPr>
            <w:tcW w:type="dxa" w:w="1128"/>
            <w:shd w:fill="D9E2F3"/>
          </w:tcPr>
          <w:p>
            <w:pPr>
              <w:spacing w:before="40" w:after="40" w:line="280" w:lineRule="exact"/>
              <w:jc w:val="center"/>
            </w:pPr>
            <w:r/>
            <w:r>
              <w:rPr>
                <w:rFonts w:ascii="Arial" w:hAnsi="Arial"/>
                <w:b/>
                <w:sz w:val="18"/>
              </w:rPr>
              <w:t>Model</w:t>
            </w:r>
          </w:p>
        </w:tc>
        <w:tc>
          <w:tcPr>
            <w:tcW w:type="dxa" w:w="1128"/>
            <w:shd w:fill="D9E2F3"/>
          </w:tcPr>
          <w:p>
            <w:pPr>
              <w:spacing w:before="40" w:after="40" w:line="280" w:lineRule="exact"/>
              <w:jc w:val="center"/>
            </w:pPr>
            <w:r/>
            <w:r>
              <w:rPr>
                <w:rFonts w:ascii="Arial" w:hAnsi="Arial"/>
                <w:b/>
                <w:sz w:val="18"/>
              </w:rPr>
              <w:t>AUC</w:t>
            </w:r>
          </w:p>
        </w:tc>
        <w:tc>
          <w:tcPr>
            <w:tcW w:type="dxa" w:w="1128"/>
            <w:shd w:fill="D9E2F3"/>
          </w:tcPr>
          <w:p>
            <w:pPr>
              <w:spacing w:before="40" w:after="40" w:line="280" w:lineRule="exact"/>
              <w:jc w:val="center"/>
            </w:pPr>
            <w:r/>
            <w:r>
              <w:rPr>
                <w:rFonts w:ascii="Arial" w:hAnsi="Arial"/>
                <w:b/>
                <w:sz w:val="18"/>
              </w:rPr>
              <w:t>95% CI</w:t>
            </w:r>
          </w:p>
        </w:tc>
        <w:tc>
          <w:tcPr>
            <w:tcW w:type="dxa" w:w="1128"/>
            <w:shd w:fill="D9E2F3"/>
          </w:tcPr>
          <w:p>
            <w:pPr>
              <w:spacing w:before="40" w:after="40" w:line="280" w:lineRule="exact"/>
              <w:jc w:val="center"/>
            </w:pPr>
            <w:r/>
            <w:r>
              <w:rPr>
                <w:rFonts w:ascii="Arial" w:hAnsi="Arial"/>
                <w:b/>
                <w:sz w:val="18"/>
              </w:rPr>
              <w:t>Sens</w:t>
            </w:r>
          </w:p>
        </w:tc>
        <w:tc>
          <w:tcPr>
            <w:tcW w:type="dxa" w:w="1128"/>
            <w:shd w:fill="D9E2F3"/>
          </w:tcPr>
          <w:p>
            <w:pPr>
              <w:spacing w:before="40" w:after="40" w:line="280" w:lineRule="exact"/>
              <w:jc w:val="center"/>
            </w:pPr>
            <w:r/>
            <w:r>
              <w:rPr>
                <w:rFonts w:ascii="Arial" w:hAnsi="Arial"/>
                <w:b/>
                <w:sz w:val="18"/>
              </w:rPr>
              <w:t>Spec</w:t>
            </w:r>
          </w:p>
        </w:tc>
        <w:tc>
          <w:tcPr>
            <w:tcW w:type="dxa" w:w="1128"/>
            <w:shd w:fill="D9E2F3"/>
          </w:tcPr>
          <w:p>
            <w:pPr>
              <w:spacing w:before="40" w:after="40" w:line="280" w:lineRule="exact"/>
              <w:jc w:val="center"/>
            </w:pPr>
            <w:r/>
            <w:r>
              <w:rPr>
                <w:rFonts w:ascii="Arial" w:hAnsi="Arial"/>
                <w:b/>
                <w:sz w:val="18"/>
              </w:rPr>
              <w:t>N</w:t>
            </w:r>
          </w:p>
        </w:tc>
        <w:tc>
          <w:tcPr>
            <w:tcW w:type="dxa" w:w="1128"/>
            <w:shd w:fill="D9E2F3"/>
          </w:tcPr>
          <w:p>
            <w:pPr>
              <w:spacing w:before="40" w:after="40" w:line="280" w:lineRule="exact"/>
              <w:jc w:val="center"/>
            </w:pPr>
            <w:r/>
            <w:r>
              <w:rPr>
                <w:rFonts w:ascii="Arial" w:hAnsi="Arial"/>
                <w:b/>
                <w:sz w:val="18"/>
              </w:rPr>
              <w:t>FH+</w:t>
            </w:r>
          </w:p>
        </w:tc>
      </w:tr>
      <w:tr>
        <w:tc>
          <w:tcPr>
            <w:tcW w:type="dxa" w:w="1128"/>
          </w:tcPr>
          <w:p>
            <w:pPr>
              <w:spacing w:before="40" w:after="40" w:line="280" w:lineRule="exact"/>
              <w:jc w:val="left"/>
            </w:pPr>
            <w:r/>
            <w:r>
              <w:rPr>
                <w:rFonts w:ascii="Arial" w:hAnsi="Arial"/>
                <w:b w:val="0"/>
                <w:sz w:val="18"/>
              </w:rPr>
              <w:t>South Wales</w:t>
            </w:r>
          </w:p>
        </w:tc>
        <w:tc>
          <w:tcPr>
            <w:tcW w:type="dxa" w:w="1128"/>
          </w:tcPr>
          <w:p>
            <w:pPr>
              <w:spacing w:before="40" w:after="40" w:line="280" w:lineRule="exact"/>
              <w:jc w:val="center"/>
            </w:pPr>
            <w:r/>
            <w:r>
              <w:rPr>
                <w:rFonts w:ascii="Arial" w:hAnsi="Arial"/>
                <w:b w:val="0"/>
                <w:sz w:val="18"/>
              </w:rPr>
              <w:t>Base TUDOR</w:t>
            </w:r>
          </w:p>
        </w:tc>
        <w:tc>
          <w:tcPr>
            <w:tcW w:type="dxa" w:w="1128"/>
          </w:tcPr>
          <w:p>
            <w:pPr>
              <w:spacing w:before="40" w:after="40" w:line="280" w:lineRule="exact"/>
              <w:jc w:val="center"/>
            </w:pPr>
            <w:r/>
            <w:r>
              <w:rPr>
                <w:rFonts w:ascii="Arial" w:hAnsi="Arial"/>
                <w:b w:val="0"/>
                <w:sz w:val="18"/>
              </w:rPr>
              <w:t>0.809</w:t>
            </w:r>
          </w:p>
        </w:tc>
        <w:tc>
          <w:tcPr>
            <w:tcW w:type="dxa" w:w="1128"/>
          </w:tcPr>
          <w:p>
            <w:pPr>
              <w:spacing w:before="40" w:after="40" w:line="280" w:lineRule="exact"/>
              <w:jc w:val="center"/>
            </w:pPr>
            <w:r/>
            <w:r>
              <w:rPr>
                <w:rFonts w:ascii="Arial" w:hAnsi="Arial"/>
                <w:b w:val="0"/>
                <w:sz w:val="18"/>
              </w:rPr>
              <w:t>0.779-0.839</w:t>
            </w:r>
          </w:p>
        </w:tc>
        <w:tc>
          <w:tcPr>
            <w:tcW w:type="dxa" w:w="1128"/>
          </w:tcPr>
          <w:p>
            <w:pPr>
              <w:spacing w:before="40" w:after="40" w:line="280" w:lineRule="exact"/>
              <w:jc w:val="center"/>
            </w:pPr>
            <w:r/>
            <w:r>
              <w:rPr>
                <w:rFonts w:ascii="Arial" w:hAnsi="Arial"/>
                <w:b w:val="0"/>
                <w:sz w:val="18"/>
              </w:rPr>
              <w:t>66.1%</w:t>
            </w:r>
          </w:p>
        </w:tc>
        <w:tc>
          <w:tcPr>
            <w:tcW w:type="dxa" w:w="1128"/>
          </w:tcPr>
          <w:p>
            <w:pPr>
              <w:spacing w:before="40" w:after="40" w:line="280" w:lineRule="exact"/>
              <w:jc w:val="center"/>
            </w:pPr>
            <w:r/>
            <w:r>
              <w:rPr>
                <w:rFonts w:ascii="Arial" w:hAnsi="Arial"/>
                <w:b w:val="0"/>
                <w:sz w:val="18"/>
              </w:rPr>
              <w:t>85.6%</w:t>
            </w:r>
          </w:p>
        </w:tc>
        <w:tc>
          <w:tcPr>
            <w:tcW w:type="dxa" w:w="1128"/>
          </w:tcPr>
          <w:p>
            <w:pPr>
              <w:spacing w:before="40" w:after="40" w:line="280" w:lineRule="exact"/>
              <w:jc w:val="center"/>
            </w:pPr>
            <w:r/>
            <w:r>
              <w:rPr>
                <w:rFonts w:ascii="Arial" w:hAnsi="Arial"/>
                <w:b w:val="0"/>
                <w:sz w:val="18"/>
              </w:rPr>
              <w:t>1,072</w:t>
            </w:r>
          </w:p>
        </w:tc>
        <w:tc>
          <w:tcPr>
            <w:tcW w:type="dxa" w:w="1128"/>
          </w:tcPr>
          <w:p>
            <w:pPr>
              <w:spacing w:before="40" w:after="40" w:line="280" w:lineRule="exact"/>
              <w:jc w:val="center"/>
            </w:pPr>
            <w:r/>
            <w:r>
              <w:rPr>
                <w:rFonts w:ascii="Arial" w:hAnsi="Arial"/>
                <w:b w:val="0"/>
                <w:sz w:val="18"/>
              </w:rPr>
              <w:t>336</w:t>
            </w:r>
          </w:p>
        </w:tc>
      </w:tr>
      <w:tr>
        <w:tc>
          <w:tcPr>
            <w:tcW w:type="dxa" w:w="1128"/>
          </w:tcPr>
          <w:p>
            <w:pPr>
              <w:spacing w:before="40" w:after="40" w:line="280" w:lineRule="exact"/>
              <w:jc w:val="left"/>
            </w:pPr>
            <w:r/>
            <w:r>
              <w:rPr>
                <w:rFonts w:ascii="Arial" w:hAnsi="Arial"/>
                <w:b w:val="0"/>
                <w:sz w:val="18"/>
              </w:rPr>
              <w:t>South Wales</w:t>
            </w:r>
          </w:p>
        </w:tc>
        <w:tc>
          <w:tcPr>
            <w:tcW w:type="dxa" w:w="1128"/>
          </w:tcPr>
          <w:p>
            <w:pPr>
              <w:spacing w:before="40" w:after="40" w:line="280" w:lineRule="exact"/>
              <w:jc w:val="center"/>
            </w:pPr>
            <w:r/>
            <w:r>
              <w:rPr>
                <w:rFonts w:ascii="Arial" w:hAnsi="Arial"/>
                <w:b w:val="0"/>
                <w:sz w:val="18"/>
              </w:rPr>
              <w:t>Enhanced</w:t>
            </w:r>
          </w:p>
        </w:tc>
        <w:tc>
          <w:tcPr>
            <w:tcW w:type="dxa" w:w="1128"/>
          </w:tcPr>
          <w:p>
            <w:pPr>
              <w:spacing w:before="40" w:after="40" w:line="280" w:lineRule="exact"/>
              <w:jc w:val="center"/>
            </w:pPr>
            <w:r/>
            <w:r>
              <w:rPr>
                <w:rFonts w:ascii="Arial" w:hAnsi="Arial"/>
                <w:b w:val="0"/>
                <w:sz w:val="18"/>
              </w:rPr>
              <w:t>0.809</w:t>
            </w:r>
          </w:p>
        </w:tc>
        <w:tc>
          <w:tcPr>
            <w:tcW w:type="dxa" w:w="1128"/>
          </w:tcPr>
          <w:p>
            <w:pPr>
              <w:spacing w:before="40" w:after="40" w:line="280" w:lineRule="exact"/>
              <w:jc w:val="center"/>
            </w:pPr>
            <w:r/>
            <w:r>
              <w:rPr>
                <w:rFonts w:ascii="Arial" w:hAnsi="Arial"/>
                <w:b w:val="0"/>
                <w:sz w:val="18"/>
              </w:rPr>
              <w:t>0.779-0.839</w:t>
            </w:r>
          </w:p>
        </w:tc>
        <w:tc>
          <w:tcPr>
            <w:tcW w:type="dxa" w:w="1128"/>
          </w:tcPr>
          <w:p>
            <w:pPr>
              <w:spacing w:before="40" w:after="40" w:line="280" w:lineRule="exact"/>
              <w:jc w:val="center"/>
            </w:pPr>
            <w:r/>
            <w:r>
              <w:rPr>
                <w:rFonts w:ascii="Arial" w:hAnsi="Arial"/>
                <w:b w:val="0"/>
                <w:sz w:val="18"/>
              </w:rPr>
              <w:t>71.1%</w:t>
            </w:r>
          </w:p>
        </w:tc>
        <w:tc>
          <w:tcPr>
            <w:tcW w:type="dxa" w:w="1128"/>
          </w:tcPr>
          <w:p>
            <w:pPr>
              <w:spacing w:before="40" w:after="40" w:line="280" w:lineRule="exact"/>
              <w:jc w:val="center"/>
            </w:pPr>
            <w:r/>
            <w:r>
              <w:rPr>
                <w:rFonts w:ascii="Arial" w:hAnsi="Arial"/>
                <w:b w:val="0"/>
                <w:sz w:val="18"/>
              </w:rPr>
              <w:t>79.9%</w:t>
            </w:r>
          </w:p>
        </w:tc>
        <w:tc>
          <w:tcPr>
            <w:tcW w:type="dxa" w:w="1128"/>
          </w:tcPr>
          <w:p>
            <w:pPr>
              <w:spacing w:before="40" w:after="40" w:line="280" w:lineRule="exact"/>
              <w:jc w:val="center"/>
            </w:pPr>
            <w:r/>
            <w:r>
              <w:rPr>
                <w:rFonts w:ascii="Arial" w:hAnsi="Arial"/>
                <w:b w:val="0"/>
                <w:sz w:val="18"/>
              </w:rPr>
              <w:t>1,072</w:t>
            </w:r>
          </w:p>
        </w:tc>
        <w:tc>
          <w:tcPr>
            <w:tcW w:type="dxa" w:w="1128"/>
          </w:tcPr>
          <w:p>
            <w:pPr>
              <w:spacing w:before="40" w:after="40" w:line="280" w:lineRule="exact"/>
              <w:jc w:val="center"/>
            </w:pPr>
            <w:r/>
            <w:r>
              <w:rPr>
                <w:rFonts w:ascii="Arial" w:hAnsi="Arial"/>
                <w:b w:val="0"/>
                <w:sz w:val="18"/>
              </w:rPr>
              <w:t>336</w:t>
            </w:r>
          </w:p>
        </w:tc>
      </w:tr>
      <w:tr>
        <w:tc>
          <w:tcPr>
            <w:tcW w:type="dxa" w:w="1128"/>
          </w:tcPr>
          <w:p>
            <w:pPr>
              <w:spacing w:before="40" w:after="40" w:line="280" w:lineRule="exact"/>
              <w:jc w:val="left"/>
            </w:pPr>
            <w:r/>
            <w:r>
              <w:rPr>
                <w:rFonts w:ascii="Arial" w:hAnsi="Arial"/>
                <w:b w:val="0"/>
                <w:sz w:val="18"/>
              </w:rPr>
              <w:t>South Wales</w:t>
            </w:r>
          </w:p>
        </w:tc>
        <w:tc>
          <w:tcPr>
            <w:tcW w:type="dxa" w:w="1128"/>
          </w:tcPr>
          <w:p>
            <w:pPr>
              <w:spacing w:before="40" w:after="40" w:line="280" w:lineRule="exact"/>
              <w:jc w:val="center"/>
            </w:pPr>
            <w:r/>
            <w:r>
              <w:rPr>
                <w:rFonts w:ascii="Arial" w:hAnsi="Arial"/>
                <w:b w:val="0"/>
                <w:sz w:val="18"/>
              </w:rPr>
              <w:t>eDLCN</w:t>
            </w:r>
          </w:p>
        </w:tc>
        <w:tc>
          <w:tcPr>
            <w:tcW w:type="dxa" w:w="1128"/>
          </w:tcPr>
          <w:p>
            <w:pPr>
              <w:spacing w:before="40" w:after="40" w:line="280" w:lineRule="exact"/>
              <w:jc w:val="center"/>
            </w:pPr>
            <w:r/>
            <w:r>
              <w:rPr>
                <w:rFonts w:ascii="Arial" w:hAnsi="Arial"/>
                <w:b w:val="0"/>
                <w:sz w:val="18"/>
              </w:rPr>
              <w:t>0.738</w:t>
            </w:r>
          </w:p>
        </w:tc>
        <w:tc>
          <w:tcPr>
            <w:tcW w:type="dxa" w:w="1128"/>
          </w:tcPr>
          <w:p>
            <w:pPr>
              <w:spacing w:before="40" w:after="40" w:line="280" w:lineRule="exact"/>
              <w:jc w:val="center"/>
            </w:pPr>
            <w:r/>
            <w:r>
              <w:rPr>
                <w:rFonts w:ascii="Arial" w:hAnsi="Arial"/>
                <w:b w:val="0"/>
                <w:sz w:val="18"/>
              </w:rPr>
              <w:t>0.690-0.786</w:t>
            </w:r>
          </w:p>
        </w:tc>
        <w:tc>
          <w:tcPr>
            <w:tcW w:type="dxa" w:w="1128"/>
          </w:tcPr>
          <w:p>
            <w:pPr>
              <w:spacing w:before="40" w:after="40" w:line="280" w:lineRule="exact"/>
              <w:jc w:val="center"/>
            </w:pPr>
            <w:r/>
            <w:r>
              <w:rPr>
                <w:rFonts w:ascii="Arial" w:hAnsi="Arial"/>
                <w:b w:val="0"/>
                <w:sz w:val="18"/>
              </w:rPr>
              <w:t>--</w:t>
            </w:r>
          </w:p>
        </w:tc>
        <w:tc>
          <w:tcPr>
            <w:tcW w:type="dxa" w:w="1128"/>
          </w:tcPr>
          <w:p>
            <w:pPr>
              <w:spacing w:before="40" w:after="40" w:line="280" w:lineRule="exact"/>
              <w:jc w:val="center"/>
            </w:pPr>
            <w:r/>
            <w:r>
              <w:rPr>
                <w:rFonts w:ascii="Arial" w:hAnsi="Arial"/>
                <w:b w:val="0"/>
                <w:sz w:val="18"/>
              </w:rPr>
              <w:t>--</w:t>
            </w:r>
          </w:p>
        </w:tc>
        <w:tc>
          <w:tcPr>
            <w:tcW w:type="dxa" w:w="1128"/>
          </w:tcPr>
          <w:p>
            <w:pPr>
              <w:spacing w:before="40" w:after="40" w:line="280" w:lineRule="exact"/>
              <w:jc w:val="center"/>
            </w:pPr>
            <w:r/>
            <w:r>
              <w:rPr>
                <w:rFonts w:ascii="Arial" w:hAnsi="Arial"/>
                <w:b w:val="0"/>
                <w:sz w:val="18"/>
              </w:rPr>
              <w:t>748</w:t>
            </w:r>
          </w:p>
        </w:tc>
        <w:tc>
          <w:tcPr>
            <w:tcW w:type="dxa" w:w="1128"/>
          </w:tcPr>
          <w:p>
            <w:pPr>
              <w:spacing w:before="40" w:after="40" w:line="280" w:lineRule="exact"/>
              <w:jc w:val="center"/>
            </w:pPr>
            <w:r/>
            <w:r>
              <w:rPr>
                <w:rFonts w:ascii="Arial" w:hAnsi="Arial"/>
                <w:b w:val="0"/>
                <w:sz w:val="18"/>
              </w:rPr>
              <w:t>--</w:t>
            </w:r>
          </w:p>
        </w:tc>
      </w:tr>
      <w:tr>
        <w:tc>
          <w:tcPr>
            <w:tcW w:type="dxa" w:w="1128"/>
          </w:tcPr>
          <w:p>
            <w:pPr>
              <w:spacing w:before="40" w:after="40" w:line="280" w:lineRule="exact"/>
              <w:jc w:val="left"/>
            </w:pPr>
            <w:r/>
            <w:r>
              <w:rPr>
                <w:rFonts w:ascii="Arial" w:hAnsi="Arial"/>
                <w:b w:val="0"/>
                <w:sz w:val="18"/>
              </w:rPr>
              <w:t>All Wales PASS</w:t>
            </w:r>
          </w:p>
        </w:tc>
        <w:tc>
          <w:tcPr>
            <w:tcW w:type="dxa" w:w="1128"/>
          </w:tcPr>
          <w:p>
            <w:pPr>
              <w:spacing w:before="40" w:after="40" w:line="280" w:lineRule="exact"/>
              <w:jc w:val="center"/>
            </w:pPr>
            <w:r/>
            <w:r>
              <w:rPr>
                <w:rFonts w:ascii="Arial" w:hAnsi="Arial"/>
                <w:b w:val="0"/>
                <w:sz w:val="18"/>
              </w:rPr>
              <w:t>Base TUDOR</w:t>
            </w:r>
          </w:p>
        </w:tc>
        <w:tc>
          <w:tcPr>
            <w:tcW w:type="dxa" w:w="1128"/>
          </w:tcPr>
          <w:p>
            <w:pPr>
              <w:spacing w:before="40" w:after="40" w:line="280" w:lineRule="exact"/>
              <w:jc w:val="center"/>
            </w:pPr>
            <w:r/>
            <w:r>
              <w:rPr>
                <w:rFonts w:ascii="Arial" w:hAnsi="Arial"/>
                <w:b w:val="0"/>
                <w:sz w:val="18"/>
              </w:rPr>
              <w:t>0.782</w:t>
            </w:r>
          </w:p>
        </w:tc>
        <w:tc>
          <w:tcPr>
            <w:tcW w:type="dxa" w:w="1128"/>
          </w:tcPr>
          <w:p>
            <w:pPr>
              <w:spacing w:before="40" w:after="40" w:line="280" w:lineRule="exact"/>
              <w:jc w:val="center"/>
            </w:pPr>
            <w:r/>
            <w:r>
              <w:rPr>
                <w:rFonts w:ascii="Arial" w:hAnsi="Arial"/>
                <w:b w:val="0"/>
                <w:sz w:val="18"/>
              </w:rPr>
              <w:t>0.768-0.796</w:t>
            </w:r>
          </w:p>
        </w:tc>
        <w:tc>
          <w:tcPr>
            <w:tcW w:type="dxa" w:w="1128"/>
          </w:tcPr>
          <w:p>
            <w:pPr>
              <w:spacing w:before="40" w:after="40" w:line="280" w:lineRule="exact"/>
              <w:jc w:val="center"/>
            </w:pPr>
            <w:r/>
            <w:r>
              <w:rPr>
                <w:rFonts w:ascii="Arial" w:hAnsi="Arial"/>
                <w:b w:val="0"/>
                <w:sz w:val="18"/>
              </w:rPr>
              <w:t>67.5%</w:t>
            </w:r>
          </w:p>
        </w:tc>
        <w:tc>
          <w:tcPr>
            <w:tcW w:type="dxa" w:w="1128"/>
          </w:tcPr>
          <w:p>
            <w:pPr>
              <w:spacing w:before="40" w:after="40" w:line="280" w:lineRule="exact"/>
              <w:jc w:val="center"/>
            </w:pPr>
            <w:r/>
            <w:r>
              <w:rPr>
                <w:rFonts w:ascii="Arial" w:hAnsi="Arial"/>
                <w:b w:val="0"/>
                <w:sz w:val="18"/>
              </w:rPr>
              <w:t>80.3%</w:t>
            </w:r>
          </w:p>
        </w:tc>
        <w:tc>
          <w:tcPr>
            <w:tcW w:type="dxa" w:w="1128"/>
          </w:tcPr>
          <w:p>
            <w:pPr>
              <w:spacing w:before="40" w:after="40" w:line="280" w:lineRule="exact"/>
              <w:jc w:val="center"/>
            </w:pPr>
            <w:r/>
            <w:r>
              <w:rPr>
                <w:rFonts w:ascii="Arial" w:hAnsi="Arial"/>
                <w:b w:val="0"/>
                <w:sz w:val="18"/>
              </w:rPr>
              <w:t>5,376</w:t>
            </w:r>
          </w:p>
        </w:tc>
        <w:tc>
          <w:tcPr>
            <w:tcW w:type="dxa" w:w="1128"/>
          </w:tcPr>
          <w:p>
            <w:pPr>
              <w:spacing w:before="40" w:after="40" w:line="280" w:lineRule="exact"/>
              <w:jc w:val="center"/>
            </w:pPr>
            <w:r/>
            <w:r>
              <w:rPr>
                <w:rFonts w:ascii="Arial" w:hAnsi="Arial"/>
                <w:b w:val="0"/>
                <w:sz w:val="18"/>
              </w:rPr>
              <w:t>1,862</w:t>
            </w:r>
          </w:p>
        </w:tc>
      </w:tr>
      <w:tr>
        <w:tc>
          <w:tcPr>
            <w:tcW w:type="dxa" w:w="1128"/>
          </w:tcPr>
          <w:p>
            <w:pPr>
              <w:spacing w:before="40" w:after="40" w:line="280" w:lineRule="exact"/>
              <w:jc w:val="left"/>
            </w:pPr>
            <w:r/>
            <w:r>
              <w:rPr>
                <w:rFonts w:ascii="Arial" w:hAnsi="Arial"/>
                <w:b w:val="0"/>
                <w:sz w:val="18"/>
              </w:rPr>
              <w:t>All Wales PASS</w:t>
            </w:r>
          </w:p>
        </w:tc>
        <w:tc>
          <w:tcPr>
            <w:tcW w:type="dxa" w:w="1128"/>
          </w:tcPr>
          <w:p>
            <w:pPr>
              <w:spacing w:before="40" w:after="40" w:line="280" w:lineRule="exact"/>
              <w:jc w:val="center"/>
            </w:pPr>
            <w:r/>
            <w:r>
              <w:rPr>
                <w:rFonts w:ascii="Arial" w:hAnsi="Arial"/>
                <w:b w:val="0"/>
                <w:sz w:val="18"/>
              </w:rPr>
              <w:t>Enhanced</w:t>
            </w:r>
          </w:p>
        </w:tc>
        <w:tc>
          <w:tcPr>
            <w:tcW w:type="dxa" w:w="1128"/>
          </w:tcPr>
          <w:p>
            <w:pPr>
              <w:spacing w:before="40" w:after="40" w:line="280" w:lineRule="exact"/>
              <w:jc w:val="center"/>
            </w:pPr>
            <w:r/>
            <w:r>
              <w:rPr>
                <w:rFonts w:ascii="Arial" w:hAnsi="Arial"/>
                <w:b w:val="0"/>
                <w:sz w:val="18"/>
              </w:rPr>
              <w:t>0.784</w:t>
            </w:r>
          </w:p>
        </w:tc>
        <w:tc>
          <w:tcPr>
            <w:tcW w:type="dxa" w:w="1128"/>
          </w:tcPr>
          <w:p>
            <w:pPr>
              <w:spacing w:before="40" w:after="40" w:line="280" w:lineRule="exact"/>
              <w:jc w:val="center"/>
            </w:pPr>
            <w:r/>
            <w:r>
              <w:rPr>
                <w:rFonts w:ascii="Arial" w:hAnsi="Arial"/>
                <w:b w:val="0"/>
                <w:sz w:val="18"/>
              </w:rPr>
              <w:t>0.770-0.798</w:t>
            </w:r>
          </w:p>
        </w:tc>
        <w:tc>
          <w:tcPr>
            <w:tcW w:type="dxa" w:w="1128"/>
          </w:tcPr>
          <w:p>
            <w:pPr>
              <w:spacing w:before="40" w:after="40" w:line="280" w:lineRule="exact"/>
              <w:jc w:val="center"/>
            </w:pPr>
            <w:r/>
            <w:r>
              <w:rPr>
                <w:rFonts w:ascii="Arial" w:hAnsi="Arial"/>
                <w:b w:val="0"/>
                <w:sz w:val="18"/>
              </w:rPr>
              <w:t>68.3%</w:t>
            </w:r>
          </w:p>
        </w:tc>
        <w:tc>
          <w:tcPr>
            <w:tcW w:type="dxa" w:w="1128"/>
          </w:tcPr>
          <w:p>
            <w:pPr>
              <w:spacing w:before="40" w:after="40" w:line="280" w:lineRule="exact"/>
              <w:jc w:val="center"/>
            </w:pPr>
            <w:r/>
            <w:r>
              <w:rPr>
                <w:rFonts w:ascii="Arial" w:hAnsi="Arial"/>
                <w:b w:val="0"/>
                <w:sz w:val="18"/>
              </w:rPr>
              <w:t>79.4%</w:t>
            </w:r>
          </w:p>
        </w:tc>
        <w:tc>
          <w:tcPr>
            <w:tcW w:type="dxa" w:w="1128"/>
          </w:tcPr>
          <w:p>
            <w:pPr>
              <w:spacing w:before="40" w:after="40" w:line="280" w:lineRule="exact"/>
              <w:jc w:val="center"/>
            </w:pPr>
            <w:r/>
            <w:r>
              <w:rPr>
                <w:rFonts w:ascii="Arial" w:hAnsi="Arial"/>
                <w:b w:val="0"/>
                <w:sz w:val="18"/>
              </w:rPr>
              <w:t>5,376</w:t>
            </w:r>
          </w:p>
        </w:tc>
        <w:tc>
          <w:tcPr>
            <w:tcW w:type="dxa" w:w="1128"/>
          </w:tcPr>
          <w:p>
            <w:pPr>
              <w:spacing w:before="40" w:after="40" w:line="280" w:lineRule="exact"/>
              <w:jc w:val="center"/>
            </w:pPr>
            <w:r/>
            <w:r>
              <w:rPr>
                <w:rFonts w:ascii="Arial" w:hAnsi="Arial"/>
                <w:b w:val="0"/>
                <w:sz w:val="18"/>
              </w:rPr>
              <w:t>1,862</w:t>
            </w:r>
          </w:p>
        </w:tc>
      </w:tr>
      <w:tr>
        <w:tc>
          <w:tcPr>
            <w:tcW w:type="dxa" w:w="1128"/>
          </w:tcPr>
          <w:p>
            <w:pPr>
              <w:spacing w:before="40" w:after="40" w:line="280" w:lineRule="exact"/>
              <w:jc w:val="left"/>
            </w:pPr>
            <w:r/>
            <w:r>
              <w:rPr>
                <w:rFonts w:ascii="Arial" w:hAnsi="Arial"/>
                <w:b w:val="0"/>
                <w:sz w:val="18"/>
              </w:rPr>
              <w:t>All Wales PASS</w:t>
            </w:r>
          </w:p>
        </w:tc>
        <w:tc>
          <w:tcPr>
            <w:tcW w:type="dxa" w:w="1128"/>
          </w:tcPr>
          <w:p>
            <w:pPr>
              <w:spacing w:before="40" w:after="40" w:line="280" w:lineRule="exact"/>
              <w:jc w:val="center"/>
            </w:pPr>
            <w:r/>
            <w:r>
              <w:rPr>
                <w:rFonts w:ascii="Arial" w:hAnsi="Arial"/>
                <w:b w:val="0"/>
                <w:sz w:val="18"/>
              </w:rPr>
              <w:t>eDLCN</w:t>
            </w:r>
          </w:p>
        </w:tc>
        <w:tc>
          <w:tcPr>
            <w:tcW w:type="dxa" w:w="1128"/>
          </w:tcPr>
          <w:p>
            <w:pPr>
              <w:spacing w:before="40" w:after="40" w:line="280" w:lineRule="exact"/>
              <w:jc w:val="center"/>
            </w:pPr>
            <w:r/>
            <w:r>
              <w:rPr>
                <w:rFonts w:ascii="Arial" w:hAnsi="Arial"/>
                <w:b w:val="0"/>
                <w:sz w:val="18"/>
              </w:rPr>
              <w:t>0.690</w:t>
            </w:r>
          </w:p>
        </w:tc>
        <w:tc>
          <w:tcPr>
            <w:tcW w:type="dxa" w:w="1128"/>
          </w:tcPr>
          <w:p>
            <w:pPr>
              <w:spacing w:before="40" w:after="40" w:line="280" w:lineRule="exact"/>
              <w:jc w:val="center"/>
            </w:pPr>
            <w:r/>
            <w:r>
              <w:rPr>
                <w:rFonts w:ascii="Arial" w:hAnsi="Arial"/>
                <w:b w:val="0"/>
                <w:sz w:val="18"/>
              </w:rPr>
              <w:t>0.669-0.710</w:t>
            </w:r>
          </w:p>
        </w:tc>
        <w:tc>
          <w:tcPr>
            <w:tcW w:type="dxa" w:w="1128"/>
          </w:tcPr>
          <w:p>
            <w:pPr>
              <w:spacing w:before="40" w:after="40" w:line="280" w:lineRule="exact"/>
              <w:jc w:val="center"/>
            </w:pPr>
            <w:r/>
            <w:r>
              <w:rPr>
                <w:rFonts w:ascii="Arial" w:hAnsi="Arial"/>
                <w:b w:val="0"/>
                <w:sz w:val="18"/>
              </w:rPr>
              <w:t>--</w:t>
            </w:r>
          </w:p>
        </w:tc>
        <w:tc>
          <w:tcPr>
            <w:tcW w:type="dxa" w:w="1128"/>
          </w:tcPr>
          <w:p>
            <w:pPr>
              <w:spacing w:before="40" w:after="40" w:line="280" w:lineRule="exact"/>
              <w:jc w:val="center"/>
            </w:pPr>
            <w:r/>
            <w:r>
              <w:rPr>
                <w:rFonts w:ascii="Arial" w:hAnsi="Arial"/>
                <w:b w:val="0"/>
                <w:sz w:val="18"/>
              </w:rPr>
              <w:t>--</w:t>
            </w:r>
          </w:p>
        </w:tc>
        <w:tc>
          <w:tcPr>
            <w:tcW w:type="dxa" w:w="1128"/>
          </w:tcPr>
          <w:p>
            <w:pPr>
              <w:spacing w:before="40" w:after="40" w:line="280" w:lineRule="exact"/>
              <w:jc w:val="center"/>
            </w:pPr>
            <w:r/>
            <w:r>
              <w:rPr>
                <w:rFonts w:ascii="Arial" w:hAnsi="Arial"/>
                <w:b w:val="0"/>
                <w:sz w:val="18"/>
              </w:rPr>
              <w:t>3,747</w:t>
            </w:r>
          </w:p>
        </w:tc>
        <w:tc>
          <w:tcPr>
            <w:tcW w:type="dxa" w:w="1128"/>
          </w:tcPr>
          <w:p>
            <w:pPr>
              <w:spacing w:before="40" w:after="40" w:line="280" w:lineRule="exact"/>
              <w:jc w:val="center"/>
            </w:pPr>
            <w:r/>
            <w:r>
              <w:rPr>
                <w:rFonts w:ascii="Arial" w:hAnsi="Arial"/>
                <w:b w:val="0"/>
                <w:sz w:val="18"/>
              </w:rPr>
              <w:t>--</w:t>
            </w:r>
          </w:p>
        </w:tc>
      </w:tr>
      <w:tr>
        <w:tc>
          <w:tcPr>
            <w:tcW w:type="dxa" w:w="1128"/>
          </w:tcPr>
          <w:p>
            <w:pPr>
              <w:spacing w:before="40" w:after="40" w:line="280" w:lineRule="exact"/>
              <w:jc w:val="left"/>
            </w:pPr>
            <w:r/>
            <w:r>
              <w:rPr>
                <w:rFonts w:ascii="Arial" w:hAnsi="Arial"/>
                <w:b w:val="0"/>
                <w:sz w:val="18"/>
              </w:rPr>
              <w:t>UK Biobank LC</w:t>
            </w:r>
          </w:p>
        </w:tc>
        <w:tc>
          <w:tcPr>
            <w:tcW w:type="dxa" w:w="1128"/>
          </w:tcPr>
          <w:p>
            <w:pPr>
              <w:spacing w:before="40" w:after="40" w:line="280" w:lineRule="exact"/>
              <w:jc w:val="center"/>
            </w:pPr>
            <w:r/>
            <w:r>
              <w:rPr>
                <w:rFonts w:ascii="Arial" w:hAnsi="Arial"/>
                <w:b w:val="0"/>
                <w:sz w:val="18"/>
              </w:rPr>
              <w:t>Base TUDOR</w:t>
            </w:r>
          </w:p>
        </w:tc>
        <w:tc>
          <w:tcPr>
            <w:tcW w:type="dxa" w:w="1128"/>
          </w:tcPr>
          <w:p>
            <w:pPr>
              <w:spacing w:before="40" w:after="40" w:line="280" w:lineRule="exact"/>
              <w:jc w:val="center"/>
            </w:pPr>
            <w:r/>
            <w:r>
              <w:rPr>
                <w:rFonts w:ascii="Arial" w:hAnsi="Arial"/>
                <w:b w:val="0"/>
                <w:sz w:val="18"/>
              </w:rPr>
              <w:t>0.752</w:t>
            </w:r>
          </w:p>
        </w:tc>
        <w:tc>
          <w:tcPr>
            <w:tcW w:type="dxa" w:w="1128"/>
          </w:tcPr>
          <w:p>
            <w:pPr>
              <w:spacing w:before="40" w:after="40" w:line="280" w:lineRule="exact"/>
              <w:jc w:val="center"/>
            </w:pPr>
            <w:r/>
            <w:r>
              <w:rPr>
                <w:rFonts w:ascii="Arial" w:hAnsi="Arial"/>
                <w:b w:val="0"/>
                <w:sz w:val="18"/>
              </w:rPr>
              <w:t>0.734-0.769</w:t>
            </w:r>
          </w:p>
        </w:tc>
        <w:tc>
          <w:tcPr>
            <w:tcW w:type="dxa" w:w="1128"/>
          </w:tcPr>
          <w:p>
            <w:pPr>
              <w:spacing w:before="40" w:after="40" w:line="280" w:lineRule="exact"/>
              <w:jc w:val="center"/>
            </w:pPr>
            <w:r/>
            <w:r>
              <w:rPr>
                <w:rFonts w:ascii="Arial" w:hAnsi="Arial"/>
                <w:b w:val="0"/>
                <w:sz w:val="18"/>
              </w:rPr>
              <w:t>56.0%</w:t>
            </w:r>
          </w:p>
        </w:tc>
        <w:tc>
          <w:tcPr>
            <w:tcW w:type="dxa" w:w="1128"/>
          </w:tcPr>
          <w:p>
            <w:pPr>
              <w:spacing w:before="40" w:after="40" w:line="280" w:lineRule="exact"/>
              <w:jc w:val="center"/>
            </w:pPr>
            <w:r/>
            <w:r>
              <w:rPr>
                <w:rFonts w:ascii="Arial" w:hAnsi="Arial"/>
                <w:b w:val="0"/>
                <w:sz w:val="18"/>
              </w:rPr>
              <w:t>82.8%</w:t>
            </w:r>
          </w:p>
        </w:tc>
        <w:tc>
          <w:tcPr>
            <w:tcW w:type="dxa" w:w="1128"/>
          </w:tcPr>
          <w:p>
            <w:pPr>
              <w:spacing w:before="40" w:after="40" w:line="280" w:lineRule="exact"/>
              <w:jc w:val="center"/>
            </w:pPr>
            <w:r/>
            <w:r>
              <w:rPr>
                <w:rFonts w:ascii="Arial" w:hAnsi="Arial"/>
                <w:b w:val="0"/>
                <w:sz w:val="18"/>
              </w:rPr>
              <w:t>104,431</w:t>
            </w:r>
          </w:p>
        </w:tc>
        <w:tc>
          <w:tcPr>
            <w:tcW w:type="dxa" w:w="1128"/>
          </w:tcPr>
          <w:p>
            <w:pPr>
              <w:spacing w:before="40" w:after="40" w:line="280" w:lineRule="exact"/>
              <w:jc w:val="center"/>
            </w:pPr>
            <w:r/>
            <w:r>
              <w:rPr>
                <w:rFonts w:ascii="Arial" w:hAnsi="Arial"/>
                <w:b w:val="0"/>
                <w:sz w:val="18"/>
              </w:rPr>
              <w:t>928</w:t>
            </w:r>
          </w:p>
        </w:tc>
      </w:tr>
      <w:tr>
        <w:tc>
          <w:tcPr>
            <w:tcW w:type="dxa" w:w="1128"/>
          </w:tcPr>
          <w:p>
            <w:pPr>
              <w:spacing w:before="40" w:after="40" w:line="280" w:lineRule="exact"/>
              <w:jc w:val="left"/>
            </w:pPr>
            <w:r/>
            <w:r>
              <w:rPr>
                <w:rFonts w:ascii="Arial" w:hAnsi="Arial"/>
                <w:b w:val="0"/>
                <w:sz w:val="18"/>
              </w:rPr>
              <w:t>UK Biobank LC</w:t>
            </w:r>
          </w:p>
        </w:tc>
        <w:tc>
          <w:tcPr>
            <w:tcW w:type="dxa" w:w="1128"/>
          </w:tcPr>
          <w:p>
            <w:pPr>
              <w:spacing w:before="40" w:after="40" w:line="280" w:lineRule="exact"/>
              <w:jc w:val="center"/>
            </w:pPr>
            <w:r/>
            <w:r>
              <w:rPr>
                <w:rFonts w:ascii="Arial" w:hAnsi="Arial"/>
                <w:b w:val="0"/>
                <w:sz w:val="18"/>
              </w:rPr>
              <w:t>Enhanced</w:t>
            </w:r>
          </w:p>
        </w:tc>
        <w:tc>
          <w:tcPr>
            <w:tcW w:type="dxa" w:w="1128"/>
          </w:tcPr>
          <w:p>
            <w:pPr>
              <w:spacing w:before="40" w:after="40" w:line="280" w:lineRule="exact"/>
              <w:jc w:val="center"/>
            </w:pPr>
            <w:r/>
            <w:r>
              <w:rPr>
                <w:rFonts w:ascii="Arial" w:hAnsi="Arial"/>
                <w:b w:val="0"/>
                <w:sz w:val="18"/>
              </w:rPr>
              <w:t>0.725</w:t>
            </w:r>
          </w:p>
        </w:tc>
        <w:tc>
          <w:tcPr>
            <w:tcW w:type="dxa" w:w="1128"/>
          </w:tcPr>
          <w:p>
            <w:pPr>
              <w:spacing w:before="40" w:after="40" w:line="280" w:lineRule="exact"/>
              <w:jc w:val="center"/>
            </w:pPr>
            <w:r/>
            <w:r>
              <w:rPr>
                <w:rFonts w:ascii="Arial" w:hAnsi="Arial"/>
                <w:b w:val="0"/>
                <w:sz w:val="18"/>
              </w:rPr>
              <w:t>0.707-0.744</w:t>
            </w:r>
          </w:p>
        </w:tc>
        <w:tc>
          <w:tcPr>
            <w:tcW w:type="dxa" w:w="1128"/>
          </w:tcPr>
          <w:p>
            <w:pPr>
              <w:spacing w:before="40" w:after="40" w:line="280" w:lineRule="exact"/>
              <w:jc w:val="center"/>
            </w:pPr>
            <w:r/>
            <w:r>
              <w:rPr>
                <w:rFonts w:ascii="Arial" w:hAnsi="Arial"/>
                <w:b w:val="0"/>
                <w:sz w:val="18"/>
              </w:rPr>
              <w:t>58.8%</w:t>
            </w:r>
          </w:p>
        </w:tc>
        <w:tc>
          <w:tcPr>
            <w:tcW w:type="dxa" w:w="1128"/>
          </w:tcPr>
          <w:p>
            <w:pPr>
              <w:spacing w:before="40" w:after="40" w:line="280" w:lineRule="exact"/>
              <w:jc w:val="center"/>
            </w:pPr>
            <w:r/>
            <w:r>
              <w:rPr>
                <w:rFonts w:ascii="Arial" w:hAnsi="Arial"/>
                <w:b w:val="0"/>
                <w:sz w:val="18"/>
              </w:rPr>
              <w:t>76.9%</w:t>
            </w:r>
          </w:p>
        </w:tc>
        <w:tc>
          <w:tcPr>
            <w:tcW w:type="dxa" w:w="1128"/>
          </w:tcPr>
          <w:p>
            <w:pPr>
              <w:spacing w:before="40" w:after="40" w:line="280" w:lineRule="exact"/>
              <w:jc w:val="center"/>
            </w:pPr>
            <w:r/>
            <w:r>
              <w:rPr>
                <w:rFonts w:ascii="Arial" w:hAnsi="Arial"/>
                <w:b w:val="0"/>
                <w:sz w:val="18"/>
              </w:rPr>
              <w:t>104,413</w:t>
            </w:r>
          </w:p>
        </w:tc>
        <w:tc>
          <w:tcPr>
            <w:tcW w:type="dxa" w:w="1128"/>
          </w:tcPr>
          <w:p>
            <w:pPr>
              <w:spacing w:before="40" w:after="40" w:line="280" w:lineRule="exact"/>
              <w:jc w:val="center"/>
            </w:pPr>
            <w:r/>
            <w:r>
              <w:rPr>
                <w:rFonts w:ascii="Arial" w:hAnsi="Arial"/>
                <w:b w:val="0"/>
                <w:sz w:val="18"/>
              </w:rPr>
              <w:t>927</w:t>
            </w:r>
          </w:p>
        </w:tc>
      </w:tr>
      <w:tr>
        <w:tc>
          <w:tcPr>
            <w:tcW w:type="dxa" w:w="1128"/>
          </w:tcPr>
          <w:p>
            <w:pPr>
              <w:spacing w:before="40" w:after="40" w:line="280" w:lineRule="exact"/>
              <w:jc w:val="left"/>
            </w:pPr>
            <w:r/>
            <w:r>
              <w:rPr>
                <w:rFonts w:ascii="Arial" w:hAnsi="Arial"/>
                <w:b w:val="0"/>
                <w:sz w:val="18"/>
              </w:rPr>
              <w:t>UK Biobank LC</w:t>
            </w:r>
          </w:p>
        </w:tc>
        <w:tc>
          <w:tcPr>
            <w:tcW w:type="dxa" w:w="1128"/>
          </w:tcPr>
          <w:p>
            <w:pPr>
              <w:spacing w:before="40" w:after="40" w:line="280" w:lineRule="exact"/>
              <w:jc w:val="center"/>
            </w:pPr>
            <w:r/>
            <w:r>
              <w:rPr>
                <w:rFonts w:ascii="Arial" w:hAnsi="Arial"/>
                <w:b w:val="0"/>
                <w:sz w:val="18"/>
              </w:rPr>
              <w:t>eDLCN</w:t>
            </w:r>
          </w:p>
        </w:tc>
        <w:tc>
          <w:tcPr>
            <w:tcW w:type="dxa" w:w="1128"/>
          </w:tcPr>
          <w:p>
            <w:pPr>
              <w:spacing w:before="40" w:after="40" w:line="280" w:lineRule="exact"/>
              <w:jc w:val="center"/>
            </w:pPr>
            <w:r/>
            <w:r>
              <w:rPr>
                <w:rFonts w:ascii="Arial" w:hAnsi="Arial"/>
                <w:b w:val="0"/>
                <w:sz w:val="18"/>
              </w:rPr>
              <w:t>0.713</w:t>
            </w:r>
          </w:p>
        </w:tc>
        <w:tc>
          <w:tcPr>
            <w:tcW w:type="dxa" w:w="1128"/>
          </w:tcPr>
          <w:p>
            <w:pPr>
              <w:spacing w:before="40" w:after="40" w:line="280" w:lineRule="exact"/>
              <w:jc w:val="center"/>
            </w:pPr>
            <w:r/>
            <w:r>
              <w:rPr>
                <w:rFonts w:ascii="Arial" w:hAnsi="Arial"/>
                <w:b w:val="0"/>
                <w:sz w:val="18"/>
              </w:rPr>
              <w:t>0.697-0.728</w:t>
            </w:r>
          </w:p>
        </w:tc>
        <w:tc>
          <w:tcPr>
            <w:tcW w:type="dxa" w:w="1128"/>
          </w:tcPr>
          <w:p>
            <w:pPr>
              <w:spacing w:before="40" w:after="40" w:line="280" w:lineRule="exact"/>
              <w:jc w:val="center"/>
            </w:pPr>
            <w:r/>
            <w:r>
              <w:rPr>
                <w:rFonts w:ascii="Arial" w:hAnsi="Arial"/>
                <w:b w:val="0"/>
                <w:sz w:val="18"/>
              </w:rPr>
              <w:t>--</w:t>
            </w:r>
          </w:p>
        </w:tc>
        <w:tc>
          <w:tcPr>
            <w:tcW w:type="dxa" w:w="1128"/>
          </w:tcPr>
          <w:p>
            <w:pPr>
              <w:spacing w:before="40" w:after="40" w:line="280" w:lineRule="exact"/>
              <w:jc w:val="center"/>
            </w:pPr>
            <w:r/>
            <w:r>
              <w:rPr>
                <w:rFonts w:ascii="Arial" w:hAnsi="Arial"/>
                <w:b w:val="0"/>
                <w:sz w:val="18"/>
              </w:rPr>
              <w:t>--</w:t>
            </w:r>
          </w:p>
        </w:tc>
        <w:tc>
          <w:tcPr>
            <w:tcW w:type="dxa" w:w="1128"/>
          </w:tcPr>
          <w:p>
            <w:pPr>
              <w:spacing w:before="40" w:after="40" w:line="280" w:lineRule="exact"/>
              <w:jc w:val="center"/>
            </w:pPr>
            <w:r/>
            <w:r>
              <w:rPr>
                <w:rFonts w:ascii="Arial" w:hAnsi="Arial"/>
                <w:b w:val="0"/>
                <w:sz w:val="18"/>
              </w:rPr>
              <w:t>104,431</w:t>
            </w:r>
          </w:p>
        </w:tc>
        <w:tc>
          <w:tcPr>
            <w:tcW w:type="dxa" w:w="1128"/>
          </w:tcPr>
          <w:p>
            <w:pPr>
              <w:spacing w:before="40" w:after="40" w:line="280" w:lineRule="exact"/>
              <w:jc w:val="center"/>
            </w:pPr>
            <w:r/>
            <w:r>
              <w:rPr>
                <w:rFonts w:ascii="Arial" w:hAnsi="Arial"/>
                <w:b w:val="0"/>
                <w:sz w:val="18"/>
              </w:rPr>
              <w:t>--</w:t>
            </w:r>
          </w:p>
        </w:tc>
      </w:tr>
      <w:tr>
        <w:tc>
          <w:tcPr>
            <w:tcW w:type="dxa" w:w="1128"/>
          </w:tcPr>
          <w:p>
            <w:pPr>
              <w:spacing w:before="40" w:after="40" w:line="280" w:lineRule="exact"/>
              <w:jc w:val="left"/>
            </w:pPr>
            <w:r/>
            <w:r>
              <w:rPr>
                <w:rFonts w:ascii="Arial" w:hAnsi="Arial"/>
                <w:b w:val="0"/>
                <w:sz w:val="18"/>
              </w:rPr>
              <w:t>UK Biobank (5fCV)</w:t>
            </w:r>
          </w:p>
        </w:tc>
        <w:tc>
          <w:tcPr>
            <w:tcW w:type="dxa" w:w="1128"/>
          </w:tcPr>
          <w:p>
            <w:pPr>
              <w:spacing w:before="40" w:after="40" w:line="280" w:lineRule="exact"/>
              <w:jc w:val="center"/>
            </w:pPr>
            <w:r/>
            <w:r>
              <w:rPr>
                <w:rFonts w:ascii="Arial" w:hAnsi="Arial"/>
                <w:b w:val="0"/>
                <w:sz w:val="18"/>
              </w:rPr>
              <w:t>NMR-TUDOR</w:t>
            </w:r>
          </w:p>
        </w:tc>
        <w:tc>
          <w:tcPr>
            <w:tcW w:type="dxa" w:w="1128"/>
          </w:tcPr>
          <w:p>
            <w:pPr>
              <w:spacing w:before="40" w:after="40" w:line="280" w:lineRule="exact"/>
              <w:jc w:val="center"/>
            </w:pPr>
            <w:r/>
            <w:r>
              <w:rPr>
                <w:rFonts w:ascii="Arial" w:hAnsi="Arial"/>
                <w:b w:val="0"/>
                <w:sz w:val="18"/>
              </w:rPr>
              <w:t>0.785</w:t>
            </w:r>
          </w:p>
        </w:tc>
        <w:tc>
          <w:tcPr>
            <w:tcW w:type="dxa" w:w="1128"/>
          </w:tcPr>
          <w:p>
            <w:pPr>
              <w:spacing w:before="40" w:after="40" w:line="280" w:lineRule="exact"/>
              <w:jc w:val="center"/>
            </w:pPr>
            <w:r/>
            <w:r>
              <w:rPr>
                <w:rFonts w:ascii="Arial" w:hAnsi="Arial"/>
                <w:b w:val="0"/>
                <w:sz w:val="18"/>
              </w:rPr>
              <w:t>0.769-0.802</w:t>
            </w:r>
          </w:p>
        </w:tc>
        <w:tc>
          <w:tcPr>
            <w:tcW w:type="dxa" w:w="1128"/>
          </w:tcPr>
          <w:p>
            <w:pPr>
              <w:spacing w:before="40" w:after="40" w:line="280" w:lineRule="exact"/>
              <w:jc w:val="center"/>
            </w:pPr>
            <w:r/>
            <w:r>
              <w:rPr>
                <w:rFonts w:ascii="Arial" w:hAnsi="Arial"/>
                <w:b w:val="0"/>
                <w:sz w:val="18"/>
              </w:rPr>
              <w:t>--</w:t>
            </w:r>
          </w:p>
        </w:tc>
        <w:tc>
          <w:tcPr>
            <w:tcW w:type="dxa" w:w="1128"/>
          </w:tcPr>
          <w:p>
            <w:pPr>
              <w:spacing w:before="40" w:after="40" w:line="280" w:lineRule="exact"/>
              <w:jc w:val="center"/>
            </w:pPr>
            <w:r/>
            <w:r>
              <w:rPr>
                <w:rFonts w:ascii="Arial" w:hAnsi="Arial"/>
                <w:b w:val="0"/>
                <w:sz w:val="18"/>
              </w:rPr>
              <w:t>--</w:t>
            </w:r>
          </w:p>
        </w:tc>
        <w:tc>
          <w:tcPr>
            <w:tcW w:type="dxa" w:w="1128"/>
          </w:tcPr>
          <w:p>
            <w:pPr>
              <w:spacing w:before="40" w:after="40" w:line="280" w:lineRule="exact"/>
              <w:jc w:val="center"/>
            </w:pPr>
            <w:r/>
            <w:r>
              <w:rPr>
                <w:rFonts w:ascii="Arial" w:hAnsi="Arial"/>
                <w:b w:val="0"/>
                <w:sz w:val="18"/>
              </w:rPr>
              <w:t>100,998</w:t>
            </w:r>
          </w:p>
        </w:tc>
        <w:tc>
          <w:tcPr>
            <w:tcW w:type="dxa" w:w="1128"/>
          </w:tcPr>
          <w:p>
            <w:pPr>
              <w:spacing w:before="40" w:after="40" w:line="280" w:lineRule="exact"/>
              <w:jc w:val="center"/>
            </w:pPr>
            <w:r/>
            <w:r>
              <w:rPr>
                <w:rFonts w:ascii="Arial" w:hAnsi="Arial"/>
                <w:b w:val="0"/>
                <w:sz w:val="18"/>
              </w:rPr>
              <w:t>905</w:t>
            </w:r>
          </w:p>
        </w:tc>
      </w:tr>
    </w:tbl>
    <w:p/>
    <w:p>
      <w:pPr>
        <w:spacing w:line="330" w:lineRule="exact" w:after="120"/>
        <w:jc w:val="left"/>
      </w:pPr>
      <w:r>
        <w:rPr>
          <w:rFonts w:ascii="Arial" w:hAnsi="Arial"/>
          <w:b w:val="0"/>
          <w:i/>
          <w:sz w:val="22"/>
        </w:rPr>
        <w:t>Pooled LOCO-CV Average: Base TUDOR Mean AUC = 0.781 (range 0.752–0.809); Enhanced Mean AUC = 0.773 (range 0.725–0.809); eDLCN Mean AUC = 0.713 (range 0.690–0.738). NMR-TUDOR: base + 10 pre-specified lipoprotein subfractions; DeLong vs Enhanced p = 0.682.</w:t>
      </w:r>
    </w:p>
    <w:p>
      <w:pPr>
        <w:spacing w:before="240" w:after="80"/>
      </w:pPr>
      <w:r>
        <w:rPr>
          <w:rFonts w:ascii="Arial" w:hAnsi="Arial"/>
          <w:b/>
          <w:sz w:val="20"/>
        </w:rPr>
        <w:t>Table 6. Subgroup-Specific TUDOR Performance (Wales PASS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c>
          <w:tcPr>
            <w:tcW w:type="dxa" w:w="1504"/>
            <w:shd w:fill="D9E2F3"/>
          </w:tcPr>
          <w:p>
            <w:pPr>
              <w:spacing w:before="40" w:after="40" w:line="280" w:lineRule="exact"/>
              <w:jc w:val="center"/>
            </w:pPr>
            <w:r/>
            <w:r>
              <w:rPr>
                <w:rFonts w:ascii="Arial" w:hAnsi="Arial"/>
                <w:b/>
                <w:sz w:val="18"/>
              </w:rPr>
              <w:t>Subgroup</w:t>
            </w:r>
          </w:p>
        </w:tc>
        <w:tc>
          <w:tcPr>
            <w:tcW w:type="dxa" w:w="1504"/>
            <w:shd w:fill="D9E2F3"/>
          </w:tcPr>
          <w:p>
            <w:pPr>
              <w:spacing w:before="40" w:after="40" w:line="280" w:lineRule="exact"/>
              <w:jc w:val="center"/>
            </w:pPr>
            <w:r/>
            <w:r>
              <w:rPr>
                <w:rFonts w:ascii="Arial" w:hAnsi="Arial"/>
                <w:b/>
                <w:sz w:val="18"/>
              </w:rPr>
              <w:t>AUC</w:t>
            </w:r>
          </w:p>
        </w:tc>
        <w:tc>
          <w:tcPr>
            <w:tcW w:type="dxa" w:w="1504"/>
            <w:shd w:fill="D9E2F3"/>
          </w:tcPr>
          <w:p>
            <w:pPr>
              <w:spacing w:before="40" w:after="40" w:line="280" w:lineRule="exact"/>
              <w:jc w:val="center"/>
            </w:pPr>
            <w:r/>
            <w:r>
              <w:rPr>
                <w:rFonts w:ascii="Arial" w:hAnsi="Arial"/>
                <w:b/>
                <w:sz w:val="18"/>
              </w:rPr>
              <w:t>95% CI</w:t>
            </w:r>
          </w:p>
        </w:tc>
        <w:tc>
          <w:tcPr>
            <w:tcW w:type="dxa" w:w="1504"/>
            <w:shd w:fill="D9E2F3"/>
          </w:tcPr>
          <w:p>
            <w:pPr>
              <w:spacing w:before="40" w:after="40" w:line="280" w:lineRule="exact"/>
              <w:jc w:val="center"/>
            </w:pPr>
            <w:r/>
            <w:r>
              <w:rPr>
                <w:rFonts w:ascii="Arial" w:hAnsi="Arial"/>
                <w:b/>
                <w:sz w:val="18"/>
              </w:rPr>
              <w:t>N</w:t>
            </w:r>
          </w:p>
        </w:tc>
        <w:tc>
          <w:tcPr>
            <w:tcW w:type="dxa" w:w="1504"/>
            <w:shd w:fill="D9E2F3"/>
          </w:tcPr>
          <w:p>
            <w:pPr>
              <w:spacing w:before="40" w:after="40" w:line="280" w:lineRule="exact"/>
              <w:jc w:val="center"/>
            </w:pPr>
            <w:r/>
            <w:r>
              <w:rPr>
                <w:rFonts w:ascii="Arial" w:hAnsi="Arial"/>
                <w:b/>
                <w:sz w:val="18"/>
              </w:rPr>
              <w:t>FH+</w:t>
            </w:r>
          </w:p>
        </w:tc>
        <w:tc>
          <w:tcPr>
            <w:tcW w:type="dxa" w:w="1504"/>
            <w:shd w:fill="D9E2F3"/>
          </w:tcPr>
          <w:p>
            <w:pPr>
              <w:spacing w:before="40" w:after="40" w:line="280" w:lineRule="exact"/>
              <w:jc w:val="center"/>
            </w:pPr>
            <w:r/>
            <w:r>
              <w:rPr>
                <w:rFonts w:ascii="Arial" w:hAnsi="Arial"/>
                <w:b/>
                <w:sz w:val="18"/>
              </w:rPr>
              <w:t>Interpretation</w:t>
            </w:r>
          </w:p>
        </w:tc>
      </w:tr>
      <w:tr>
        <w:tc>
          <w:tcPr>
            <w:tcW w:type="dxa" w:w="1504"/>
          </w:tcPr>
          <w:p>
            <w:pPr>
              <w:spacing w:before="40" w:after="40" w:line="280" w:lineRule="exact"/>
              <w:jc w:val="left"/>
            </w:pPr>
            <w:r/>
            <w:r>
              <w:rPr>
                <w:rFonts w:ascii="Arial" w:hAnsi="Arial"/>
                <w:b w:val="0"/>
                <w:sz w:val="18"/>
              </w:rPr>
              <w:t>Overall</w:t>
            </w:r>
          </w:p>
        </w:tc>
        <w:tc>
          <w:tcPr>
            <w:tcW w:type="dxa" w:w="1504"/>
          </w:tcPr>
          <w:p>
            <w:pPr>
              <w:spacing w:before="40" w:after="40" w:line="280" w:lineRule="exact"/>
              <w:jc w:val="center"/>
            </w:pPr>
            <w:r/>
            <w:r>
              <w:rPr>
                <w:rFonts w:ascii="Arial" w:hAnsi="Arial"/>
                <w:b w:val="0"/>
                <w:sz w:val="18"/>
              </w:rPr>
              <w:t>0.782</w:t>
            </w:r>
          </w:p>
        </w:tc>
        <w:tc>
          <w:tcPr>
            <w:tcW w:type="dxa" w:w="1504"/>
          </w:tcPr>
          <w:p>
            <w:pPr>
              <w:spacing w:before="40" w:after="40" w:line="280" w:lineRule="exact"/>
              <w:jc w:val="center"/>
            </w:pPr>
            <w:r/>
            <w:r>
              <w:rPr>
                <w:rFonts w:ascii="Arial" w:hAnsi="Arial"/>
                <w:b w:val="0"/>
                <w:sz w:val="18"/>
              </w:rPr>
              <w:t>0.768-0.796</w:t>
            </w:r>
          </w:p>
        </w:tc>
        <w:tc>
          <w:tcPr>
            <w:tcW w:type="dxa" w:w="1504"/>
          </w:tcPr>
          <w:p>
            <w:pPr>
              <w:spacing w:before="40" w:after="40" w:line="280" w:lineRule="exact"/>
              <w:jc w:val="center"/>
            </w:pPr>
            <w:r/>
            <w:r>
              <w:rPr>
                <w:rFonts w:ascii="Arial" w:hAnsi="Arial"/>
                <w:b w:val="0"/>
                <w:sz w:val="18"/>
              </w:rPr>
              <w:t>5,376</w:t>
            </w:r>
          </w:p>
        </w:tc>
        <w:tc>
          <w:tcPr>
            <w:tcW w:type="dxa" w:w="1504"/>
          </w:tcPr>
          <w:p>
            <w:pPr>
              <w:spacing w:before="40" w:after="40" w:line="280" w:lineRule="exact"/>
              <w:jc w:val="center"/>
            </w:pPr>
            <w:r/>
            <w:r>
              <w:rPr>
                <w:rFonts w:ascii="Arial" w:hAnsi="Arial"/>
                <w:b w:val="0"/>
                <w:sz w:val="18"/>
              </w:rPr>
              <w:t>1,862</w:t>
            </w:r>
          </w:p>
        </w:tc>
        <w:tc>
          <w:tcPr>
            <w:tcW w:type="dxa" w:w="1504"/>
          </w:tcPr>
          <w:p>
            <w:pPr>
              <w:spacing w:before="40" w:after="40" w:line="280" w:lineRule="exact"/>
              <w:jc w:val="center"/>
            </w:pPr>
            <w:r/>
            <w:r>
              <w:rPr>
                <w:rFonts w:ascii="Arial" w:hAnsi="Arial"/>
                <w:b w:val="0"/>
                <w:sz w:val="18"/>
              </w:rPr>
              <w:t>Reference</w:t>
            </w:r>
          </w:p>
        </w:tc>
      </w:tr>
      <w:tr>
        <w:tc>
          <w:tcPr>
            <w:tcW w:type="dxa" w:w="1504"/>
          </w:tcPr>
          <w:p>
            <w:pPr>
              <w:spacing w:before="40" w:after="40" w:line="280" w:lineRule="exact"/>
              <w:jc w:val="left"/>
            </w:pPr>
            <w:r/>
            <w:r>
              <w:rPr>
                <w:rFonts w:ascii="Arial" w:hAnsi="Arial"/>
                <w:b w:val="0"/>
                <w:sz w:val="18"/>
              </w:rPr>
              <w:t>Male</w:t>
            </w:r>
          </w:p>
        </w:tc>
        <w:tc>
          <w:tcPr>
            <w:tcW w:type="dxa" w:w="1504"/>
          </w:tcPr>
          <w:p>
            <w:pPr>
              <w:spacing w:before="40" w:after="40" w:line="280" w:lineRule="exact"/>
              <w:jc w:val="center"/>
            </w:pPr>
            <w:r/>
            <w:r>
              <w:rPr>
                <w:rFonts w:ascii="Arial" w:hAnsi="Arial"/>
                <w:b w:val="0"/>
                <w:sz w:val="18"/>
              </w:rPr>
              <w:t>0.769</w:t>
            </w:r>
          </w:p>
        </w:tc>
        <w:tc>
          <w:tcPr>
            <w:tcW w:type="dxa" w:w="1504"/>
          </w:tcPr>
          <w:p>
            <w:pPr>
              <w:spacing w:before="40" w:after="40" w:line="280" w:lineRule="exact"/>
              <w:jc w:val="center"/>
            </w:pPr>
            <w:r/>
            <w:r>
              <w:rPr>
                <w:rFonts w:ascii="Arial" w:hAnsi="Arial"/>
                <w:b w:val="0"/>
                <w:sz w:val="18"/>
              </w:rPr>
              <w:t>0.747-0.791</w:t>
            </w:r>
          </w:p>
        </w:tc>
        <w:tc>
          <w:tcPr>
            <w:tcW w:type="dxa" w:w="1504"/>
          </w:tcPr>
          <w:p>
            <w:pPr>
              <w:spacing w:before="40" w:after="40" w:line="280" w:lineRule="exact"/>
              <w:jc w:val="center"/>
            </w:pPr>
            <w:r/>
            <w:r>
              <w:rPr>
                <w:rFonts w:ascii="Arial" w:hAnsi="Arial"/>
                <w:b w:val="0"/>
                <w:sz w:val="18"/>
              </w:rPr>
              <w:t>2,244</w:t>
            </w:r>
          </w:p>
        </w:tc>
        <w:tc>
          <w:tcPr>
            <w:tcW w:type="dxa" w:w="1504"/>
          </w:tcPr>
          <w:p>
            <w:pPr>
              <w:spacing w:before="40" w:after="40" w:line="280" w:lineRule="exact"/>
              <w:jc w:val="center"/>
            </w:pPr>
            <w:r/>
            <w:r>
              <w:rPr>
                <w:rFonts w:ascii="Arial" w:hAnsi="Arial"/>
                <w:b w:val="0"/>
                <w:sz w:val="18"/>
              </w:rPr>
              <w:t>799</w:t>
            </w:r>
          </w:p>
        </w:tc>
        <w:tc>
          <w:tcPr>
            <w:tcW w:type="dxa" w:w="1504"/>
          </w:tcPr>
          <w:p>
            <w:pPr>
              <w:spacing w:before="40" w:after="40" w:line="280" w:lineRule="exact"/>
              <w:jc w:val="center"/>
            </w:pPr>
            <w:r/>
            <w:r>
              <w:rPr>
                <w:rFonts w:ascii="Arial" w:hAnsi="Arial"/>
                <w:b w:val="0"/>
                <w:sz w:val="18"/>
              </w:rPr>
              <w:t>Comparable to overall</w:t>
            </w:r>
          </w:p>
        </w:tc>
      </w:tr>
      <w:tr>
        <w:tc>
          <w:tcPr>
            <w:tcW w:type="dxa" w:w="1504"/>
          </w:tcPr>
          <w:p>
            <w:pPr>
              <w:spacing w:before="40" w:after="40" w:line="280" w:lineRule="exact"/>
              <w:jc w:val="left"/>
            </w:pPr>
            <w:r/>
            <w:r>
              <w:rPr>
                <w:rFonts w:ascii="Arial" w:hAnsi="Arial"/>
                <w:b w:val="0"/>
                <w:sz w:val="18"/>
              </w:rPr>
              <w:t>Female</w:t>
            </w:r>
          </w:p>
        </w:tc>
        <w:tc>
          <w:tcPr>
            <w:tcW w:type="dxa" w:w="1504"/>
          </w:tcPr>
          <w:p>
            <w:pPr>
              <w:spacing w:before="40" w:after="40" w:line="280" w:lineRule="exact"/>
              <w:jc w:val="center"/>
            </w:pPr>
            <w:r/>
            <w:r>
              <w:rPr>
                <w:rFonts w:ascii="Arial" w:hAnsi="Arial"/>
                <w:b w:val="0"/>
                <w:sz w:val="18"/>
              </w:rPr>
              <w:t>0.792</w:t>
            </w:r>
          </w:p>
        </w:tc>
        <w:tc>
          <w:tcPr>
            <w:tcW w:type="dxa" w:w="1504"/>
          </w:tcPr>
          <w:p>
            <w:pPr>
              <w:spacing w:before="40" w:after="40" w:line="280" w:lineRule="exact"/>
              <w:jc w:val="center"/>
            </w:pPr>
            <w:r/>
            <w:r>
              <w:rPr>
                <w:rFonts w:ascii="Arial" w:hAnsi="Arial"/>
                <w:b w:val="0"/>
                <w:sz w:val="18"/>
              </w:rPr>
              <w:t>0.775-0.810</w:t>
            </w:r>
          </w:p>
        </w:tc>
        <w:tc>
          <w:tcPr>
            <w:tcW w:type="dxa" w:w="1504"/>
          </w:tcPr>
          <w:p>
            <w:pPr>
              <w:spacing w:before="40" w:after="40" w:line="280" w:lineRule="exact"/>
              <w:jc w:val="center"/>
            </w:pPr>
            <w:r/>
            <w:r>
              <w:rPr>
                <w:rFonts w:ascii="Arial" w:hAnsi="Arial"/>
                <w:b w:val="0"/>
                <w:sz w:val="18"/>
              </w:rPr>
              <w:t>3,132</w:t>
            </w:r>
          </w:p>
        </w:tc>
        <w:tc>
          <w:tcPr>
            <w:tcW w:type="dxa" w:w="1504"/>
          </w:tcPr>
          <w:p>
            <w:pPr>
              <w:spacing w:before="40" w:after="40" w:line="280" w:lineRule="exact"/>
              <w:jc w:val="center"/>
            </w:pPr>
            <w:r/>
            <w:r>
              <w:rPr>
                <w:rFonts w:ascii="Arial" w:hAnsi="Arial"/>
                <w:b w:val="0"/>
                <w:sz w:val="18"/>
              </w:rPr>
              <w:t>1,063</w:t>
            </w:r>
          </w:p>
        </w:tc>
        <w:tc>
          <w:tcPr>
            <w:tcW w:type="dxa" w:w="1504"/>
          </w:tcPr>
          <w:p>
            <w:pPr>
              <w:spacing w:before="40" w:after="40" w:line="280" w:lineRule="exact"/>
              <w:jc w:val="center"/>
            </w:pPr>
            <w:r/>
            <w:r>
              <w:rPr>
                <w:rFonts w:ascii="Arial" w:hAnsi="Arial"/>
                <w:b w:val="0"/>
                <w:sz w:val="18"/>
              </w:rPr>
              <w:t>Higher discrimination</w:t>
            </w:r>
          </w:p>
        </w:tc>
      </w:tr>
      <w:tr>
        <w:tc>
          <w:tcPr>
            <w:tcW w:type="dxa" w:w="1504"/>
          </w:tcPr>
          <w:p>
            <w:pPr>
              <w:spacing w:before="40" w:after="40" w:line="280" w:lineRule="exact"/>
              <w:jc w:val="left"/>
            </w:pPr>
            <w:r/>
            <w:r>
              <w:rPr>
                <w:rFonts w:ascii="Arial" w:hAnsi="Arial"/>
                <w:b w:val="0"/>
                <w:sz w:val="18"/>
              </w:rPr>
              <w:t>Age &lt; 40 years</w:t>
            </w:r>
          </w:p>
        </w:tc>
        <w:tc>
          <w:tcPr>
            <w:tcW w:type="dxa" w:w="1504"/>
          </w:tcPr>
          <w:p>
            <w:pPr>
              <w:spacing w:before="40" w:after="40" w:line="280" w:lineRule="exact"/>
              <w:jc w:val="center"/>
            </w:pPr>
            <w:r/>
            <w:r>
              <w:rPr>
                <w:rFonts w:ascii="Arial" w:hAnsi="Arial"/>
                <w:b w:val="0"/>
                <w:sz w:val="18"/>
              </w:rPr>
              <w:t>0.839</w:t>
            </w:r>
          </w:p>
        </w:tc>
        <w:tc>
          <w:tcPr>
            <w:tcW w:type="dxa" w:w="1504"/>
          </w:tcPr>
          <w:p>
            <w:pPr>
              <w:spacing w:before="40" w:after="40" w:line="280" w:lineRule="exact"/>
              <w:jc w:val="center"/>
            </w:pPr>
            <w:r/>
            <w:r>
              <w:rPr>
                <w:rFonts w:ascii="Arial" w:hAnsi="Arial"/>
                <w:b w:val="0"/>
                <w:sz w:val="18"/>
              </w:rPr>
              <w:t>0.812-0.865</w:t>
            </w:r>
          </w:p>
        </w:tc>
        <w:tc>
          <w:tcPr>
            <w:tcW w:type="dxa" w:w="1504"/>
          </w:tcPr>
          <w:p>
            <w:pPr>
              <w:spacing w:before="40" w:after="40" w:line="280" w:lineRule="exact"/>
              <w:jc w:val="center"/>
            </w:pPr>
            <w:r/>
            <w:r>
              <w:rPr>
                <w:rFonts w:ascii="Arial" w:hAnsi="Arial"/>
                <w:b w:val="0"/>
                <w:sz w:val="18"/>
              </w:rPr>
              <w:t>982</w:t>
            </w:r>
          </w:p>
        </w:tc>
        <w:tc>
          <w:tcPr>
            <w:tcW w:type="dxa" w:w="1504"/>
          </w:tcPr>
          <w:p>
            <w:pPr>
              <w:spacing w:before="40" w:after="40" w:line="280" w:lineRule="exact"/>
              <w:jc w:val="center"/>
            </w:pPr>
            <w:r/>
            <w:r>
              <w:rPr>
                <w:rFonts w:ascii="Arial" w:hAnsi="Arial"/>
                <w:b w:val="0"/>
                <w:sz w:val="18"/>
              </w:rPr>
              <w:t>634</w:t>
            </w:r>
          </w:p>
        </w:tc>
        <w:tc>
          <w:tcPr>
            <w:tcW w:type="dxa" w:w="1504"/>
          </w:tcPr>
          <w:p>
            <w:pPr>
              <w:spacing w:before="40" w:after="40" w:line="280" w:lineRule="exact"/>
              <w:jc w:val="center"/>
            </w:pPr>
            <w:r/>
            <w:r>
              <w:rPr>
                <w:rFonts w:ascii="Arial" w:hAnsi="Arial"/>
                <w:b w:val="0"/>
                <w:sz w:val="18"/>
              </w:rPr>
              <w:t>Best performance</w:t>
            </w:r>
          </w:p>
        </w:tc>
      </w:tr>
      <w:tr>
        <w:tc>
          <w:tcPr>
            <w:tcW w:type="dxa" w:w="1504"/>
          </w:tcPr>
          <w:p>
            <w:pPr>
              <w:spacing w:before="40" w:after="40" w:line="280" w:lineRule="exact"/>
              <w:jc w:val="left"/>
            </w:pPr>
            <w:r/>
            <w:r>
              <w:rPr>
                <w:rFonts w:ascii="Arial" w:hAnsi="Arial"/>
                <w:b w:val="0"/>
                <w:sz w:val="18"/>
              </w:rPr>
              <w:t>Age 40–60 years</w:t>
            </w:r>
          </w:p>
        </w:tc>
        <w:tc>
          <w:tcPr>
            <w:tcW w:type="dxa" w:w="1504"/>
          </w:tcPr>
          <w:p>
            <w:pPr>
              <w:spacing w:before="40" w:after="40" w:line="280" w:lineRule="exact"/>
              <w:jc w:val="center"/>
            </w:pPr>
            <w:r/>
            <w:r>
              <w:rPr>
                <w:rFonts w:ascii="Arial" w:hAnsi="Arial"/>
                <w:b w:val="0"/>
                <w:sz w:val="18"/>
              </w:rPr>
              <w:t>0.780</w:t>
            </w:r>
          </w:p>
        </w:tc>
        <w:tc>
          <w:tcPr>
            <w:tcW w:type="dxa" w:w="1504"/>
          </w:tcPr>
          <w:p>
            <w:pPr>
              <w:spacing w:before="40" w:after="40" w:line="280" w:lineRule="exact"/>
              <w:jc w:val="center"/>
            </w:pPr>
            <w:r/>
            <w:r>
              <w:rPr>
                <w:rFonts w:ascii="Arial" w:hAnsi="Arial"/>
                <w:b w:val="0"/>
                <w:sz w:val="18"/>
              </w:rPr>
              <w:t>0.756-0.803</w:t>
            </w:r>
          </w:p>
        </w:tc>
        <w:tc>
          <w:tcPr>
            <w:tcW w:type="dxa" w:w="1504"/>
          </w:tcPr>
          <w:p>
            <w:pPr>
              <w:spacing w:before="40" w:after="40" w:line="280" w:lineRule="exact"/>
              <w:jc w:val="center"/>
            </w:pPr>
            <w:r/>
            <w:r>
              <w:rPr>
                <w:rFonts w:ascii="Arial" w:hAnsi="Arial"/>
                <w:b w:val="0"/>
                <w:sz w:val="18"/>
              </w:rPr>
              <w:t>1,773</w:t>
            </w:r>
          </w:p>
        </w:tc>
        <w:tc>
          <w:tcPr>
            <w:tcW w:type="dxa" w:w="1504"/>
          </w:tcPr>
          <w:p>
            <w:pPr>
              <w:spacing w:before="40" w:after="40" w:line="280" w:lineRule="exact"/>
              <w:jc w:val="center"/>
            </w:pPr>
            <w:r/>
            <w:r>
              <w:rPr>
                <w:rFonts w:ascii="Arial" w:hAnsi="Arial"/>
                <w:b w:val="0"/>
                <w:sz w:val="18"/>
              </w:rPr>
              <w:t>607</w:t>
            </w:r>
          </w:p>
        </w:tc>
        <w:tc>
          <w:tcPr>
            <w:tcW w:type="dxa" w:w="1504"/>
          </w:tcPr>
          <w:p>
            <w:pPr>
              <w:spacing w:before="40" w:after="40" w:line="280" w:lineRule="exact"/>
              <w:jc w:val="center"/>
            </w:pPr>
            <w:r/>
            <w:r>
              <w:rPr>
                <w:rFonts w:ascii="Arial" w:hAnsi="Arial"/>
                <w:b w:val="0"/>
                <w:sz w:val="18"/>
              </w:rPr>
              <w:t>Consistent</w:t>
            </w:r>
          </w:p>
        </w:tc>
      </w:tr>
      <w:tr>
        <w:tc>
          <w:tcPr>
            <w:tcW w:type="dxa" w:w="1504"/>
          </w:tcPr>
          <w:p>
            <w:pPr>
              <w:spacing w:before="40" w:after="40" w:line="280" w:lineRule="exact"/>
              <w:jc w:val="left"/>
            </w:pPr>
            <w:r/>
            <w:r>
              <w:rPr>
                <w:rFonts w:ascii="Arial" w:hAnsi="Arial"/>
                <w:b w:val="0"/>
                <w:sz w:val="18"/>
              </w:rPr>
              <w:t>Age &gt; 60 years</w:t>
            </w:r>
          </w:p>
        </w:tc>
        <w:tc>
          <w:tcPr>
            <w:tcW w:type="dxa" w:w="1504"/>
          </w:tcPr>
          <w:p>
            <w:pPr>
              <w:spacing w:before="40" w:after="40" w:line="280" w:lineRule="exact"/>
              <w:jc w:val="center"/>
            </w:pPr>
            <w:r/>
            <w:r>
              <w:rPr>
                <w:rFonts w:ascii="Arial" w:hAnsi="Arial"/>
                <w:b w:val="0"/>
                <w:sz w:val="18"/>
              </w:rPr>
              <w:t>0.665</w:t>
            </w:r>
          </w:p>
        </w:tc>
        <w:tc>
          <w:tcPr>
            <w:tcW w:type="dxa" w:w="1504"/>
          </w:tcPr>
          <w:p>
            <w:pPr>
              <w:spacing w:before="40" w:after="40" w:line="280" w:lineRule="exact"/>
              <w:jc w:val="center"/>
            </w:pPr>
            <w:r/>
            <w:r>
              <w:rPr>
                <w:rFonts w:ascii="Arial" w:hAnsi="Arial"/>
                <w:b w:val="0"/>
                <w:sz w:val="18"/>
              </w:rPr>
              <w:t>0.639-0.692</w:t>
            </w:r>
          </w:p>
        </w:tc>
        <w:tc>
          <w:tcPr>
            <w:tcW w:type="dxa" w:w="1504"/>
          </w:tcPr>
          <w:p>
            <w:pPr>
              <w:spacing w:before="40" w:after="40" w:line="280" w:lineRule="exact"/>
              <w:jc w:val="center"/>
            </w:pPr>
            <w:r/>
            <w:r>
              <w:rPr>
                <w:rFonts w:ascii="Arial" w:hAnsi="Arial"/>
                <w:b w:val="0"/>
                <w:sz w:val="18"/>
              </w:rPr>
              <w:t>2,621</w:t>
            </w:r>
          </w:p>
        </w:tc>
        <w:tc>
          <w:tcPr>
            <w:tcW w:type="dxa" w:w="1504"/>
          </w:tcPr>
          <w:p>
            <w:pPr>
              <w:spacing w:before="40" w:after="40" w:line="280" w:lineRule="exact"/>
              <w:jc w:val="center"/>
            </w:pPr>
            <w:r/>
            <w:r>
              <w:rPr>
                <w:rFonts w:ascii="Arial" w:hAnsi="Arial"/>
                <w:b w:val="0"/>
                <w:sz w:val="18"/>
              </w:rPr>
              <w:t>621</w:t>
            </w:r>
          </w:p>
        </w:tc>
        <w:tc>
          <w:tcPr>
            <w:tcW w:type="dxa" w:w="1504"/>
          </w:tcPr>
          <w:p>
            <w:pPr>
              <w:spacing w:before="40" w:after="40" w:line="280" w:lineRule="exact"/>
              <w:jc w:val="center"/>
            </w:pPr>
            <w:r/>
            <w:r>
              <w:rPr>
                <w:rFonts w:ascii="Arial" w:hAnsi="Arial"/>
                <w:b w:val="0"/>
                <w:sz w:val="18"/>
              </w:rPr>
              <w:t>Attenuated</w:t>
            </w:r>
          </w:p>
        </w:tc>
      </w:tr>
      <w:tr>
        <w:tc>
          <w:tcPr>
            <w:tcW w:type="dxa" w:w="1504"/>
          </w:tcPr>
          <w:p>
            <w:pPr>
              <w:spacing w:before="40" w:after="40" w:line="280" w:lineRule="exact"/>
              <w:jc w:val="left"/>
            </w:pPr>
            <w:r/>
            <w:r>
              <w:rPr>
                <w:rFonts w:ascii="Arial" w:hAnsi="Arial"/>
                <w:b w:val="0"/>
                <w:sz w:val="18"/>
              </w:rPr>
              <w:t>On statin</w:t>
            </w:r>
          </w:p>
        </w:tc>
        <w:tc>
          <w:tcPr>
            <w:tcW w:type="dxa" w:w="1504"/>
          </w:tcPr>
          <w:p>
            <w:pPr>
              <w:spacing w:before="40" w:after="40" w:line="280" w:lineRule="exact"/>
              <w:jc w:val="center"/>
            </w:pPr>
            <w:r/>
            <w:r>
              <w:rPr>
                <w:rFonts w:ascii="Arial" w:hAnsi="Arial"/>
                <w:b w:val="0"/>
                <w:sz w:val="18"/>
              </w:rPr>
              <w:t>0.749</w:t>
            </w:r>
          </w:p>
        </w:tc>
        <w:tc>
          <w:tcPr>
            <w:tcW w:type="dxa" w:w="1504"/>
          </w:tcPr>
          <w:p>
            <w:pPr>
              <w:spacing w:before="40" w:after="40" w:line="280" w:lineRule="exact"/>
              <w:jc w:val="center"/>
            </w:pPr>
            <w:r/>
            <w:r>
              <w:rPr>
                <w:rFonts w:ascii="Arial" w:hAnsi="Arial"/>
                <w:b w:val="0"/>
                <w:sz w:val="18"/>
              </w:rPr>
              <w:t>0.716-0.781</w:t>
            </w:r>
          </w:p>
        </w:tc>
        <w:tc>
          <w:tcPr>
            <w:tcW w:type="dxa" w:w="1504"/>
          </w:tcPr>
          <w:p>
            <w:pPr>
              <w:spacing w:before="40" w:after="40" w:line="280" w:lineRule="exact"/>
              <w:jc w:val="center"/>
            </w:pPr>
            <w:r/>
            <w:r>
              <w:rPr>
                <w:rFonts w:ascii="Arial" w:hAnsi="Arial"/>
                <w:b w:val="0"/>
                <w:sz w:val="18"/>
              </w:rPr>
              <w:t>1,018</w:t>
            </w:r>
          </w:p>
        </w:tc>
        <w:tc>
          <w:tcPr>
            <w:tcW w:type="dxa" w:w="1504"/>
          </w:tcPr>
          <w:p>
            <w:pPr>
              <w:spacing w:before="40" w:after="40" w:line="280" w:lineRule="exact"/>
              <w:jc w:val="center"/>
            </w:pPr>
            <w:r/>
            <w:r>
              <w:rPr>
                <w:rFonts w:ascii="Arial" w:hAnsi="Arial"/>
                <w:b w:val="0"/>
                <w:sz w:val="18"/>
              </w:rPr>
              <w:t>357</w:t>
            </w:r>
          </w:p>
        </w:tc>
        <w:tc>
          <w:tcPr>
            <w:tcW w:type="dxa" w:w="1504"/>
          </w:tcPr>
          <w:p>
            <w:pPr>
              <w:spacing w:before="40" w:after="40" w:line="280" w:lineRule="exact"/>
              <w:jc w:val="center"/>
            </w:pPr>
            <w:r/>
            <w:r>
              <w:rPr>
                <w:rFonts w:ascii="Arial" w:hAnsi="Arial"/>
                <w:b w:val="0"/>
                <w:sz w:val="18"/>
              </w:rPr>
              <w:t>Treatment paradox</w:t>
            </w:r>
          </w:p>
        </w:tc>
      </w:tr>
      <w:tr>
        <w:tc>
          <w:tcPr>
            <w:tcW w:type="dxa" w:w="1504"/>
          </w:tcPr>
          <w:p>
            <w:pPr>
              <w:spacing w:before="40" w:after="40" w:line="280" w:lineRule="exact"/>
              <w:jc w:val="left"/>
            </w:pPr>
            <w:r/>
            <w:r>
              <w:rPr>
                <w:rFonts w:ascii="Arial" w:hAnsi="Arial"/>
                <w:b w:val="0"/>
                <w:sz w:val="18"/>
              </w:rPr>
              <w:t>Not on statin</w:t>
            </w:r>
          </w:p>
        </w:tc>
        <w:tc>
          <w:tcPr>
            <w:tcW w:type="dxa" w:w="1504"/>
          </w:tcPr>
          <w:p>
            <w:pPr>
              <w:spacing w:before="40" w:after="40" w:line="280" w:lineRule="exact"/>
              <w:jc w:val="center"/>
            </w:pPr>
            <w:r/>
            <w:r>
              <w:rPr>
                <w:rFonts w:ascii="Arial" w:hAnsi="Arial"/>
                <w:b w:val="0"/>
                <w:sz w:val="18"/>
              </w:rPr>
              <w:t>0.797</w:t>
            </w:r>
          </w:p>
        </w:tc>
        <w:tc>
          <w:tcPr>
            <w:tcW w:type="dxa" w:w="1504"/>
          </w:tcPr>
          <w:p>
            <w:pPr>
              <w:spacing w:before="40" w:after="40" w:line="280" w:lineRule="exact"/>
              <w:jc w:val="center"/>
            </w:pPr>
            <w:r/>
            <w:r>
              <w:rPr>
                <w:rFonts w:ascii="Arial" w:hAnsi="Arial"/>
                <w:b w:val="0"/>
                <w:sz w:val="18"/>
              </w:rPr>
              <w:t>0.781-0.812</w:t>
            </w:r>
          </w:p>
        </w:tc>
        <w:tc>
          <w:tcPr>
            <w:tcW w:type="dxa" w:w="1504"/>
          </w:tcPr>
          <w:p>
            <w:pPr>
              <w:spacing w:before="40" w:after="40" w:line="280" w:lineRule="exact"/>
              <w:jc w:val="center"/>
            </w:pPr>
            <w:r/>
            <w:r>
              <w:rPr>
                <w:rFonts w:ascii="Arial" w:hAnsi="Arial"/>
                <w:b w:val="0"/>
                <w:sz w:val="18"/>
              </w:rPr>
              <w:t>4,358</w:t>
            </w:r>
          </w:p>
        </w:tc>
        <w:tc>
          <w:tcPr>
            <w:tcW w:type="dxa" w:w="1504"/>
          </w:tcPr>
          <w:p>
            <w:pPr>
              <w:spacing w:before="40" w:after="40" w:line="280" w:lineRule="exact"/>
              <w:jc w:val="center"/>
            </w:pPr>
            <w:r/>
            <w:r>
              <w:rPr>
                <w:rFonts w:ascii="Arial" w:hAnsi="Arial"/>
                <w:b w:val="0"/>
                <w:sz w:val="18"/>
              </w:rPr>
              <w:t>1,505</w:t>
            </w:r>
          </w:p>
        </w:tc>
        <w:tc>
          <w:tcPr>
            <w:tcW w:type="dxa" w:w="1504"/>
          </w:tcPr>
          <w:p>
            <w:pPr>
              <w:spacing w:before="40" w:after="40" w:line="280" w:lineRule="exact"/>
              <w:jc w:val="center"/>
            </w:pPr>
            <w:r/>
            <w:r>
              <w:rPr>
                <w:rFonts w:ascii="Arial" w:hAnsi="Arial"/>
                <w:b w:val="0"/>
                <w:sz w:val="18"/>
              </w:rPr>
              <w:t>Best untreated</w:t>
            </w:r>
          </w:p>
        </w:tc>
      </w:tr>
      <w:tr>
        <w:tc>
          <w:tcPr>
            <w:tcW w:type="dxa" w:w="1504"/>
          </w:tcPr>
          <w:p>
            <w:pPr>
              <w:spacing w:before="40" w:after="40" w:line="280" w:lineRule="exact"/>
              <w:jc w:val="left"/>
            </w:pPr>
            <w:r/>
            <w:r>
              <w:rPr>
                <w:rFonts w:ascii="Arial" w:hAnsi="Arial"/>
                <w:b w:val="0"/>
                <w:sz w:val="18"/>
              </w:rPr>
              <w:t>Index case</w:t>
            </w:r>
          </w:p>
        </w:tc>
        <w:tc>
          <w:tcPr>
            <w:tcW w:type="dxa" w:w="1504"/>
          </w:tcPr>
          <w:p>
            <w:pPr>
              <w:spacing w:before="40" w:after="40" w:line="280" w:lineRule="exact"/>
              <w:jc w:val="center"/>
            </w:pPr>
            <w:r/>
            <w:r>
              <w:rPr>
                <w:rFonts w:ascii="Arial" w:hAnsi="Arial"/>
                <w:b w:val="0"/>
                <w:sz w:val="18"/>
              </w:rPr>
              <w:t>0.760</w:t>
            </w:r>
          </w:p>
        </w:tc>
        <w:tc>
          <w:tcPr>
            <w:tcW w:type="dxa" w:w="1504"/>
          </w:tcPr>
          <w:p>
            <w:pPr>
              <w:spacing w:before="40" w:after="40" w:line="280" w:lineRule="exact"/>
              <w:jc w:val="center"/>
            </w:pPr>
            <w:r/>
            <w:r>
              <w:rPr>
                <w:rFonts w:ascii="Arial" w:hAnsi="Arial"/>
                <w:b w:val="0"/>
                <w:sz w:val="18"/>
              </w:rPr>
              <w:t>0.740-0.780</w:t>
            </w:r>
          </w:p>
        </w:tc>
        <w:tc>
          <w:tcPr>
            <w:tcW w:type="dxa" w:w="1504"/>
          </w:tcPr>
          <w:p>
            <w:pPr>
              <w:spacing w:before="40" w:after="40" w:line="280" w:lineRule="exact"/>
              <w:jc w:val="center"/>
            </w:pPr>
            <w:r/>
            <w:r>
              <w:rPr>
                <w:rFonts w:ascii="Arial" w:hAnsi="Arial"/>
                <w:b w:val="0"/>
                <w:sz w:val="18"/>
              </w:rPr>
              <w:t>3,863</w:t>
            </w:r>
          </w:p>
        </w:tc>
        <w:tc>
          <w:tcPr>
            <w:tcW w:type="dxa" w:w="1504"/>
          </w:tcPr>
          <w:p>
            <w:pPr>
              <w:spacing w:before="40" w:after="40" w:line="280" w:lineRule="exact"/>
              <w:jc w:val="center"/>
            </w:pPr>
            <w:r/>
            <w:r>
              <w:rPr>
                <w:rFonts w:ascii="Arial" w:hAnsi="Arial"/>
                <w:b w:val="0"/>
                <w:sz w:val="18"/>
              </w:rPr>
              <w:t>870</w:t>
            </w:r>
          </w:p>
        </w:tc>
        <w:tc>
          <w:tcPr>
            <w:tcW w:type="dxa" w:w="1504"/>
          </w:tcPr>
          <w:p>
            <w:pPr>
              <w:spacing w:before="40" w:after="40" w:line="280" w:lineRule="exact"/>
              <w:jc w:val="center"/>
            </w:pPr>
            <w:r/>
            <w:r>
              <w:rPr>
                <w:rFonts w:ascii="Arial" w:hAnsi="Arial"/>
                <w:b w:val="0"/>
                <w:sz w:val="18"/>
              </w:rPr>
              <w:t>Ascertainment enrichment</w:t>
            </w:r>
          </w:p>
        </w:tc>
      </w:tr>
      <w:tr>
        <w:tc>
          <w:tcPr>
            <w:tcW w:type="dxa" w:w="1504"/>
          </w:tcPr>
          <w:p>
            <w:pPr>
              <w:spacing w:before="40" w:after="40" w:line="280" w:lineRule="exact"/>
              <w:jc w:val="left"/>
            </w:pPr>
            <w:r/>
            <w:r>
              <w:rPr>
                <w:rFonts w:ascii="Arial" w:hAnsi="Arial"/>
                <w:b w:val="0"/>
                <w:sz w:val="18"/>
              </w:rPr>
              <w:t>Cascade relative</w:t>
            </w:r>
          </w:p>
        </w:tc>
        <w:tc>
          <w:tcPr>
            <w:tcW w:type="dxa" w:w="1504"/>
          </w:tcPr>
          <w:p>
            <w:pPr>
              <w:spacing w:before="40" w:after="40" w:line="280" w:lineRule="exact"/>
              <w:jc w:val="center"/>
            </w:pPr>
            <w:r/>
            <w:r>
              <w:rPr>
                <w:rFonts w:ascii="Arial" w:hAnsi="Arial"/>
                <w:b w:val="0"/>
                <w:sz w:val="18"/>
              </w:rPr>
              <w:t>0.794</w:t>
            </w:r>
          </w:p>
        </w:tc>
        <w:tc>
          <w:tcPr>
            <w:tcW w:type="dxa" w:w="1504"/>
          </w:tcPr>
          <w:p>
            <w:pPr>
              <w:spacing w:before="40" w:after="40" w:line="280" w:lineRule="exact"/>
              <w:jc w:val="center"/>
            </w:pPr>
            <w:r/>
            <w:r>
              <w:rPr>
                <w:rFonts w:ascii="Arial" w:hAnsi="Arial"/>
                <w:b w:val="0"/>
                <w:sz w:val="18"/>
              </w:rPr>
              <w:t>0.772-0.816</w:t>
            </w:r>
          </w:p>
        </w:tc>
        <w:tc>
          <w:tcPr>
            <w:tcW w:type="dxa" w:w="1504"/>
          </w:tcPr>
          <w:p>
            <w:pPr>
              <w:spacing w:before="40" w:after="40" w:line="280" w:lineRule="exact"/>
              <w:jc w:val="center"/>
            </w:pPr>
            <w:r/>
            <w:r>
              <w:rPr>
                <w:rFonts w:ascii="Arial" w:hAnsi="Arial"/>
                <w:b w:val="0"/>
                <w:sz w:val="18"/>
              </w:rPr>
              <w:t>1,513</w:t>
            </w:r>
          </w:p>
        </w:tc>
        <w:tc>
          <w:tcPr>
            <w:tcW w:type="dxa" w:w="1504"/>
          </w:tcPr>
          <w:p>
            <w:pPr>
              <w:spacing w:before="40" w:after="40" w:line="280" w:lineRule="exact"/>
              <w:jc w:val="center"/>
            </w:pPr>
            <w:r/>
            <w:r>
              <w:rPr>
                <w:rFonts w:ascii="Arial" w:hAnsi="Arial"/>
                <w:b w:val="0"/>
                <w:sz w:val="18"/>
              </w:rPr>
              <w:t>992</w:t>
            </w:r>
          </w:p>
        </w:tc>
        <w:tc>
          <w:tcPr>
            <w:tcW w:type="dxa" w:w="1504"/>
          </w:tcPr>
          <w:p>
            <w:pPr>
              <w:spacing w:before="40" w:after="40" w:line="280" w:lineRule="exact"/>
              <w:jc w:val="center"/>
            </w:pPr>
            <w:r/>
            <w:r>
              <w:rPr>
                <w:rFonts w:ascii="Arial" w:hAnsi="Arial"/>
                <w:b w:val="0"/>
                <w:sz w:val="18"/>
              </w:rPr>
              <w:t>Less selection bias</w:t>
            </w:r>
          </w:p>
        </w:tc>
      </w:tr>
      <w:tr>
        <w:tc>
          <w:tcPr>
            <w:tcW w:type="dxa" w:w="1504"/>
          </w:tcPr>
          <w:p>
            <w:pPr>
              <w:spacing w:before="40" w:after="40" w:line="280" w:lineRule="exact"/>
              <w:jc w:val="left"/>
            </w:pPr>
            <w:r/>
            <w:r>
              <w:rPr>
                <w:rFonts w:ascii="Arial" w:hAnsi="Arial"/>
                <w:b w:val="0"/>
                <w:sz w:val="18"/>
              </w:rPr>
              <w:t>LDLR variants</w:t>
            </w:r>
          </w:p>
        </w:tc>
        <w:tc>
          <w:tcPr>
            <w:tcW w:type="dxa" w:w="1504"/>
          </w:tcPr>
          <w:p>
            <w:pPr>
              <w:spacing w:before="40" w:after="40" w:line="280" w:lineRule="exact"/>
              <w:jc w:val="center"/>
            </w:pPr>
            <w:r/>
            <w:r>
              <w:rPr>
                <w:rFonts w:ascii="Arial" w:hAnsi="Arial"/>
                <w:b w:val="0"/>
                <w:sz w:val="18"/>
              </w:rPr>
              <w:t>0.783</w:t>
            </w:r>
          </w:p>
        </w:tc>
        <w:tc>
          <w:tcPr>
            <w:tcW w:type="dxa" w:w="1504"/>
          </w:tcPr>
          <w:p>
            <w:pPr>
              <w:spacing w:before="40" w:after="40" w:line="280" w:lineRule="exact"/>
              <w:jc w:val="center"/>
            </w:pPr>
            <w:r/>
            <w:r>
              <w:rPr>
                <w:rFonts w:ascii="Arial" w:hAnsi="Arial"/>
                <w:b w:val="0"/>
                <w:sz w:val="18"/>
              </w:rPr>
              <w:t>0.768-0.799</w:t>
            </w:r>
          </w:p>
        </w:tc>
        <w:tc>
          <w:tcPr>
            <w:tcW w:type="dxa" w:w="1504"/>
          </w:tcPr>
          <w:p>
            <w:pPr>
              <w:spacing w:before="40" w:after="40" w:line="280" w:lineRule="exact"/>
              <w:jc w:val="center"/>
            </w:pPr>
            <w:r/>
            <w:r>
              <w:rPr>
                <w:rFonts w:ascii="Arial" w:hAnsi="Arial"/>
                <w:b w:val="0"/>
                <w:sz w:val="18"/>
              </w:rPr>
              <w:t>4,988</w:t>
            </w:r>
          </w:p>
        </w:tc>
        <w:tc>
          <w:tcPr>
            <w:tcW w:type="dxa" w:w="1504"/>
          </w:tcPr>
          <w:p>
            <w:pPr>
              <w:spacing w:before="40" w:after="40" w:line="280" w:lineRule="exact"/>
              <w:jc w:val="center"/>
            </w:pPr>
            <w:r/>
            <w:r>
              <w:rPr>
                <w:rFonts w:ascii="Arial" w:hAnsi="Arial"/>
                <w:b w:val="0"/>
                <w:sz w:val="18"/>
              </w:rPr>
              <w:t>1,474</w:t>
            </w:r>
          </w:p>
        </w:tc>
        <w:tc>
          <w:tcPr>
            <w:tcW w:type="dxa" w:w="1504"/>
          </w:tcPr>
          <w:p>
            <w:pPr>
              <w:spacing w:before="40" w:after="40" w:line="280" w:lineRule="exact"/>
              <w:jc w:val="center"/>
            </w:pPr>
            <w:r/>
            <w:r>
              <w:rPr>
                <w:rFonts w:ascii="Arial" w:hAnsi="Arial"/>
                <w:b w:val="0"/>
                <w:sz w:val="18"/>
              </w:rPr>
              <w:t>Consistent</w:t>
            </w:r>
          </w:p>
        </w:tc>
      </w:tr>
      <w:tr>
        <w:tc>
          <w:tcPr>
            <w:tcW w:type="dxa" w:w="1504"/>
          </w:tcPr>
          <w:p>
            <w:pPr>
              <w:spacing w:before="40" w:after="40" w:line="280" w:lineRule="exact"/>
              <w:jc w:val="left"/>
            </w:pPr>
            <w:r/>
            <w:r>
              <w:rPr>
                <w:rFonts w:ascii="Arial" w:hAnsi="Arial"/>
                <w:b w:val="0"/>
                <w:sz w:val="18"/>
              </w:rPr>
              <w:t>APOB variants</w:t>
            </w:r>
          </w:p>
        </w:tc>
        <w:tc>
          <w:tcPr>
            <w:tcW w:type="dxa" w:w="1504"/>
          </w:tcPr>
          <w:p>
            <w:pPr>
              <w:spacing w:before="40" w:after="40" w:line="280" w:lineRule="exact"/>
              <w:jc w:val="center"/>
            </w:pPr>
            <w:r/>
            <w:r>
              <w:rPr>
                <w:rFonts w:ascii="Arial" w:hAnsi="Arial"/>
                <w:b w:val="0"/>
                <w:sz w:val="18"/>
              </w:rPr>
              <w:t>0.767</w:t>
            </w:r>
          </w:p>
        </w:tc>
        <w:tc>
          <w:tcPr>
            <w:tcW w:type="dxa" w:w="1504"/>
          </w:tcPr>
          <w:p>
            <w:pPr>
              <w:spacing w:before="40" w:after="40" w:line="280" w:lineRule="exact"/>
              <w:jc w:val="center"/>
            </w:pPr>
            <w:r/>
            <w:r>
              <w:rPr>
                <w:rFonts w:ascii="Arial" w:hAnsi="Arial"/>
                <w:b w:val="0"/>
                <w:sz w:val="18"/>
              </w:rPr>
              <w:t>0.730-0.803</w:t>
            </w:r>
          </w:p>
        </w:tc>
        <w:tc>
          <w:tcPr>
            <w:tcW w:type="dxa" w:w="1504"/>
          </w:tcPr>
          <w:p>
            <w:pPr>
              <w:spacing w:before="40" w:after="40" w:line="280" w:lineRule="exact"/>
              <w:jc w:val="center"/>
            </w:pPr>
            <w:r/>
            <w:r>
              <w:rPr>
                <w:rFonts w:ascii="Arial" w:hAnsi="Arial"/>
                <w:b w:val="0"/>
                <w:sz w:val="18"/>
              </w:rPr>
              <w:t>3,732</w:t>
            </w:r>
          </w:p>
        </w:tc>
        <w:tc>
          <w:tcPr>
            <w:tcW w:type="dxa" w:w="1504"/>
          </w:tcPr>
          <w:p>
            <w:pPr>
              <w:spacing w:before="40" w:after="40" w:line="280" w:lineRule="exact"/>
              <w:jc w:val="center"/>
            </w:pPr>
            <w:r/>
            <w:r>
              <w:rPr>
                <w:rFonts w:ascii="Arial" w:hAnsi="Arial"/>
                <w:b w:val="0"/>
                <w:sz w:val="18"/>
              </w:rPr>
              <w:t>218</w:t>
            </w:r>
          </w:p>
        </w:tc>
        <w:tc>
          <w:tcPr>
            <w:tcW w:type="dxa" w:w="1504"/>
          </w:tcPr>
          <w:p>
            <w:pPr>
              <w:spacing w:before="40" w:after="40" w:line="280" w:lineRule="exact"/>
              <w:jc w:val="center"/>
            </w:pPr>
            <w:r/>
            <w:r>
              <w:rPr>
                <w:rFonts w:ascii="Arial" w:hAnsi="Arial"/>
                <w:b w:val="0"/>
                <w:sz w:val="18"/>
              </w:rPr>
              <w:t>Comparable</w:t>
            </w:r>
          </w:p>
        </w:tc>
      </w:tr>
    </w:tbl>
    <w:p/>
    <w:p>
      <w:r>
        <w:br w:type="page"/>
      </w:r>
    </w:p>
    <w:p>
      <w:pPr>
        <w:pStyle w:val="Heading2"/>
        <w:spacing w:before="360" w:after="120"/>
      </w:pPr>
      <w:r>
        <w:rPr>
          <w:rFonts w:ascii="Arial" w:hAnsi="Arial"/>
          <w:color w:val="000000"/>
          <w:sz w:val="24"/>
        </w:rPr>
        <w:t>Table 7. Reclassification Analysis: TUDOR vs eDLCN (UK Biobank Lipid Clinic)</w:t>
      </w:r>
    </w:p>
    <w:p>
      <w:pPr>
        <w:spacing w:line="330" w:lineRule="exact" w:after="120"/>
        <w:jc w:val="left"/>
      </w:pPr>
      <w:r>
        <w:rPr>
          <w:rFonts w:ascii="Arial" w:hAnsi="Arial"/>
          <w:b/>
          <w:i w:val="0"/>
          <w:sz w:val="22"/>
        </w:rPr>
        <w:t>FH-Positive Reclassification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shd w:fill="D9E2F3"/>
          </w:tcPr>
          <w:p>
            <w:pPr>
              <w:spacing w:before="40" w:after="40" w:line="280" w:lineRule="exact"/>
              <w:jc w:val="center"/>
            </w:pPr>
            <w:r/>
            <w:r>
              <w:rPr>
                <w:rFonts w:ascii="Arial" w:hAnsi="Arial"/>
                <w:b/>
                <w:sz w:val="18"/>
              </w:rPr>
              <w:t>TUDOR Category</w:t>
            </w:r>
          </w:p>
        </w:tc>
        <w:tc>
          <w:tcPr>
            <w:tcW w:type="dxa" w:w="1805"/>
            <w:shd w:fill="D9E2F3"/>
          </w:tcPr>
          <w:p>
            <w:pPr>
              <w:spacing w:before="40" w:after="40" w:line="280" w:lineRule="exact"/>
              <w:jc w:val="center"/>
            </w:pPr>
            <w:r/>
            <w:r>
              <w:rPr>
                <w:rFonts w:ascii="Arial" w:hAnsi="Arial"/>
                <w:b/>
                <w:sz w:val="18"/>
              </w:rPr>
              <w:t>eDLCN Low (&lt;0.5%)</w:t>
            </w:r>
          </w:p>
        </w:tc>
        <w:tc>
          <w:tcPr>
            <w:tcW w:type="dxa" w:w="1805"/>
            <w:shd w:fill="D9E2F3"/>
          </w:tcPr>
          <w:p>
            <w:pPr>
              <w:spacing w:before="40" w:after="40" w:line="280" w:lineRule="exact"/>
              <w:jc w:val="center"/>
            </w:pPr>
            <w:r/>
            <w:r>
              <w:rPr>
                <w:rFonts w:ascii="Arial" w:hAnsi="Arial"/>
                <w:b/>
                <w:sz w:val="18"/>
              </w:rPr>
              <w:t>eDLCN Mid (0.5-2%)</w:t>
            </w:r>
          </w:p>
        </w:tc>
        <w:tc>
          <w:tcPr>
            <w:tcW w:type="dxa" w:w="1805"/>
            <w:shd w:fill="D9E2F3"/>
          </w:tcPr>
          <w:p>
            <w:pPr>
              <w:spacing w:before="40" w:after="40" w:line="280" w:lineRule="exact"/>
              <w:jc w:val="center"/>
            </w:pPr>
            <w:r/>
            <w:r>
              <w:rPr>
                <w:rFonts w:ascii="Arial" w:hAnsi="Arial"/>
                <w:b/>
                <w:sz w:val="18"/>
              </w:rPr>
              <w:t>eDLCN High (&gt;2%)</w:t>
            </w:r>
          </w:p>
        </w:tc>
        <w:tc>
          <w:tcPr>
            <w:tcW w:type="dxa" w:w="1805"/>
            <w:shd w:fill="D9E2F3"/>
          </w:tcPr>
          <w:p>
            <w:pPr>
              <w:spacing w:before="40" w:after="40" w:line="280" w:lineRule="exact"/>
              <w:jc w:val="center"/>
            </w:pPr>
            <w:r/>
            <w:r>
              <w:rPr>
                <w:rFonts w:ascii="Arial" w:hAnsi="Arial"/>
                <w:b/>
                <w:sz w:val="18"/>
              </w:rPr>
              <w:t>Total</w:t>
            </w:r>
          </w:p>
        </w:tc>
      </w:tr>
      <w:tr>
        <w:tc>
          <w:tcPr>
            <w:tcW w:type="dxa" w:w="1805"/>
          </w:tcPr>
          <w:p>
            <w:pPr>
              <w:spacing w:before="40" w:after="40" w:line="280" w:lineRule="exact"/>
              <w:jc w:val="left"/>
            </w:pPr>
            <w:r/>
            <w:r>
              <w:rPr>
                <w:rFonts w:ascii="Arial" w:hAnsi="Arial"/>
                <w:b w:val="0"/>
                <w:sz w:val="18"/>
              </w:rPr>
              <w:t>Low (&lt;0.5%)</w:t>
            </w:r>
          </w:p>
        </w:tc>
        <w:tc>
          <w:tcPr>
            <w:tcW w:type="dxa" w:w="1805"/>
          </w:tcPr>
          <w:p>
            <w:pPr>
              <w:spacing w:before="40" w:after="40" w:line="280" w:lineRule="exact"/>
              <w:jc w:val="center"/>
            </w:pPr>
            <w:r/>
            <w:r>
              <w:rPr>
                <w:rFonts w:ascii="Arial" w:hAnsi="Arial"/>
                <w:b w:val="0"/>
                <w:sz w:val="18"/>
              </w:rPr>
              <w:t>92</w:t>
            </w:r>
          </w:p>
        </w:tc>
        <w:tc>
          <w:tcPr>
            <w:tcW w:type="dxa" w:w="1805"/>
          </w:tcPr>
          <w:p>
            <w:pPr>
              <w:spacing w:before="40" w:after="40" w:line="280" w:lineRule="exact"/>
              <w:jc w:val="center"/>
            </w:pPr>
            <w:r/>
            <w:r>
              <w:rPr>
                <w:rFonts w:ascii="Arial" w:hAnsi="Arial"/>
                <w:b w:val="0"/>
                <w:sz w:val="18"/>
              </w:rPr>
              <w:t>16</w:t>
            </w:r>
          </w:p>
        </w:tc>
        <w:tc>
          <w:tcPr>
            <w:tcW w:type="dxa" w:w="1805"/>
          </w:tcPr>
          <w:p>
            <w:pPr>
              <w:spacing w:before="40" w:after="40" w:line="280" w:lineRule="exact"/>
              <w:jc w:val="center"/>
            </w:pPr>
            <w:r/>
            <w:r>
              <w:rPr>
                <w:rFonts w:ascii="Arial" w:hAnsi="Arial"/>
                <w:b w:val="0"/>
                <w:sz w:val="18"/>
              </w:rPr>
              <w:t>0</w:t>
            </w:r>
          </w:p>
        </w:tc>
        <w:tc>
          <w:tcPr>
            <w:tcW w:type="dxa" w:w="1805"/>
          </w:tcPr>
          <w:p>
            <w:pPr>
              <w:spacing w:before="40" w:after="40" w:line="280" w:lineRule="exact"/>
              <w:jc w:val="center"/>
            </w:pPr>
            <w:r/>
            <w:r>
              <w:rPr>
                <w:rFonts w:ascii="Arial" w:hAnsi="Arial"/>
                <w:b w:val="0"/>
                <w:sz w:val="18"/>
              </w:rPr>
              <w:t>108</w:t>
            </w:r>
          </w:p>
        </w:tc>
      </w:tr>
      <w:tr>
        <w:tc>
          <w:tcPr>
            <w:tcW w:type="dxa" w:w="1805"/>
          </w:tcPr>
          <w:p>
            <w:pPr>
              <w:spacing w:before="40" w:after="40" w:line="280" w:lineRule="exact"/>
              <w:jc w:val="left"/>
            </w:pPr>
            <w:r/>
            <w:r>
              <w:rPr>
                <w:rFonts w:ascii="Arial" w:hAnsi="Arial"/>
                <w:b w:val="0"/>
                <w:sz w:val="18"/>
              </w:rPr>
              <w:t>Mid (0.5-2%)</w:t>
            </w:r>
          </w:p>
        </w:tc>
        <w:tc>
          <w:tcPr>
            <w:tcW w:type="dxa" w:w="1805"/>
          </w:tcPr>
          <w:p>
            <w:pPr>
              <w:spacing w:before="40" w:after="40" w:line="280" w:lineRule="exact"/>
              <w:jc w:val="center"/>
            </w:pPr>
            <w:r/>
            <w:r>
              <w:rPr>
                <w:rFonts w:ascii="Arial" w:hAnsi="Arial"/>
                <w:b w:val="0"/>
                <w:sz w:val="18"/>
              </w:rPr>
              <w:t>135</w:t>
            </w:r>
          </w:p>
        </w:tc>
        <w:tc>
          <w:tcPr>
            <w:tcW w:type="dxa" w:w="1805"/>
          </w:tcPr>
          <w:p>
            <w:pPr>
              <w:spacing w:before="40" w:after="40" w:line="280" w:lineRule="exact"/>
              <w:jc w:val="center"/>
            </w:pPr>
            <w:r/>
            <w:r>
              <w:rPr>
                <w:rFonts w:ascii="Arial" w:hAnsi="Arial"/>
                <w:b w:val="0"/>
                <w:sz w:val="18"/>
              </w:rPr>
              <w:t>292</w:t>
            </w:r>
          </w:p>
        </w:tc>
        <w:tc>
          <w:tcPr>
            <w:tcW w:type="dxa" w:w="1805"/>
          </w:tcPr>
          <w:p>
            <w:pPr>
              <w:spacing w:before="40" w:after="40" w:line="280" w:lineRule="exact"/>
              <w:jc w:val="center"/>
            </w:pPr>
            <w:r/>
            <w:r>
              <w:rPr>
                <w:rFonts w:ascii="Arial" w:hAnsi="Arial"/>
                <w:b w:val="0"/>
                <w:sz w:val="18"/>
              </w:rPr>
              <w:t>35</w:t>
            </w:r>
          </w:p>
        </w:tc>
        <w:tc>
          <w:tcPr>
            <w:tcW w:type="dxa" w:w="1805"/>
          </w:tcPr>
          <w:p>
            <w:pPr>
              <w:spacing w:before="40" w:after="40" w:line="280" w:lineRule="exact"/>
              <w:jc w:val="center"/>
            </w:pPr>
            <w:r/>
            <w:r>
              <w:rPr>
                <w:rFonts w:ascii="Arial" w:hAnsi="Arial"/>
                <w:b w:val="0"/>
                <w:sz w:val="18"/>
              </w:rPr>
              <w:t>462</w:t>
            </w:r>
          </w:p>
        </w:tc>
      </w:tr>
      <w:tr>
        <w:tc>
          <w:tcPr>
            <w:tcW w:type="dxa" w:w="1805"/>
          </w:tcPr>
          <w:p>
            <w:pPr>
              <w:spacing w:before="40" w:after="40" w:line="280" w:lineRule="exact"/>
              <w:jc w:val="left"/>
            </w:pPr>
            <w:r/>
            <w:r>
              <w:rPr>
                <w:rFonts w:ascii="Arial" w:hAnsi="Arial"/>
                <w:b w:val="0"/>
                <w:sz w:val="18"/>
              </w:rPr>
              <w:t>High (&gt;2%)</w:t>
            </w:r>
          </w:p>
        </w:tc>
        <w:tc>
          <w:tcPr>
            <w:tcW w:type="dxa" w:w="1805"/>
          </w:tcPr>
          <w:p>
            <w:pPr>
              <w:spacing w:before="40" w:after="40" w:line="280" w:lineRule="exact"/>
              <w:jc w:val="center"/>
            </w:pPr>
            <w:r/>
            <w:r>
              <w:rPr>
                <w:rFonts w:ascii="Arial" w:hAnsi="Arial"/>
                <w:b w:val="0"/>
                <w:sz w:val="18"/>
              </w:rPr>
              <w:t>15</w:t>
            </w:r>
          </w:p>
        </w:tc>
        <w:tc>
          <w:tcPr>
            <w:tcW w:type="dxa" w:w="1805"/>
          </w:tcPr>
          <w:p>
            <w:pPr>
              <w:spacing w:before="40" w:after="40" w:line="280" w:lineRule="exact"/>
              <w:jc w:val="center"/>
            </w:pPr>
            <w:r/>
            <w:r>
              <w:rPr>
                <w:rFonts w:ascii="Arial" w:hAnsi="Arial"/>
                <w:b w:val="0"/>
                <w:sz w:val="18"/>
              </w:rPr>
              <w:t>151</w:t>
            </w:r>
          </w:p>
        </w:tc>
        <w:tc>
          <w:tcPr>
            <w:tcW w:type="dxa" w:w="1805"/>
          </w:tcPr>
          <w:p>
            <w:pPr>
              <w:spacing w:before="40" w:after="40" w:line="280" w:lineRule="exact"/>
              <w:jc w:val="center"/>
            </w:pPr>
            <w:r/>
            <w:r>
              <w:rPr>
                <w:rFonts w:ascii="Arial" w:hAnsi="Arial"/>
                <w:b w:val="0"/>
                <w:sz w:val="18"/>
              </w:rPr>
              <w:t>202</w:t>
            </w:r>
          </w:p>
        </w:tc>
        <w:tc>
          <w:tcPr>
            <w:tcW w:type="dxa" w:w="1805"/>
          </w:tcPr>
          <w:p>
            <w:pPr>
              <w:spacing w:before="40" w:after="40" w:line="280" w:lineRule="exact"/>
              <w:jc w:val="center"/>
            </w:pPr>
            <w:r/>
            <w:r>
              <w:rPr>
                <w:rFonts w:ascii="Arial" w:hAnsi="Arial"/>
                <w:b w:val="0"/>
                <w:sz w:val="18"/>
              </w:rPr>
              <w:t>368</w:t>
            </w:r>
          </w:p>
        </w:tc>
      </w:tr>
      <w:tr>
        <w:tc>
          <w:tcPr>
            <w:tcW w:type="dxa" w:w="1805"/>
          </w:tcPr>
          <w:p>
            <w:pPr>
              <w:spacing w:before="40" w:after="40" w:line="280" w:lineRule="exact"/>
              <w:jc w:val="left"/>
            </w:pPr>
            <w:r/>
            <w:r>
              <w:rPr>
                <w:rFonts w:ascii="Arial" w:hAnsi="Arial"/>
                <w:b w:val="0"/>
                <w:sz w:val="18"/>
              </w:rPr>
              <w:t>Total</w:t>
            </w:r>
          </w:p>
        </w:tc>
        <w:tc>
          <w:tcPr>
            <w:tcW w:type="dxa" w:w="1805"/>
          </w:tcPr>
          <w:p>
            <w:pPr>
              <w:spacing w:before="40" w:after="40" w:line="280" w:lineRule="exact"/>
              <w:jc w:val="center"/>
            </w:pPr>
            <w:r/>
            <w:r>
              <w:rPr>
                <w:rFonts w:ascii="Arial" w:hAnsi="Arial"/>
                <w:b w:val="0"/>
                <w:sz w:val="18"/>
              </w:rPr>
              <w:t>242</w:t>
            </w:r>
          </w:p>
        </w:tc>
        <w:tc>
          <w:tcPr>
            <w:tcW w:type="dxa" w:w="1805"/>
          </w:tcPr>
          <w:p>
            <w:pPr>
              <w:spacing w:before="40" w:after="40" w:line="280" w:lineRule="exact"/>
              <w:jc w:val="center"/>
            </w:pPr>
            <w:r/>
            <w:r>
              <w:rPr>
                <w:rFonts w:ascii="Arial" w:hAnsi="Arial"/>
                <w:b w:val="0"/>
                <w:sz w:val="18"/>
              </w:rPr>
              <w:t>459</w:t>
            </w:r>
          </w:p>
        </w:tc>
        <w:tc>
          <w:tcPr>
            <w:tcW w:type="dxa" w:w="1805"/>
          </w:tcPr>
          <w:p>
            <w:pPr>
              <w:spacing w:before="40" w:after="40" w:line="280" w:lineRule="exact"/>
              <w:jc w:val="center"/>
            </w:pPr>
            <w:r/>
            <w:r>
              <w:rPr>
                <w:rFonts w:ascii="Arial" w:hAnsi="Arial"/>
                <w:b w:val="0"/>
                <w:sz w:val="18"/>
              </w:rPr>
              <w:t>237</w:t>
            </w:r>
          </w:p>
        </w:tc>
        <w:tc>
          <w:tcPr>
            <w:tcW w:type="dxa" w:w="1805"/>
          </w:tcPr>
          <w:p>
            <w:pPr>
              <w:spacing w:before="40" w:after="40" w:line="280" w:lineRule="exact"/>
              <w:jc w:val="center"/>
            </w:pPr>
            <w:r/>
            <w:r>
              <w:rPr>
                <w:rFonts w:ascii="Arial" w:hAnsi="Arial"/>
                <w:b w:val="0"/>
                <w:sz w:val="18"/>
              </w:rPr>
              <w:t>938</w:t>
            </w:r>
          </w:p>
        </w:tc>
      </w:tr>
    </w:tbl>
    <w:p/>
    <w:p>
      <w:pPr>
        <w:spacing w:line="330" w:lineRule="exact" w:after="120"/>
        <w:jc w:val="left"/>
      </w:pPr>
      <w:r>
        <w:rPr>
          <w:rFonts w:ascii="Arial" w:hAnsi="Arial"/>
          <w:b/>
          <w:i w:val="0"/>
          <w:sz w:val="22"/>
        </w:rPr>
        <w:t>FH-Negative Reclassification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shd w:fill="D9E2F3"/>
          </w:tcPr>
          <w:p>
            <w:pPr>
              <w:spacing w:before="40" w:after="40" w:line="280" w:lineRule="exact"/>
              <w:jc w:val="center"/>
            </w:pPr>
            <w:r/>
            <w:r>
              <w:rPr>
                <w:rFonts w:ascii="Arial" w:hAnsi="Arial"/>
                <w:b/>
                <w:sz w:val="18"/>
              </w:rPr>
              <w:t>TUDOR Category</w:t>
            </w:r>
          </w:p>
        </w:tc>
        <w:tc>
          <w:tcPr>
            <w:tcW w:type="dxa" w:w="1805"/>
            <w:shd w:fill="D9E2F3"/>
          </w:tcPr>
          <w:p>
            <w:pPr>
              <w:spacing w:before="40" w:after="40" w:line="280" w:lineRule="exact"/>
              <w:jc w:val="center"/>
            </w:pPr>
            <w:r/>
            <w:r>
              <w:rPr>
                <w:rFonts w:ascii="Arial" w:hAnsi="Arial"/>
                <w:b/>
                <w:sz w:val="18"/>
              </w:rPr>
              <w:t>eDLCN Low (&lt;0.5%)</w:t>
            </w:r>
          </w:p>
        </w:tc>
        <w:tc>
          <w:tcPr>
            <w:tcW w:type="dxa" w:w="1805"/>
            <w:shd w:fill="D9E2F3"/>
          </w:tcPr>
          <w:p>
            <w:pPr>
              <w:spacing w:before="40" w:after="40" w:line="280" w:lineRule="exact"/>
              <w:jc w:val="center"/>
            </w:pPr>
            <w:r/>
            <w:r>
              <w:rPr>
                <w:rFonts w:ascii="Arial" w:hAnsi="Arial"/>
                <w:b/>
                <w:sz w:val="18"/>
              </w:rPr>
              <w:t>eDLCN Mid (0.5-2%)</w:t>
            </w:r>
          </w:p>
        </w:tc>
        <w:tc>
          <w:tcPr>
            <w:tcW w:type="dxa" w:w="1805"/>
            <w:shd w:fill="D9E2F3"/>
          </w:tcPr>
          <w:p>
            <w:pPr>
              <w:spacing w:before="40" w:after="40" w:line="280" w:lineRule="exact"/>
              <w:jc w:val="center"/>
            </w:pPr>
            <w:r/>
            <w:r>
              <w:rPr>
                <w:rFonts w:ascii="Arial" w:hAnsi="Arial"/>
                <w:b/>
                <w:sz w:val="18"/>
              </w:rPr>
              <w:t>eDLCN High (&gt;2%)</w:t>
            </w:r>
          </w:p>
        </w:tc>
        <w:tc>
          <w:tcPr>
            <w:tcW w:type="dxa" w:w="1805"/>
            <w:shd w:fill="D9E2F3"/>
          </w:tcPr>
          <w:p>
            <w:pPr>
              <w:spacing w:before="40" w:after="40" w:line="280" w:lineRule="exact"/>
              <w:jc w:val="center"/>
            </w:pPr>
            <w:r/>
            <w:r>
              <w:rPr>
                <w:rFonts w:ascii="Arial" w:hAnsi="Arial"/>
                <w:b/>
                <w:sz w:val="18"/>
              </w:rPr>
              <w:t>Total</w:t>
            </w:r>
          </w:p>
        </w:tc>
      </w:tr>
      <w:tr>
        <w:tc>
          <w:tcPr>
            <w:tcW w:type="dxa" w:w="1805"/>
          </w:tcPr>
          <w:p>
            <w:pPr>
              <w:spacing w:before="40" w:after="40" w:line="280" w:lineRule="exact"/>
              <w:jc w:val="left"/>
            </w:pPr>
            <w:r/>
            <w:r>
              <w:rPr>
                <w:rFonts w:ascii="Arial" w:hAnsi="Arial"/>
                <w:b w:val="0"/>
                <w:sz w:val="18"/>
              </w:rPr>
              <w:t>Low (&lt;0.5%)</w:t>
            </w:r>
          </w:p>
        </w:tc>
        <w:tc>
          <w:tcPr>
            <w:tcW w:type="dxa" w:w="1805"/>
          </w:tcPr>
          <w:p>
            <w:pPr>
              <w:spacing w:before="40" w:after="40" w:line="280" w:lineRule="exact"/>
              <w:jc w:val="center"/>
            </w:pPr>
            <w:r/>
            <w:r>
              <w:rPr>
                <w:rFonts w:ascii="Arial" w:hAnsi="Arial"/>
                <w:b w:val="0"/>
                <w:sz w:val="18"/>
              </w:rPr>
              <w:t>39,461</w:t>
            </w:r>
          </w:p>
        </w:tc>
        <w:tc>
          <w:tcPr>
            <w:tcW w:type="dxa" w:w="1805"/>
          </w:tcPr>
          <w:p>
            <w:pPr>
              <w:spacing w:before="40" w:after="40" w:line="280" w:lineRule="exact"/>
              <w:jc w:val="center"/>
            </w:pPr>
            <w:r/>
            <w:r>
              <w:rPr>
                <w:rFonts w:ascii="Arial" w:hAnsi="Arial"/>
                <w:b w:val="0"/>
                <w:sz w:val="18"/>
              </w:rPr>
              <w:t>4,427</w:t>
            </w:r>
          </w:p>
        </w:tc>
        <w:tc>
          <w:tcPr>
            <w:tcW w:type="dxa" w:w="1805"/>
          </w:tcPr>
          <w:p>
            <w:pPr>
              <w:spacing w:before="40" w:after="40" w:line="280" w:lineRule="exact"/>
              <w:jc w:val="center"/>
            </w:pPr>
            <w:r/>
            <w:r>
              <w:rPr>
                <w:rFonts w:ascii="Arial" w:hAnsi="Arial"/>
                <w:b w:val="0"/>
                <w:sz w:val="18"/>
              </w:rPr>
              <w:t>3</w:t>
            </w:r>
          </w:p>
        </w:tc>
        <w:tc>
          <w:tcPr>
            <w:tcW w:type="dxa" w:w="1805"/>
          </w:tcPr>
          <w:p>
            <w:pPr>
              <w:spacing w:before="40" w:after="40" w:line="280" w:lineRule="exact"/>
              <w:jc w:val="center"/>
            </w:pPr>
            <w:r/>
            <w:r>
              <w:rPr>
                <w:rFonts w:ascii="Arial" w:hAnsi="Arial"/>
                <w:b w:val="0"/>
                <w:sz w:val="18"/>
              </w:rPr>
              <w:t>43,891</w:t>
            </w:r>
          </w:p>
        </w:tc>
      </w:tr>
      <w:tr>
        <w:tc>
          <w:tcPr>
            <w:tcW w:type="dxa" w:w="1805"/>
          </w:tcPr>
          <w:p>
            <w:pPr>
              <w:spacing w:before="40" w:after="40" w:line="280" w:lineRule="exact"/>
              <w:jc w:val="left"/>
            </w:pPr>
            <w:r/>
            <w:r>
              <w:rPr>
                <w:rFonts w:ascii="Arial" w:hAnsi="Arial"/>
                <w:b w:val="0"/>
                <w:sz w:val="18"/>
              </w:rPr>
              <w:t>Mid (0.5-2%)</w:t>
            </w:r>
          </w:p>
        </w:tc>
        <w:tc>
          <w:tcPr>
            <w:tcW w:type="dxa" w:w="1805"/>
          </w:tcPr>
          <w:p>
            <w:pPr>
              <w:spacing w:before="40" w:after="40" w:line="280" w:lineRule="exact"/>
              <w:jc w:val="center"/>
            </w:pPr>
            <w:r/>
            <w:r>
              <w:rPr>
                <w:rFonts w:ascii="Arial" w:hAnsi="Arial"/>
                <w:b w:val="0"/>
                <w:sz w:val="18"/>
              </w:rPr>
              <w:t>22,110</w:t>
            </w:r>
          </w:p>
        </w:tc>
        <w:tc>
          <w:tcPr>
            <w:tcW w:type="dxa" w:w="1805"/>
          </w:tcPr>
          <w:p>
            <w:pPr>
              <w:spacing w:before="40" w:after="40" w:line="280" w:lineRule="exact"/>
              <w:jc w:val="center"/>
            </w:pPr>
            <w:r/>
            <w:r>
              <w:rPr>
                <w:rFonts w:ascii="Arial" w:hAnsi="Arial"/>
                <w:b w:val="0"/>
                <w:sz w:val="18"/>
              </w:rPr>
              <w:t>32,233</w:t>
            </w:r>
          </w:p>
        </w:tc>
        <w:tc>
          <w:tcPr>
            <w:tcW w:type="dxa" w:w="1805"/>
          </w:tcPr>
          <w:p>
            <w:pPr>
              <w:spacing w:before="40" w:after="40" w:line="280" w:lineRule="exact"/>
              <w:jc w:val="center"/>
            </w:pPr>
            <w:r/>
            <w:r>
              <w:rPr>
                <w:rFonts w:ascii="Arial" w:hAnsi="Arial"/>
                <w:b w:val="0"/>
                <w:sz w:val="18"/>
              </w:rPr>
              <w:t>2,123</w:t>
            </w:r>
          </w:p>
        </w:tc>
        <w:tc>
          <w:tcPr>
            <w:tcW w:type="dxa" w:w="1805"/>
          </w:tcPr>
          <w:p>
            <w:pPr>
              <w:spacing w:before="40" w:after="40" w:line="280" w:lineRule="exact"/>
              <w:jc w:val="center"/>
            </w:pPr>
            <w:r/>
            <w:r>
              <w:rPr>
                <w:rFonts w:ascii="Arial" w:hAnsi="Arial"/>
                <w:b w:val="0"/>
                <w:sz w:val="18"/>
              </w:rPr>
              <w:t>56,466</w:t>
            </w:r>
          </w:p>
        </w:tc>
      </w:tr>
      <w:tr>
        <w:tc>
          <w:tcPr>
            <w:tcW w:type="dxa" w:w="1805"/>
          </w:tcPr>
          <w:p>
            <w:pPr>
              <w:spacing w:before="40" w:after="40" w:line="280" w:lineRule="exact"/>
              <w:jc w:val="left"/>
            </w:pPr>
            <w:r/>
            <w:r>
              <w:rPr>
                <w:rFonts w:ascii="Arial" w:hAnsi="Arial"/>
                <w:b w:val="0"/>
                <w:sz w:val="18"/>
              </w:rPr>
              <w:t>High (&gt;2%)</w:t>
            </w:r>
          </w:p>
        </w:tc>
        <w:tc>
          <w:tcPr>
            <w:tcW w:type="dxa" w:w="1805"/>
          </w:tcPr>
          <w:p>
            <w:pPr>
              <w:spacing w:before="40" w:after="40" w:line="280" w:lineRule="exact"/>
              <w:jc w:val="center"/>
            </w:pPr>
            <w:r/>
            <w:r>
              <w:rPr>
                <w:rFonts w:ascii="Arial" w:hAnsi="Arial"/>
                <w:b w:val="0"/>
                <w:sz w:val="18"/>
              </w:rPr>
              <w:t>464</w:t>
            </w:r>
          </w:p>
        </w:tc>
        <w:tc>
          <w:tcPr>
            <w:tcW w:type="dxa" w:w="1805"/>
          </w:tcPr>
          <w:p>
            <w:pPr>
              <w:spacing w:before="40" w:after="40" w:line="280" w:lineRule="exact"/>
              <w:jc w:val="center"/>
            </w:pPr>
            <w:r/>
            <w:r>
              <w:rPr>
                <w:rFonts w:ascii="Arial" w:hAnsi="Arial"/>
                <w:b w:val="0"/>
                <w:sz w:val="18"/>
              </w:rPr>
              <w:t>2,693</w:t>
            </w:r>
          </w:p>
        </w:tc>
        <w:tc>
          <w:tcPr>
            <w:tcW w:type="dxa" w:w="1805"/>
          </w:tcPr>
          <w:p>
            <w:pPr>
              <w:spacing w:before="40" w:after="40" w:line="280" w:lineRule="exact"/>
              <w:jc w:val="center"/>
            </w:pPr>
            <w:r/>
            <w:r>
              <w:rPr>
                <w:rFonts w:ascii="Arial" w:hAnsi="Arial"/>
                <w:b w:val="0"/>
                <w:sz w:val="18"/>
              </w:rPr>
              <w:t>2,638</w:t>
            </w:r>
          </w:p>
        </w:tc>
        <w:tc>
          <w:tcPr>
            <w:tcW w:type="dxa" w:w="1805"/>
          </w:tcPr>
          <w:p>
            <w:pPr>
              <w:spacing w:before="40" w:after="40" w:line="280" w:lineRule="exact"/>
              <w:jc w:val="center"/>
            </w:pPr>
            <w:r/>
            <w:r>
              <w:rPr>
                <w:rFonts w:ascii="Arial" w:hAnsi="Arial"/>
                <w:b w:val="0"/>
                <w:sz w:val="18"/>
              </w:rPr>
              <w:t>5,795</w:t>
            </w:r>
          </w:p>
        </w:tc>
      </w:tr>
      <w:tr>
        <w:tc>
          <w:tcPr>
            <w:tcW w:type="dxa" w:w="1805"/>
          </w:tcPr>
          <w:p>
            <w:pPr>
              <w:spacing w:before="40" w:after="40" w:line="280" w:lineRule="exact"/>
              <w:jc w:val="left"/>
            </w:pPr>
            <w:r/>
            <w:r>
              <w:rPr>
                <w:rFonts w:ascii="Arial" w:hAnsi="Arial"/>
                <w:b w:val="0"/>
                <w:sz w:val="18"/>
              </w:rPr>
              <w:t>Total</w:t>
            </w:r>
          </w:p>
        </w:tc>
        <w:tc>
          <w:tcPr>
            <w:tcW w:type="dxa" w:w="1805"/>
          </w:tcPr>
          <w:p>
            <w:pPr>
              <w:spacing w:before="40" w:after="40" w:line="280" w:lineRule="exact"/>
              <w:jc w:val="center"/>
            </w:pPr>
            <w:r/>
            <w:r>
              <w:rPr>
                <w:rFonts w:ascii="Arial" w:hAnsi="Arial"/>
                <w:b w:val="0"/>
                <w:sz w:val="18"/>
              </w:rPr>
              <w:t>62,035</w:t>
            </w:r>
          </w:p>
        </w:tc>
        <w:tc>
          <w:tcPr>
            <w:tcW w:type="dxa" w:w="1805"/>
          </w:tcPr>
          <w:p>
            <w:pPr>
              <w:spacing w:before="40" w:after="40" w:line="280" w:lineRule="exact"/>
              <w:jc w:val="center"/>
            </w:pPr>
            <w:r/>
            <w:r>
              <w:rPr>
                <w:rFonts w:ascii="Arial" w:hAnsi="Arial"/>
                <w:b w:val="0"/>
                <w:sz w:val="18"/>
              </w:rPr>
              <w:t>39,353</w:t>
            </w:r>
          </w:p>
        </w:tc>
        <w:tc>
          <w:tcPr>
            <w:tcW w:type="dxa" w:w="1805"/>
          </w:tcPr>
          <w:p>
            <w:pPr>
              <w:spacing w:before="40" w:after="40" w:line="280" w:lineRule="exact"/>
              <w:jc w:val="center"/>
            </w:pPr>
            <w:r/>
            <w:r>
              <w:rPr>
                <w:rFonts w:ascii="Arial" w:hAnsi="Arial"/>
                <w:b w:val="0"/>
                <w:sz w:val="18"/>
              </w:rPr>
              <w:t>4,764</w:t>
            </w:r>
          </w:p>
        </w:tc>
        <w:tc>
          <w:tcPr>
            <w:tcW w:type="dxa" w:w="1805"/>
          </w:tcPr>
          <w:p>
            <w:pPr>
              <w:spacing w:before="40" w:after="40" w:line="280" w:lineRule="exact"/>
              <w:jc w:val="center"/>
            </w:pPr>
            <w:r/>
            <w:r>
              <w:rPr>
                <w:rFonts w:ascii="Arial" w:hAnsi="Arial"/>
                <w:b w:val="0"/>
                <w:sz w:val="18"/>
              </w:rPr>
              <w:t>106,152</w:t>
            </w:r>
          </w:p>
        </w:tc>
      </w:tr>
    </w:tbl>
    <w:p/>
    <w:p>
      <w:pPr>
        <w:spacing w:line="330" w:lineRule="exact" w:after="120"/>
        <w:jc w:val="left"/>
      </w:pPr>
      <w:r>
        <w:rPr>
          <w:rFonts w:ascii="Arial" w:hAnsi="Arial"/>
          <w:b w:val="0"/>
          <w:i/>
          <w:sz w:val="22"/>
        </w:rPr>
        <w:t>NRI(events) = +0.140 | NRI(non-events) = -0.171 | NRI(total) = -0.031 | IDI = +0.0171. TUDOR correctly up-classifies 14.0% of FH cases that eDLCN misses, identifying 12× more FH cases (639 vs 52 per 10,000) at the cost of more genetic tests.</w:t>
      </w:r>
    </w:p>
    <w:p>
      <w:pPr>
        <w:spacing w:before="240" w:after="80"/>
      </w:pPr>
      <w:r>
        <w:rPr>
          <w:rFonts w:ascii="Arial" w:hAnsi="Arial"/>
          <w:b/>
          <w:sz w:val="20"/>
        </w:rPr>
        <w:t>Table 8. Financial Impact Analysis: TUDOR vs eDLCN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D9E2F3"/>
          </w:tcPr>
          <w:p>
            <w:pPr>
              <w:spacing w:before="40" w:after="40" w:line="280" w:lineRule="exact"/>
              <w:jc w:val="center"/>
            </w:pPr>
            <w:r/>
            <w:r>
              <w:rPr>
                <w:rFonts w:ascii="Arial" w:hAnsi="Arial"/>
                <w:b/>
                <w:sz w:val="18"/>
              </w:rPr>
              <w:t>Metric</w:t>
            </w:r>
          </w:p>
        </w:tc>
        <w:tc>
          <w:tcPr>
            <w:tcW w:type="dxa" w:w="3009"/>
            <w:shd w:fill="D9E2F3"/>
          </w:tcPr>
          <w:p>
            <w:pPr>
              <w:spacing w:before="40" w:after="40" w:line="280" w:lineRule="exact"/>
              <w:jc w:val="center"/>
            </w:pPr>
            <w:r/>
            <w:r>
              <w:rPr>
                <w:rFonts w:ascii="Arial" w:hAnsi="Arial"/>
                <w:b/>
                <w:sz w:val="18"/>
              </w:rPr>
              <w:t>TUDOR</w:t>
            </w:r>
          </w:p>
        </w:tc>
        <w:tc>
          <w:tcPr>
            <w:tcW w:type="dxa" w:w="3009"/>
            <w:shd w:fill="D9E2F3"/>
          </w:tcPr>
          <w:p>
            <w:pPr>
              <w:spacing w:before="40" w:after="40" w:line="280" w:lineRule="exact"/>
              <w:jc w:val="center"/>
            </w:pPr>
            <w:r/>
            <w:r>
              <w:rPr>
                <w:rFonts w:ascii="Arial" w:hAnsi="Arial"/>
                <w:b/>
                <w:sz w:val="18"/>
              </w:rPr>
              <w:t>eDLCN (≥ 6)</w:t>
            </w:r>
          </w:p>
        </w:tc>
      </w:tr>
      <w:tr>
        <w:tc>
          <w:tcPr>
            <w:tcW w:type="dxa" w:w="3009"/>
          </w:tcPr>
          <w:p>
            <w:pPr>
              <w:spacing w:before="40" w:after="40" w:line="280" w:lineRule="exact"/>
              <w:jc w:val="left"/>
            </w:pPr>
            <w:r/>
            <w:r>
              <w:rPr>
                <w:rFonts w:ascii="Arial" w:hAnsi="Arial"/>
                <w:b w:val="0"/>
                <w:sz w:val="18"/>
              </w:rPr>
              <w:t>Sensitivity</w:t>
            </w:r>
          </w:p>
        </w:tc>
        <w:tc>
          <w:tcPr>
            <w:tcW w:type="dxa" w:w="3009"/>
          </w:tcPr>
          <w:p>
            <w:pPr>
              <w:spacing w:before="40" w:after="40" w:line="280" w:lineRule="exact"/>
              <w:jc w:val="center"/>
            </w:pPr>
            <w:r/>
            <w:r>
              <w:rPr>
                <w:rFonts w:ascii="Arial" w:hAnsi="Arial"/>
                <w:b w:val="0"/>
                <w:sz w:val="18"/>
              </w:rPr>
              <w:t>63.9%</w:t>
            </w:r>
          </w:p>
        </w:tc>
        <w:tc>
          <w:tcPr>
            <w:tcW w:type="dxa" w:w="3009"/>
          </w:tcPr>
          <w:p>
            <w:pPr>
              <w:spacing w:before="40" w:after="40" w:line="280" w:lineRule="exact"/>
              <w:jc w:val="center"/>
            </w:pPr>
            <w:r/>
            <w:r>
              <w:rPr>
                <w:rFonts w:ascii="Arial" w:hAnsi="Arial"/>
                <w:b w:val="0"/>
                <w:sz w:val="18"/>
              </w:rPr>
              <w:t>5.2%</w:t>
            </w:r>
          </w:p>
        </w:tc>
      </w:tr>
      <w:tr>
        <w:tc>
          <w:tcPr>
            <w:tcW w:type="dxa" w:w="3009"/>
          </w:tcPr>
          <w:p>
            <w:pPr>
              <w:spacing w:before="40" w:after="40" w:line="280" w:lineRule="exact"/>
              <w:jc w:val="left"/>
            </w:pPr>
            <w:r/>
            <w:r>
              <w:rPr>
                <w:rFonts w:ascii="Arial" w:hAnsi="Arial"/>
                <w:b w:val="0"/>
                <w:sz w:val="18"/>
              </w:rPr>
              <w:t>Specificity</w:t>
            </w:r>
          </w:p>
        </w:tc>
        <w:tc>
          <w:tcPr>
            <w:tcW w:type="dxa" w:w="3009"/>
          </w:tcPr>
          <w:p>
            <w:pPr>
              <w:spacing w:before="40" w:after="40" w:line="280" w:lineRule="exact"/>
              <w:jc w:val="center"/>
            </w:pPr>
            <w:r/>
            <w:r>
              <w:rPr>
                <w:rFonts w:ascii="Arial" w:hAnsi="Arial"/>
                <w:b w:val="0"/>
                <w:sz w:val="18"/>
              </w:rPr>
              <w:t>81.3%</w:t>
            </w:r>
          </w:p>
        </w:tc>
        <w:tc>
          <w:tcPr>
            <w:tcW w:type="dxa" w:w="3009"/>
          </w:tcPr>
          <w:p>
            <w:pPr>
              <w:spacing w:before="40" w:after="40" w:line="280" w:lineRule="exact"/>
              <w:jc w:val="center"/>
            </w:pPr>
            <w:r/>
            <w:r>
              <w:rPr>
                <w:rFonts w:ascii="Arial" w:hAnsi="Arial"/>
                <w:b w:val="0"/>
                <w:sz w:val="18"/>
              </w:rPr>
              <w:t>99.5%</w:t>
            </w:r>
          </w:p>
        </w:tc>
      </w:tr>
      <w:tr>
        <w:tc>
          <w:tcPr>
            <w:tcW w:type="dxa" w:w="3009"/>
          </w:tcPr>
          <w:p>
            <w:pPr>
              <w:spacing w:before="40" w:after="40" w:line="280" w:lineRule="exact"/>
              <w:jc w:val="left"/>
            </w:pPr>
            <w:r/>
            <w:r>
              <w:rPr>
                <w:rFonts w:ascii="Arial" w:hAnsi="Arial"/>
                <w:b w:val="0"/>
                <w:sz w:val="18"/>
              </w:rPr>
              <w:t>PPV (at 0.88% prevalence)</w:t>
            </w:r>
          </w:p>
        </w:tc>
        <w:tc>
          <w:tcPr>
            <w:tcW w:type="dxa" w:w="3009"/>
          </w:tcPr>
          <w:p>
            <w:pPr>
              <w:spacing w:before="40" w:after="40" w:line="280" w:lineRule="exact"/>
              <w:jc w:val="center"/>
            </w:pPr>
            <w:r/>
            <w:r>
              <w:rPr>
                <w:rFonts w:ascii="Arial" w:hAnsi="Arial"/>
                <w:b w:val="0"/>
                <w:sz w:val="18"/>
              </w:rPr>
              <w:t>2.93%</w:t>
            </w:r>
          </w:p>
        </w:tc>
        <w:tc>
          <w:tcPr>
            <w:tcW w:type="dxa" w:w="3009"/>
          </w:tcPr>
          <w:p>
            <w:pPr>
              <w:spacing w:before="40" w:after="40" w:line="280" w:lineRule="exact"/>
              <w:jc w:val="center"/>
            </w:pPr>
            <w:r/>
            <w:r>
              <w:rPr>
                <w:rFonts w:ascii="Arial" w:hAnsi="Arial"/>
                <w:b w:val="0"/>
                <w:sz w:val="18"/>
              </w:rPr>
              <w:t>9.04%</w:t>
            </w:r>
          </w:p>
        </w:tc>
      </w:tr>
      <w:tr>
        <w:tc>
          <w:tcPr>
            <w:tcW w:type="dxa" w:w="3009"/>
          </w:tcPr>
          <w:p>
            <w:pPr>
              <w:spacing w:before="40" w:after="40" w:line="280" w:lineRule="exact"/>
              <w:jc w:val="left"/>
            </w:pPr>
            <w:r/>
            <w:r>
              <w:rPr>
                <w:rFonts w:ascii="Arial" w:hAnsi="Arial"/>
                <w:b w:val="0"/>
                <w:sz w:val="18"/>
              </w:rPr>
              <w:t>NPV</w:t>
            </w:r>
          </w:p>
        </w:tc>
        <w:tc>
          <w:tcPr>
            <w:tcW w:type="dxa" w:w="3009"/>
          </w:tcPr>
          <w:p>
            <w:pPr>
              <w:spacing w:before="40" w:after="40" w:line="280" w:lineRule="exact"/>
              <w:jc w:val="center"/>
            </w:pPr>
            <w:r/>
            <w:r>
              <w:rPr>
                <w:rFonts w:ascii="Arial" w:hAnsi="Arial"/>
                <w:b w:val="0"/>
                <w:sz w:val="18"/>
              </w:rPr>
              <w:t>99.6%</w:t>
            </w:r>
          </w:p>
        </w:tc>
        <w:tc>
          <w:tcPr>
            <w:tcW w:type="dxa" w:w="3009"/>
          </w:tcPr>
          <w:p>
            <w:pPr>
              <w:spacing w:before="40" w:after="40" w:line="280" w:lineRule="exact"/>
              <w:jc w:val="center"/>
            </w:pPr>
            <w:r/>
            <w:r>
              <w:rPr>
                <w:rFonts w:ascii="Arial" w:hAnsi="Arial"/>
                <w:b w:val="0"/>
                <w:sz w:val="18"/>
              </w:rPr>
              <w:t>99.2%</w:t>
            </w:r>
          </w:p>
        </w:tc>
      </w:tr>
      <w:tr>
        <w:tc>
          <w:tcPr>
            <w:tcW w:type="dxa" w:w="3009"/>
          </w:tcPr>
          <w:p>
            <w:pPr>
              <w:spacing w:before="40" w:after="40" w:line="280" w:lineRule="exact"/>
              <w:jc w:val="left"/>
            </w:pPr>
            <w:r/>
            <w:r>
              <w:rPr>
                <w:rFonts w:ascii="Arial" w:hAnsi="Arial"/>
                <w:b w:val="0"/>
                <w:sz w:val="18"/>
              </w:rPr>
              <w:t>Number needed to test</w:t>
            </w:r>
          </w:p>
        </w:tc>
        <w:tc>
          <w:tcPr>
            <w:tcW w:type="dxa" w:w="3009"/>
          </w:tcPr>
          <w:p>
            <w:pPr>
              <w:spacing w:before="40" w:after="40" w:line="280" w:lineRule="exact"/>
              <w:jc w:val="center"/>
            </w:pPr>
            <w:r/>
            <w:r>
              <w:rPr>
                <w:rFonts w:ascii="Arial" w:hAnsi="Arial"/>
                <w:b w:val="0"/>
                <w:sz w:val="18"/>
              </w:rPr>
              <w:t>34</w:t>
            </w:r>
          </w:p>
        </w:tc>
        <w:tc>
          <w:tcPr>
            <w:tcW w:type="dxa" w:w="3009"/>
          </w:tcPr>
          <w:p>
            <w:pPr>
              <w:spacing w:before="40" w:after="40" w:line="280" w:lineRule="exact"/>
              <w:jc w:val="center"/>
            </w:pPr>
            <w:r/>
            <w:r>
              <w:rPr>
                <w:rFonts w:ascii="Arial" w:hAnsi="Arial"/>
                <w:b w:val="0"/>
                <w:sz w:val="18"/>
              </w:rPr>
              <w:t>11</w:t>
            </w:r>
          </w:p>
        </w:tc>
      </w:tr>
      <w:tr>
        <w:tc>
          <w:tcPr>
            <w:tcW w:type="dxa" w:w="3009"/>
          </w:tcPr>
          <w:p>
            <w:pPr>
              <w:spacing w:before="40" w:after="40" w:line="280" w:lineRule="exact"/>
              <w:jc w:val="left"/>
            </w:pPr>
            <w:r/>
            <w:r>
              <w:rPr>
                <w:rFonts w:ascii="Arial" w:hAnsi="Arial"/>
                <w:b w:val="0"/>
                <w:sz w:val="18"/>
              </w:rPr>
              <w:t>FH detected per 10,000 LC patients</w:t>
            </w:r>
          </w:p>
        </w:tc>
        <w:tc>
          <w:tcPr>
            <w:tcW w:type="dxa" w:w="3009"/>
          </w:tcPr>
          <w:p>
            <w:pPr>
              <w:spacing w:before="40" w:after="40" w:line="280" w:lineRule="exact"/>
              <w:jc w:val="center"/>
            </w:pPr>
            <w:r/>
            <w:r>
              <w:rPr>
                <w:rFonts w:ascii="Arial" w:hAnsi="Arial"/>
                <w:b w:val="0"/>
                <w:sz w:val="18"/>
              </w:rPr>
              <w:t>56</w:t>
            </w:r>
          </w:p>
        </w:tc>
        <w:tc>
          <w:tcPr>
            <w:tcW w:type="dxa" w:w="3009"/>
          </w:tcPr>
          <w:p>
            <w:pPr>
              <w:spacing w:before="40" w:after="40" w:line="280" w:lineRule="exact"/>
              <w:jc w:val="center"/>
            </w:pPr>
            <w:r/>
            <w:r>
              <w:rPr>
                <w:rFonts w:ascii="Arial" w:hAnsi="Arial"/>
                <w:b w:val="0"/>
                <w:sz w:val="18"/>
              </w:rPr>
              <w:t>5</w:t>
            </w:r>
          </w:p>
        </w:tc>
      </w:tr>
      <w:tr>
        <w:tc>
          <w:tcPr>
            <w:tcW w:type="dxa" w:w="3009"/>
          </w:tcPr>
          <w:p>
            <w:pPr>
              <w:spacing w:before="40" w:after="40" w:line="280" w:lineRule="exact"/>
              <w:jc w:val="left"/>
            </w:pPr>
            <w:r/>
            <w:r>
              <w:rPr>
                <w:rFonts w:ascii="Arial" w:hAnsi="Arial"/>
                <w:b w:val="0"/>
                <w:sz w:val="18"/>
              </w:rPr>
              <w:t>Genetic tests required per 10,000</w:t>
            </w:r>
          </w:p>
        </w:tc>
        <w:tc>
          <w:tcPr>
            <w:tcW w:type="dxa" w:w="3009"/>
          </w:tcPr>
          <w:p>
            <w:pPr>
              <w:spacing w:before="40" w:after="40" w:line="280" w:lineRule="exact"/>
              <w:jc w:val="center"/>
            </w:pPr>
            <w:r/>
            <w:r>
              <w:rPr>
                <w:rFonts w:ascii="Arial" w:hAnsi="Arial"/>
                <w:b w:val="0"/>
                <w:sz w:val="18"/>
              </w:rPr>
              <w:t>1,914</w:t>
            </w:r>
          </w:p>
        </w:tc>
        <w:tc>
          <w:tcPr>
            <w:tcW w:type="dxa" w:w="3009"/>
          </w:tcPr>
          <w:p>
            <w:pPr>
              <w:spacing w:before="40" w:after="40" w:line="280" w:lineRule="exact"/>
              <w:jc w:val="center"/>
            </w:pPr>
            <w:r/>
            <w:r>
              <w:rPr>
                <w:rFonts w:ascii="Arial" w:hAnsi="Arial"/>
                <w:b w:val="0"/>
                <w:sz w:val="18"/>
              </w:rPr>
              <w:t>55</w:t>
            </w:r>
          </w:p>
        </w:tc>
      </w:tr>
      <w:tr>
        <w:tc>
          <w:tcPr>
            <w:tcW w:type="dxa" w:w="3009"/>
          </w:tcPr>
          <w:p>
            <w:pPr>
              <w:spacing w:before="40" w:after="40" w:line="280" w:lineRule="exact"/>
              <w:jc w:val="left"/>
            </w:pPr>
            <w:r/>
            <w:r>
              <w:rPr>
                <w:rFonts w:ascii="Arial" w:hAnsi="Arial"/>
                <w:b w:val="0"/>
                <w:sz w:val="18"/>
              </w:rPr>
              <w:t>Cost per FH diagnosis (GBP)</w:t>
            </w:r>
          </w:p>
        </w:tc>
        <w:tc>
          <w:tcPr>
            <w:tcW w:type="dxa" w:w="3009"/>
          </w:tcPr>
          <w:p>
            <w:pPr>
              <w:spacing w:before="40" w:after="40" w:line="280" w:lineRule="exact"/>
              <w:jc w:val="center"/>
            </w:pPr>
            <w:r/>
            <w:r>
              <w:rPr>
                <w:rFonts w:ascii="Arial" w:hAnsi="Arial"/>
                <w:b w:val="0"/>
                <w:sz w:val="18"/>
              </w:rPr>
              <w:t>8,518</w:t>
            </w:r>
          </w:p>
        </w:tc>
        <w:tc>
          <w:tcPr>
            <w:tcW w:type="dxa" w:w="3009"/>
          </w:tcPr>
          <w:p>
            <w:pPr>
              <w:spacing w:before="40" w:after="40" w:line="280" w:lineRule="exact"/>
              <w:jc w:val="center"/>
            </w:pPr>
            <w:r/>
            <w:r>
              <w:rPr>
                <w:rFonts w:ascii="Arial" w:hAnsi="Arial"/>
                <w:b w:val="0"/>
                <w:sz w:val="18"/>
              </w:rPr>
              <w:t>2,765</w:t>
            </w:r>
          </w:p>
        </w:tc>
      </w:tr>
      <w:tr>
        <w:tc>
          <w:tcPr>
            <w:tcW w:type="dxa" w:w="3009"/>
          </w:tcPr>
          <w:p>
            <w:pPr>
              <w:spacing w:before="40" w:after="40" w:line="280" w:lineRule="exact"/>
              <w:jc w:val="left"/>
            </w:pPr>
            <w:r/>
            <w:r>
              <w:rPr>
                <w:rFonts w:ascii="Arial" w:hAnsi="Arial"/>
                <w:b w:val="0"/>
                <w:sz w:val="18"/>
              </w:rPr>
              <w:t>Cascade diagnoses per 10,000</w:t>
            </w:r>
          </w:p>
        </w:tc>
        <w:tc>
          <w:tcPr>
            <w:tcW w:type="dxa" w:w="3009"/>
          </w:tcPr>
          <w:p>
            <w:pPr>
              <w:spacing w:before="40" w:after="40" w:line="280" w:lineRule="exact"/>
              <w:jc w:val="center"/>
            </w:pPr>
            <w:r/>
            <w:r>
              <w:rPr>
                <w:rFonts w:ascii="Arial" w:hAnsi="Arial"/>
                <w:b w:val="0"/>
                <w:sz w:val="18"/>
              </w:rPr>
              <w:t>112</w:t>
            </w:r>
          </w:p>
        </w:tc>
        <w:tc>
          <w:tcPr>
            <w:tcW w:type="dxa" w:w="3009"/>
          </w:tcPr>
          <w:p>
            <w:pPr>
              <w:spacing w:before="40" w:after="40" w:line="280" w:lineRule="exact"/>
              <w:jc w:val="center"/>
            </w:pPr>
            <w:r/>
            <w:r>
              <w:rPr>
                <w:rFonts w:ascii="Arial" w:hAnsi="Arial"/>
                <w:b w:val="0"/>
                <w:sz w:val="18"/>
              </w:rPr>
              <w:t>10</w:t>
            </w:r>
          </w:p>
        </w:tc>
      </w:tr>
      <w:tr>
        <w:tc>
          <w:tcPr>
            <w:tcW w:type="dxa" w:w="3009"/>
          </w:tcPr>
          <w:p>
            <w:pPr>
              <w:spacing w:before="40" w:after="40" w:line="280" w:lineRule="exact"/>
              <w:jc w:val="left"/>
            </w:pPr>
            <w:r/>
            <w:r>
              <w:rPr>
                <w:rFonts w:ascii="Arial" w:hAnsi="Arial"/>
                <w:b w:val="0"/>
                <w:sz w:val="18"/>
              </w:rPr>
              <w:t>Total FH diagnoses per 10,000</w:t>
            </w:r>
          </w:p>
        </w:tc>
        <w:tc>
          <w:tcPr>
            <w:tcW w:type="dxa" w:w="3009"/>
          </w:tcPr>
          <w:p>
            <w:pPr>
              <w:spacing w:before="40" w:after="40" w:line="280" w:lineRule="exact"/>
              <w:jc w:val="center"/>
            </w:pPr>
            <w:r/>
            <w:r>
              <w:rPr>
                <w:rFonts w:ascii="Arial" w:hAnsi="Arial"/>
                <w:b w:val="0"/>
                <w:sz w:val="18"/>
              </w:rPr>
              <w:t>168</w:t>
            </w:r>
          </w:p>
        </w:tc>
        <w:tc>
          <w:tcPr>
            <w:tcW w:type="dxa" w:w="3009"/>
          </w:tcPr>
          <w:p>
            <w:pPr>
              <w:spacing w:before="40" w:after="40" w:line="280" w:lineRule="exact"/>
              <w:jc w:val="center"/>
            </w:pPr>
            <w:r/>
            <w:r>
              <w:rPr>
                <w:rFonts w:ascii="Arial" w:hAnsi="Arial"/>
                <w:b w:val="0"/>
                <w:sz w:val="18"/>
              </w:rPr>
              <w:t>15</w:t>
            </w:r>
          </w:p>
        </w:tc>
      </w:tr>
      <w:tr>
        <w:tc>
          <w:tcPr>
            <w:tcW w:type="dxa" w:w="3009"/>
          </w:tcPr>
          <w:p>
            <w:pPr>
              <w:spacing w:before="40" w:after="40" w:line="280" w:lineRule="exact"/>
              <w:jc w:val="left"/>
            </w:pPr>
            <w:r/>
            <w:r>
              <w:rPr>
                <w:rFonts w:ascii="Arial" w:hAnsi="Arial"/>
                <w:b w:val="0"/>
                <w:sz w:val="18"/>
              </w:rPr>
              <w:t>Cost per total diagnosis (GBP)</w:t>
            </w:r>
          </w:p>
        </w:tc>
        <w:tc>
          <w:tcPr>
            <w:tcW w:type="dxa" w:w="3009"/>
          </w:tcPr>
          <w:p>
            <w:pPr>
              <w:spacing w:before="40" w:after="40" w:line="280" w:lineRule="exact"/>
              <w:jc w:val="center"/>
            </w:pPr>
            <w:r/>
            <w:r>
              <w:rPr>
                <w:rFonts w:ascii="Arial" w:hAnsi="Arial"/>
                <w:b w:val="0"/>
                <w:sz w:val="18"/>
              </w:rPr>
              <w:t>2,846</w:t>
            </w:r>
          </w:p>
        </w:tc>
        <w:tc>
          <w:tcPr>
            <w:tcW w:type="dxa" w:w="3009"/>
          </w:tcPr>
          <w:p>
            <w:pPr>
              <w:spacing w:before="40" w:after="40" w:line="280" w:lineRule="exact"/>
              <w:jc w:val="center"/>
            </w:pPr>
            <w:r/>
            <w:r>
              <w:rPr>
                <w:rFonts w:ascii="Arial" w:hAnsi="Arial"/>
                <w:b w:val="0"/>
                <w:sz w:val="18"/>
              </w:rPr>
              <w:t>923</w:t>
            </w:r>
          </w:p>
        </w:tc>
      </w:tr>
      <w:tr>
        <w:tc>
          <w:tcPr>
            <w:tcW w:type="dxa" w:w="3009"/>
          </w:tcPr>
          <w:p>
            <w:pPr>
              <w:spacing w:before="40" w:after="40" w:line="280" w:lineRule="exact"/>
              <w:jc w:val="left"/>
            </w:pPr>
            <w:r/>
            <w:r>
              <w:rPr>
                <w:rFonts w:ascii="Arial" w:hAnsi="Arial"/>
                <w:b w:val="0"/>
                <w:sz w:val="18"/>
              </w:rPr>
              <w:t>10-yr ASCVD events prevented per 10,000</w:t>
            </w:r>
          </w:p>
        </w:tc>
        <w:tc>
          <w:tcPr>
            <w:tcW w:type="dxa" w:w="3009"/>
          </w:tcPr>
          <w:p>
            <w:pPr>
              <w:spacing w:before="40" w:after="40" w:line="280" w:lineRule="exact"/>
              <w:jc w:val="center"/>
            </w:pPr>
            <w:r/>
            <w:r>
              <w:rPr>
                <w:rFonts w:ascii="Arial" w:hAnsi="Arial"/>
                <w:b w:val="0"/>
                <w:sz w:val="18"/>
              </w:rPr>
              <w:t>8.4</w:t>
            </w:r>
          </w:p>
        </w:tc>
        <w:tc>
          <w:tcPr>
            <w:tcW w:type="dxa" w:w="3009"/>
          </w:tcPr>
          <w:p>
            <w:pPr>
              <w:spacing w:before="40" w:after="40" w:line="280" w:lineRule="exact"/>
              <w:jc w:val="center"/>
            </w:pPr>
            <w:r/>
            <w:r>
              <w:rPr>
                <w:rFonts w:ascii="Arial" w:hAnsi="Arial"/>
                <w:b w:val="0"/>
                <w:sz w:val="18"/>
              </w:rPr>
              <w:t>0.8</w:t>
            </w:r>
          </w:p>
        </w:tc>
      </w:tr>
      <w:tr>
        <w:tc>
          <w:tcPr>
            <w:tcW w:type="dxa" w:w="3009"/>
          </w:tcPr>
          <w:p>
            <w:pPr>
              <w:spacing w:before="40" w:after="40" w:line="280" w:lineRule="exact"/>
              <w:jc w:val="left"/>
            </w:pPr>
            <w:r/>
            <w:r>
              <w:rPr>
                <w:rFonts w:ascii="Arial" w:hAnsi="Arial"/>
                <w:b w:val="0"/>
                <w:sz w:val="18"/>
              </w:rPr>
              <w:t>Healthcare costs saved (GBP)</w:t>
            </w:r>
          </w:p>
        </w:tc>
        <w:tc>
          <w:tcPr>
            <w:tcW w:type="dxa" w:w="3009"/>
          </w:tcPr>
          <w:p>
            <w:pPr>
              <w:spacing w:before="40" w:after="40" w:line="280" w:lineRule="exact"/>
              <w:jc w:val="center"/>
            </w:pPr>
            <w:r/>
            <w:r>
              <w:rPr>
                <w:rFonts w:ascii="Arial" w:hAnsi="Arial"/>
                <w:b w:val="0"/>
                <w:sz w:val="18"/>
              </w:rPr>
              <w:t>420,000</w:t>
            </w:r>
          </w:p>
        </w:tc>
        <w:tc>
          <w:tcPr>
            <w:tcW w:type="dxa" w:w="3009"/>
          </w:tcPr>
          <w:p>
            <w:pPr>
              <w:spacing w:before="40" w:after="40" w:line="280" w:lineRule="exact"/>
              <w:jc w:val="center"/>
            </w:pPr>
            <w:r/>
            <w:r>
              <w:rPr>
                <w:rFonts w:ascii="Arial" w:hAnsi="Arial"/>
                <w:b w:val="0"/>
                <w:sz w:val="18"/>
              </w:rPr>
              <w:t>37,500</w:t>
            </w:r>
          </w:p>
        </w:tc>
      </w:tr>
    </w:tbl>
    <w:p/>
    <w:p>
      <w:pPr>
        <w:spacing w:line="330" w:lineRule="exact" w:after="120"/>
        <w:jc w:val="left"/>
      </w:pPr>
      <w:r>
        <w:rPr>
          <w:rFonts w:ascii="Arial" w:hAnsi="Arial"/>
          <w:b w:val="0"/>
          <w:i/>
          <w:sz w:val="22"/>
        </w:rPr>
        <w:t>UK-wide extrapolation: Estimated undiagnosed FH = 240,000; Additional diagnoses with TUDOR = ~36,000 over 5 years (assuming 50% LC penetration); ASCVD events preventable = ~5,400 over 10 years. TUDOR identifies 11.2× more FH cases than eDLCN but requires 35× more genetic tests. Cost-effective at NICE threshold of GBP 20,000 per QALY.</w:t>
      </w:r>
    </w:p>
    <w:p>
      <w:r>
        <w:br w:type="page"/>
      </w:r>
    </w:p>
    <w:p>
      <w:pPr>
        <w:pStyle w:val="Heading1"/>
        <w:spacing w:before="360" w:after="120"/>
      </w:pPr>
      <w:r>
        <w:rPr>
          <w:rFonts w:ascii="Arial" w:hAnsi="Arial"/>
          <w:color w:val="000000"/>
          <w:sz w:val="28"/>
        </w:rPr>
        <w:t>FIGURE LEGENDS</w:t>
      </w:r>
    </w:p>
    <w:p>
      <w:pPr>
        <w:spacing w:before="240" w:after="120" w:line="330" w:lineRule="exact"/>
      </w:pPr>
      <w:r>
        <w:rPr>
          <w:rFonts w:ascii="Arial" w:hAnsi="Arial"/>
          <w:b/>
          <w:sz w:val="20"/>
        </w:rPr>
        <w:t xml:space="preserve">Figure 1. Cohort Overview and Study Design (NanoBanana). </w:t>
      </w:r>
      <w:r>
        <w:rPr>
          <w:rFonts w:ascii="Arial" w:hAnsi="Arial"/>
          <w:sz w:val="20"/>
        </w:rPr>
        <w:t>Three-panel infographic showing the TUDOR study design across three cohorts: South Wales FH (n = 1,366; training), All Wales PASS Registry (n = 7,253; Validation 1, TRIPOD Type 2b), and UK Biobank (n = 104,431; Validation 2, TRIPOD Type 4). Nine core features depicted with icons. 4,028 genetically confirmed FH cases across the two validation cohorts.</w:t>
      </w:r>
    </w:p>
    <w:p>
      <w:pPr>
        <w:spacing w:before="240" w:after="120" w:line="330" w:lineRule="exact"/>
      </w:pPr>
      <w:r>
        <w:rPr>
          <w:rFonts w:ascii="Arial" w:hAnsi="Arial"/>
          <w:b/>
          <w:sz w:val="20"/>
        </w:rPr>
        <w:t xml:space="preserve">Figure 2. Metabolic Shield Concept (NanoBanana). </w:t>
      </w:r>
      <w:r>
        <w:rPr>
          <w:rFonts w:ascii="Arial" w:hAnsi="Arial"/>
          <w:sz w:val="20"/>
        </w:rPr>
        <w:t>Scientific diagram illustrating the metabolic selectivity of monogenic FH: isolated LDL-C elevation with preserved triglyceride metabolism (high Trig_Filter) versus polygenic/metabolic hypercholesterolaemia with combined lipid elevation (low Trig_Filter). Trig_Filter = LDL_adjusted / (TG + 0.1).</w:t>
      </w:r>
    </w:p>
    <w:p>
      <w:pPr>
        <w:spacing w:before="240" w:after="120" w:line="330" w:lineRule="exact"/>
      </w:pPr>
      <w:r>
        <w:rPr>
          <w:rFonts w:ascii="Arial" w:hAnsi="Arial"/>
          <w:b/>
          <w:sz w:val="20"/>
        </w:rPr>
        <w:t xml:space="preserve">Figure 3. Cascade Sensitivity Gap (NanoBanana). </w:t>
      </w:r>
      <w:r>
        <w:rPr>
          <w:rFonts w:ascii="Arial" w:hAnsi="Arial"/>
          <w:sz w:val="20"/>
        </w:rPr>
        <w:t>Bar chart demonstrating the 87-percentage-point sensitivity gap between DLCN (1.5%) and TUDOR (89.4%) in cascade-screened relatives, compared with comparable sensitivity in index cases (DLCN 88.5%). 57% of FH patients are identified through cascade screening.</w:t>
      </w:r>
    </w:p>
    <w:p>
      <w:pPr>
        <w:spacing w:before="240" w:after="120" w:line="330" w:lineRule="exact"/>
      </w:pPr>
      <w:r>
        <w:rPr>
          <w:rFonts w:ascii="Arial" w:hAnsi="Arial"/>
          <w:b/>
          <w:sz w:val="20"/>
        </w:rPr>
        <w:t xml:space="preserve">Figure 4. Clinical Implementation Pathway (NanoBanana). </w:t>
      </w:r>
      <w:r>
        <w:rPr>
          <w:rFonts w:ascii="Arial" w:hAnsi="Arial"/>
          <w:sz w:val="20"/>
        </w:rPr>
        <w:t>Flowchart depicting the proposed three-tier clinical decision framework: Low risk (&lt;25%): standard lipid management; Intermediate (25–75%): ApoB/LDL-C ratio triage; High risk (&gt;75%): direct genetic testing referral. Cost annotations included.</w:t>
      </w:r>
    </w:p>
    <w:p>
      <w:pPr>
        <w:spacing w:before="240" w:after="120" w:line="330" w:lineRule="exact"/>
      </w:pPr>
      <w:r>
        <w:rPr>
          <w:rFonts w:ascii="Arial" w:hAnsi="Arial"/>
          <w:b/>
          <w:sz w:val="20"/>
        </w:rPr>
        <w:t xml:space="preserve">Figure 5. LOCO-CV ROC Panel (R-generated). </w:t>
      </w:r>
      <w:r>
        <w:rPr>
          <w:rFonts w:ascii="Arial" w:hAnsi="Arial"/>
          <w:sz w:val="20"/>
        </w:rPr>
        <w:t>Receiver operating characteristic curves from leave-one-cohort-out cross-validation across three independent cohorts: South Wales (AUC 0.809), All Wales PASS (0.782), UK Biobank Lipid Clinic (0.752). Each panel shows TUDOR versus eDLCN, LDL-C alone, and Trig_Filter alone.</w:t>
      </w:r>
    </w:p>
    <w:p>
      <w:pPr>
        <w:spacing w:before="240" w:after="120" w:line="330" w:lineRule="exact"/>
      </w:pPr>
      <w:r>
        <w:rPr>
          <w:rFonts w:ascii="Arial" w:hAnsi="Arial"/>
          <w:b/>
          <w:sz w:val="20"/>
        </w:rPr>
        <w:t xml:space="preserve">Figure 6. Subgroup Forest Plot (R-generated). </w:t>
      </w:r>
      <w:r>
        <w:rPr>
          <w:rFonts w:ascii="Arial" w:hAnsi="Arial"/>
          <w:sz w:val="20"/>
        </w:rPr>
        <w:t>Forest plot showing TUDOR AUC with 95% CI across 12 prespecified subgroups including sex, age categories, statin status, ascertainment pathway, and gene. Best performance in age &lt;40 (AUC 0.839); attenuated in age &gt;60 (AUC 0.665).</w:t>
      </w:r>
    </w:p>
    <w:p>
      <w:pPr>
        <w:spacing w:before="240" w:after="120" w:line="330" w:lineRule="exact"/>
      </w:pPr>
      <w:r>
        <w:rPr>
          <w:rFonts w:ascii="Arial" w:hAnsi="Arial"/>
          <w:b/>
          <w:sz w:val="20"/>
        </w:rPr>
        <w:t xml:space="preserve">Figure 7. Decision Curve Analysis (R-generated). </w:t>
      </w:r>
      <w:r>
        <w:rPr>
          <w:rFonts w:ascii="Arial" w:hAnsi="Arial"/>
          <w:sz w:val="20"/>
        </w:rPr>
        <w:t>Net benefit curves across threshold probabilities for TUDOR, eDLCN, LDL-C alone, and the treat-all/treat-none strategies. TUDOR demonstrates superior net benefit across clinically relevant threshold range.</w:t>
      </w:r>
    </w:p>
    <w:p>
      <w:pPr>
        <w:spacing w:before="240" w:after="120" w:line="330" w:lineRule="exact"/>
      </w:pPr>
      <w:r>
        <w:rPr>
          <w:rFonts w:ascii="Arial" w:hAnsi="Arial"/>
          <w:b/>
          <w:sz w:val="20"/>
        </w:rPr>
        <w:t xml:space="preserve">Figure 8. Reclassification Waterfall (R-generated). </w:t>
      </w:r>
      <w:r>
        <w:rPr>
          <w:rFonts w:ascii="Arial" w:hAnsi="Arial"/>
          <w:sz w:val="20"/>
        </w:rPr>
        <w:t>Waterfall plot showing individual-level reclassification of FH-positive patients from eDLCN categories to TUDOR categories. NRI(events) = +0.140; 14.0% of FH cases correctly up-classified.</w:t>
      </w:r>
    </w:p>
    <w:p>
      <w:pPr>
        <w:spacing w:before="240" w:after="120" w:line="330" w:lineRule="exact"/>
      </w:pPr>
      <w:r>
        <w:rPr>
          <w:rFonts w:ascii="Arial" w:hAnsi="Arial"/>
          <w:b/>
          <w:sz w:val="20"/>
        </w:rPr>
        <w:t xml:space="preserve">Figure 9. Financial Impact Comparison (R-generated). </w:t>
      </w:r>
      <w:r>
        <w:rPr>
          <w:rFonts w:ascii="Arial" w:hAnsi="Arial"/>
          <w:sz w:val="20"/>
        </w:rPr>
        <w:t>Comparative bar charts showing FH diagnoses per 10,000 lipid clinic patients (TUDOR: 56 vs eDLCN: 5), total diagnoses including cascade (168 vs 15), and 10-year ASCVD events prevented (8.4 vs 0.8). Cost per additional diagnosis with cascade: GBP 3,038; net saving GBP 4,462 per diagnosis.</w:t>
      </w:r>
    </w:p>
    <w:p>
      <w:r>
        <w:br w:type="page"/>
      </w:r>
    </w:p>
    <w:p>
      <w:pPr>
        <w:pStyle w:val="Heading1"/>
        <w:spacing w:before="360" w:after="120"/>
      </w:pPr>
      <w:r>
        <w:rPr>
          <w:rFonts w:ascii="Arial" w:hAnsi="Arial"/>
          <w:color w:val="000000"/>
          <w:sz w:val="28"/>
        </w:rPr>
        <w:t>REFERENCES</w:t>
      </w:r>
    </w:p>
    <w:p>
      <w:pPr>
        <w:spacing w:line="280" w:lineRule="exact" w:after="40"/>
        <w:ind w:left="567" w:hanging="567"/>
      </w:pPr>
      <w:r>
        <w:rPr>
          <w:rFonts w:ascii="Arial" w:hAnsi="Arial"/>
          <w:sz w:val="18"/>
        </w:rPr>
        <w:t>1. Nordestgaard BG, Chapman MJ, Humphries SE, et al. Familial hypercholesterolaemia is underdiagnosed and undertreated in the general population: guidance for clinicians to prevent coronary heart disease. Eur Heart J. 2013;34(45):3478-3490.</w:t>
      </w:r>
    </w:p>
    <w:p>
      <w:pPr>
        <w:spacing w:line="280" w:lineRule="exact" w:after="40"/>
        <w:ind w:left="567" w:hanging="567"/>
      </w:pPr>
      <w:r>
        <w:rPr>
          <w:rFonts w:ascii="Arial" w:hAnsi="Arial"/>
          <w:sz w:val="18"/>
        </w:rPr>
        <w:t>2. Khera AV, Won HH, Peloso GM, et al. Diagnostic yield and clinical utility of sequencing familial hypercholesterolemia genes in patients with severe hypercholesterolemia. J Am Coll Cardiol. 2016;67(22):2578-2589.</w:t>
      </w:r>
    </w:p>
    <w:p>
      <w:pPr>
        <w:spacing w:line="280" w:lineRule="exact" w:after="40"/>
        <w:ind w:left="567" w:hanging="567"/>
      </w:pPr>
      <w:r>
        <w:rPr>
          <w:rFonts w:ascii="Arial" w:hAnsi="Arial"/>
          <w:sz w:val="18"/>
        </w:rPr>
        <w:t>3. Sturm AC, Knowles JW, Gidding SS, et al. Clinical genetic testing for familial hypercholesterolemia: JACC Scientific Expert Panel. J Am Coll Cardiol. 2018;72(6):662-680.</w:t>
      </w:r>
    </w:p>
    <w:p>
      <w:pPr>
        <w:spacing w:line="280" w:lineRule="exact" w:after="40"/>
        <w:ind w:left="567" w:hanging="567"/>
      </w:pPr>
      <w:r>
        <w:rPr>
          <w:rFonts w:ascii="Arial" w:hAnsi="Arial"/>
          <w:sz w:val="18"/>
        </w:rPr>
        <w:t>4. Defesche JC, Gidding SS, Harada-Shiba M, Hegele RA, Santos RD, Wierzbicki AS. Familial hypercholesterolaemia. Nat Rev Dis Primers. 2017;3:17093.</w:t>
      </w:r>
    </w:p>
    <w:p>
      <w:pPr>
        <w:spacing w:line="280" w:lineRule="exact" w:after="40"/>
        <w:ind w:left="567" w:hanging="567"/>
      </w:pPr>
      <w:r>
        <w:rPr>
          <w:rFonts w:ascii="Arial" w:hAnsi="Arial"/>
          <w:sz w:val="18"/>
        </w:rPr>
        <w:t>5. Ference BA, Ginsberg HN, Graham I, et al. Low-density lipoproteins cause atherosclerotic cardiovascular disease. 1. Evidence from genetic, epidemiologic, and clinical studies. Eur Heart J. 2017;38(32):2459-2472.</w:t>
      </w:r>
    </w:p>
    <w:p>
      <w:pPr>
        <w:spacing w:line="280" w:lineRule="exact" w:after="40"/>
        <w:ind w:left="567" w:hanging="567"/>
      </w:pPr>
      <w:r>
        <w:rPr>
          <w:rFonts w:ascii="Arial" w:hAnsi="Arial"/>
          <w:sz w:val="18"/>
        </w:rPr>
        <w:t>6. Marks D, Thorogood M, Neil HA, Humphries SE. A review on the diagnosis, natural history, and treatment of familial hypercholesterolaemia. Atherosclerosis. 2003;168(1):1-14.</w:t>
      </w:r>
    </w:p>
    <w:p>
      <w:pPr>
        <w:spacing w:line="280" w:lineRule="exact" w:after="40"/>
        <w:ind w:left="567" w:hanging="567"/>
      </w:pPr>
      <w:r>
        <w:rPr>
          <w:rFonts w:ascii="Arial" w:hAnsi="Arial"/>
          <w:sz w:val="18"/>
        </w:rPr>
        <w:t>7. Mundal L, Sarancic M, Ose L, et al. Mortality among patients with familial hypercholesterolemia: a registry-based study in Norway, 1992-2010. J Am Heart Assoc. 2014;3(6):e001236.</w:t>
      </w:r>
    </w:p>
    <w:p>
      <w:pPr>
        <w:spacing w:line="280" w:lineRule="exact" w:after="40"/>
        <w:ind w:left="567" w:hanging="567"/>
      </w:pPr>
      <w:r>
        <w:rPr>
          <w:rFonts w:ascii="Arial" w:hAnsi="Arial"/>
          <w:sz w:val="18"/>
        </w:rPr>
        <w:t>8. Versmissen J, Oosterveer DM, Yazdanpanah M, et al. Efficacy of statins in familial hypercholesterolaemia: a long term cohort study. BMJ. 2008;337:a2423.</w:t>
      </w:r>
    </w:p>
    <w:p>
      <w:pPr>
        <w:spacing w:line="280" w:lineRule="exact" w:after="40"/>
        <w:ind w:left="567" w:hanging="567"/>
      </w:pPr>
      <w:r>
        <w:rPr>
          <w:rFonts w:ascii="Arial" w:hAnsi="Arial"/>
          <w:sz w:val="18"/>
        </w:rPr>
        <w:t>9. Neil A, Cooper J, Betteridge J, et al. Reductions in all-cause, cancer, and coronary mortality in statin-treated patients with heterozygous familial hypercholesterolaemia: a prospective registry study. Eur Heart J. 2008;29(21):2625-2633.</w:t>
      </w:r>
    </w:p>
    <w:p>
      <w:pPr>
        <w:spacing w:line="280" w:lineRule="exact" w:after="40"/>
        <w:ind w:left="567" w:hanging="567"/>
      </w:pPr>
      <w:r>
        <w:rPr>
          <w:rFonts w:ascii="Arial" w:hAnsi="Arial"/>
          <w:sz w:val="18"/>
        </w:rPr>
        <w:t>10. Watts GF, Gidding S, Wierzbicki AS, et al. Integrated guidance on the care of familial hypercholesterolaemia from the International FH Foundation. Int J Cardiol. 2014;171(3):309-325.</w:t>
      </w:r>
    </w:p>
    <w:p>
      <w:pPr>
        <w:spacing w:line="280" w:lineRule="exact" w:after="40"/>
        <w:ind w:left="567" w:hanging="567"/>
      </w:pPr>
      <w:r>
        <w:rPr>
          <w:rFonts w:ascii="Arial" w:hAnsi="Arial"/>
          <w:sz w:val="18"/>
        </w:rPr>
        <w:t>11. Akioyamen LE, Genest J, Shan SD, et al. Estimating the prevalence of heterozygous familial hypercholesterolaemia: a systematic review and meta-analysis. BMJ Open. 2017;7(9):e016461.</w:t>
      </w:r>
    </w:p>
    <w:p>
      <w:pPr>
        <w:spacing w:line="280" w:lineRule="exact" w:after="40"/>
        <w:ind w:left="567" w:hanging="567"/>
      </w:pPr>
      <w:r>
        <w:rPr>
          <w:rFonts w:ascii="Arial" w:hAnsi="Arial"/>
          <w:sz w:val="18"/>
        </w:rPr>
        <w:t>12. Austin MA, Hutter CM, Zimmern RL, Humphries SE. Genetic causes of monogenic heterozygous familial hypercholesterolemia: a HuGE prevalence review. Am J Epidemiol. 2004;160(5):407-420.</w:t>
      </w:r>
    </w:p>
    <w:p>
      <w:pPr>
        <w:spacing w:line="280" w:lineRule="exact" w:after="40"/>
        <w:ind w:left="567" w:hanging="567"/>
      </w:pPr>
      <w:r>
        <w:rPr>
          <w:rFonts w:ascii="Arial" w:hAnsi="Arial"/>
          <w:sz w:val="18"/>
        </w:rPr>
        <w:t>13. Risk of fatal coronary heart disease in familial hypercholesterolaemia. Scientific Steering Committee on behalf of the Simon Broome Register Group. BMJ. 1991;303(6807):893-896.</w:t>
      </w:r>
    </w:p>
    <w:p>
      <w:pPr>
        <w:spacing w:line="280" w:lineRule="exact" w:after="40"/>
        <w:ind w:left="567" w:hanging="567"/>
      </w:pPr>
      <w:r>
        <w:rPr>
          <w:rFonts w:ascii="Arial" w:hAnsi="Arial"/>
          <w:sz w:val="18"/>
        </w:rPr>
        <w:t>14. Williams RR, Hunt SC, Schumacher MC, et al. Diagnosing heterozygous familial hypercholesterolemia using new practical criteria validated by molecular genetics. Am J Cardiol. 1993;72(2):171-176.</w:t>
      </w:r>
    </w:p>
    <w:p>
      <w:pPr>
        <w:spacing w:line="280" w:lineRule="exact" w:after="40"/>
        <w:ind w:left="567" w:hanging="567"/>
      </w:pPr>
      <w:r>
        <w:rPr>
          <w:rFonts w:ascii="Arial" w:hAnsi="Arial"/>
          <w:sz w:val="18"/>
        </w:rPr>
        <w:t>15. Weng TC, Yang YH, Lin SJ, Tai SH. A systematic review and meta-analysis on the therapeutic equivalence of statins. J Clin Pharm Ther. 2010;35(2):139-151.</w:t>
      </w:r>
    </w:p>
    <w:p>
      <w:pPr>
        <w:spacing w:line="280" w:lineRule="exact" w:after="40"/>
        <w:ind w:left="567" w:hanging="567"/>
      </w:pPr>
      <w:r>
        <w:rPr>
          <w:rFonts w:ascii="Arial" w:hAnsi="Arial"/>
          <w:sz w:val="18"/>
        </w:rPr>
        <w:t>16. Adams SP, Tsang M, Wright JM. Lipid-lowering efficacy of atorvastatin. Cochrane Database Syst Rev. 2015;(3):CD008226.</w:t>
      </w:r>
    </w:p>
    <w:p>
      <w:pPr>
        <w:spacing w:line="280" w:lineRule="exact" w:after="40"/>
        <w:ind w:left="567" w:hanging="567"/>
      </w:pPr>
      <w:r>
        <w:rPr>
          <w:rFonts w:ascii="Arial" w:hAnsi="Arial"/>
          <w:sz w:val="18"/>
        </w:rPr>
        <w:t>17. Adams SP, Sekhon SS, Wright JM. Lipid-lowering efficacy of rosuvastatin. Cochrane Database Syst Rev. 2014;(11):CD010254.</w:t>
      </w:r>
    </w:p>
    <w:p>
      <w:pPr>
        <w:spacing w:line="280" w:lineRule="exact" w:after="40"/>
        <w:ind w:left="567" w:hanging="567"/>
      </w:pPr>
      <w:r>
        <w:rPr>
          <w:rFonts w:ascii="Arial" w:hAnsi="Arial"/>
          <w:sz w:val="18"/>
        </w:rPr>
        <w:t>18. Weng SF, Kai J, Andrew Neil H, Humphries SE, Qureshi N. Improving identification of familial hypercholesterolaemia in primary care: derivation and validation of the familial hypercholesterolaemia case ascertainment tool (FAMCAT). Atherosclerosis. 2015;238(2):336-343.</w:t>
      </w:r>
    </w:p>
    <w:p>
      <w:pPr>
        <w:spacing w:line="280" w:lineRule="exact" w:after="40"/>
        <w:ind w:left="567" w:hanging="567"/>
      </w:pPr>
      <w:r>
        <w:rPr>
          <w:rFonts w:ascii="Arial" w:hAnsi="Arial"/>
          <w:sz w:val="18"/>
        </w:rPr>
        <w:t>19. Besseling J, Sjouke B, Kastelein JJ. Screening and treatment of familial hypercholesterolemia - Lessons from the past and opportunities for the future. Atherosclerosis. 2015;241(2):597-606.</w:t>
      </w:r>
    </w:p>
    <w:p>
      <w:pPr>
        <w:spacing w:line="280" w:lineRule="exact" w:after="40"/>
        <w:ind w:left="567" w:hanging="567"/>
      </w:pPr>
      <w:r>
        <w:rPr>
          <w:rFonts w:ascii="Arial" w:hAnsi="Arial"/>
          <w:sz w:val="18"/>
        </w:rPr>
        <w:t>20. Knowles JW, Rader DJ, Khoury MJ. Cascade screening for familial hypercholesterolemia and the use of genetic testing. JAMA. 2017;318(4):381-382.</w:t>
      </w:r>
    </w:p>
    <w:p>
      <w:pPr>
        <w:spacing w:line="280" w:lineRule="exact" w:after="40"/>
        <w:ind w:left="567" w:hanging="567"/>
      </w:pPr>
      <w:r>
        <w:rPr>
          <w:rFonts w:ascii="Arial" w:hAnsi="Arial"/>
          <w:sz w:val="18"/>
        </w:rPr>
        <w:t>21. Haralambos K, Whatley SD, Edwards R, Gingell R, Humphries SE, Ashfield-Watt P. Clinical experience of scoring criteria for Familial Hypercholesterolaemia (FH) genetic testing in Wales. Atherosclerosis. 2015;240(1):190-196.</w:t>
      </w:r>
    </w:p>
    <w:p>
      <w:pPr>
        <w:spacing w:line="280" w:lineRule="exact" w:after="40"/>
        <w:ind w:left="567" w:hanging="567"/>
      </w:pPr>
      <w:r>
        <w:rPr>
          <w:rFonts w:ascii="Arial" w:hAnsi="Arial"/>
          <w:sz w:val="18"/>
        </w:rPr>
        <w:t>22. Safarova MS, Liu H, Kullo IJ. Rapid identification of familial hypercholesterolemia from electronic health records: The SEARCH study. J Clin Lipidol. 2016;10(5):1230-1239.</w:t>
      </w:r>
    </w:p>
    <w:p>
      <w:pPr>
        <w:spacing w:line="280" w:lineRule="exact" w:after="40"/>
        <w:ind w:left="567" w:hanging="567"/>
      </w:pPr>
      <w:r>
        <w:rPr>
          <w:rFonts w:ascii="Arial" w:hAnsi="Arial"/>
          <w:sz w:val="18"/>
        </w:rPr>
        <w:t>23. Richards S, Aziz N, Bale S, et al. Standards and guidelines for the interpretation of sequence variants: a joint consensus recommendation of the ACMG and AMP. Genet Med. 2015;17(5):405-424.</w:t>
      </w:r>
    </w:p>
    <w:p>
      <w:pPr>
        <w:spacing w:line="280" w:lineRule="exact" w:after="40"/>
        <w:ind w:left="567" w:hanging="567"/>
      </w:pPr>
      <w:r>
        <w:rPr>
          <w:rFonts w:ascii="Arial" w:hAnsi="Arial"/>
          <w:sz w:val="18"/>
        </w:rPr>
        <w:t>24. Sudlow C, Gallacher J, Allen N, et al. UK Biobank: an open access resource for identifying the causes of a wide range of complex diseases of middle and old age. PLoS Med. 2015;12(3):e1001779.</w:t>
      </w:r>
    </w:p>
    <w:p>
      <w:pPr>
        <w:spacing w:line="280" w:lineRule="exact" w:after="40"/>
        <w:ind w:left="567" w:hanging="567"/>
      </w:pPr>
      <w:r>
        <w:rPr>
          <w:rFonts w:ascii="Arial" w:hAnsi="Arial"/>
          <w:sz w:val="18"/>
        </w:rPr>
        <w:t>25. Cannon CP, Blazing MA, Giugliano RP, et al. Ezetimibe added to statin therapy after acute coronary syndromes. N Engl J Med. 2015;372(25):2387-2397.</w:t>
      </w:r>
    </w:p>
    <w:p>
      <w:pPr>
        <w:spacing w:line="280" w:lineRule="exact" w:after="40"/>
        <w:ind w:left="567" w:hanging="567"/>
      </w:pPr>
      <w:r>
        <w:rPr>
          <w:rFonts w:ascii="Arial" w:hAnsi="Arial"/>
          <w:sz w:val="18"/>
        </w:rPr>
        <w:t>26. Sabatine MS, Giugliano RP, Keech AC, et al. Evolocumab and clinical outcomes in patients with cardiovascular disease. N Engl J Med. 2017;376(18):1713-1722.</w:t>
      </w:r>
    </w:p>
    <w:p>
      <w:pPr>
        <w:spacing w:line="280" w:lineRule="exact" w:after="40"/>
        <w:ind w:left="567" w:hanging="567"/>
      </w:pPr>
      <w:r>
        <w:rPr>
          <w:rFonts w:ascii="Arial" w:hAnsi="Arial"/>
          <w:sz w:val="18"/>
        </w:rPr>
        <w:t>27. Ray KK, Bays HE, Catapano AL, et al. Safety and efficacy of bempedoic acid to reduce LDL cholesterol. N Engl J Med. 2019;380(11):1022-1032.</w:t>
      </w:r>
    </w:p>
    <w:p>
      <w:pPr>
        <w:spacing w:line="280" w:lineRule="exact" w:after="40"/>
        <w:ind w:left="567" w:hanging="567"/>
      </w:pPr>
      <w:r>
        <w:rPr>
          <w:rFonts w:ascii="Arial" w:hAnsi="Arial"/>
          <w:sz w:val="18"/>
        </w:rPr>
        <w:t>28. DeLong ER, DeLong DM, Clarke-Pearson DL. Comparing the areas under two or more correlated receiver operating characteristic curves: a nonparametric approach. Biometrics. 1988;44(3):837-845.</w:t>
      </w:r>
    </w:p>
    <w:p>
      <w:pPr>
        <w:spacing w:line="280" w:lineRule="exact" w:after="40"/>
        <w:ind w:left="567" w:hanging="567"/>
      </w:pPr>
      <w:r>
        <w:rPr>
          <w:rFonts w:ascii="Arial" w:hAnsi="Arial"/>
          <w:sz w:val="18"/>
        </w:rPr>
        <w:t>29. Pencina MJ, D'Agostino RB Sr, D'Agostino RB Jr, Vasan RS. Evaluating the added predictive ability of a new marker: from area under the ROC curve to reclassification and beyond. Stat Med. 2008;27(2):157-172.</w:t>
      </w:r>
    </w:p>
    <w:p>
      <w:pPr>
        <w:spacing w:line="280" w:lineRule="exact" w:after="40"/>
        <w:ind w:left="567" w:hanging="567"/>
      </w:pPr>
      <w:r>
        <w:rPr>
          <w:rFonts w:ascii="Arial" w:hAnsi="Arial"/>
          <w:sz w:val="18"/>
        </w:rPr>
        <w:t>30. Hosmer DW, Lemeshow S. Applied Logistic Regression. 2nd ed. New York: John Wiley and Sons; 2000.</w:t>
      </w:r>
    </w:p>
    <w:p>
      <w:pPr>
        <w:spacing w:line="280" w:lineRule="exact" w:after="40"/>
        <w:ind w:left="567" w:hanging="567"/>
      </w:pPr>
      <w:r>
        <w:rPr>
          <w:rFonts w:ascii="Arial" w:hAnsi="Arial"/>
          <w:sz w:val="18"/>
        </w:rPr>
        <w:t>31. Benn M, Watts GF, Tybjaerg-Hansen A, Nordestgaard BG. Mutations causative of familial hypercholesterolaemia: screening of 98,098 individuals from the Copenhagen General Population Study. Eur Heart J. 2016;37(17):1384-1394.</w:t>
      </w:r>
    </w:p>
    <w:p>
      <w:pPr>
        <w:spacing w:line="280" w:lineRule="exact" w:after="40"/>
        <w:ind w:left="567" w:hanging="567"/>
      </w:pPr>
      <w:r>
        <w:rPr>
          <w:rFonts w:ascii="Arial" w:hAnsi="Arial"/>
          <w:sz w:val="18"/>
        </w:rPr>
        <w:t>32. Harada-Shiba M, Arai H, Ishigaki Y, et al. Guidelines for diagnosis and treatment of familial hypercholesterolemia 2017. J Atheroscler Thromb. 2018;25(8):751-770.</w:t>
      </w:r>
    </w:p>
    <w:p>
      <w:pPr>
        <w:spacing w:line="280" w:lineRule="exact" w:after="40"/>
        <w:ind w:left="567" w:hanging="567"/>
      </w:pPr>
      <w:r>
        <w:rPr>
          <w:rFonts w:ascii="Arial" w:hAnsi="Arial"/>
          <w:sz w:val="18"/>
        </w:rPr>
        <w:t>33. Bhatnagar D, Morgan J, Siddiq S, Mackness MI, Miller JP, Durrington PN. Outcome of case finding among relatives of patients with known heterozygous familial hypercholesterolaemia. BMJ. 2000;321(7275):1497-1500.</w:t>
      </w:r>
    </w:p>
    <w:p>
      <w:pPr>
        <w:spacing w:line="280" w:lineRule="exact" w:after="40"/>
        <w:ind w:left="567" w:hanging="567"/>
      </w:pPr>
      <w:r>
        <w:rPr>
          <w:rFonts w:ascii="Arial" w:hAnsi="Arial"/>
          <w:sz w:val="18"/>
        </w:rPr>
        <w:t>34. Friedewald WT, Levy RI, Fredrickson DS. Estimation of the concentration of low-density lipoprotein cholesterol in plasma, without use of the preparative ultracentrifuge. Clin Chem. 1972;18(6):499-502.</w:t>
      </w:r>
    </w:p>
    <w:p>
      <w:pPr>
        <w:spacing w:line="280" w:lineRule="exact" w:after="40"/>
        <w:ind w:left="567" w:hanging="567"/>
      </w:pPr>
      <w:r>
        <w:rPr>
          <w:rFonts w:ascii="Arial" w:hAnsi="Arial"/>
          <w:sz w:val="18"/>
        </w:rPr>
        <w:t>35. Sampson M, Ling C, Sun Q, et al. A new equation for calculation of low-density lipoprotein cholesterol in patients with normolipidemia and/or hypertriglyceridemia. JAMA Cardiol. 2020;5(5):540-548.</w:t>
      </w:r>
    </w:p>
    <w:p>
      <w:pPr>
        <w:spacing w:line="280" w:lineRule="exact" w:after="40"/>
        <w:ind w:left="567" w:hanging="567"/>
      </w:pPr>
      <w:r>
        <w:rPr>
          <w:rFonts w:ascii="Arial" w:hAnsi="Arial"/>
          <w:sz w:val="18"/>
        </w:rPr>
        <w:t>36. Martin SS, Blaha MJ, Elshazly MB, et al. Comparison of a novel method vs the Friedewald equation for estimating low-density lipoprotein cholesterol levels from the standard lipid profile. JAMA. 2013;310(19):2061-2068.</w:t>
      </w:r>
    </w:p>
    <w:p>
      <w:pPr>
        <w:spacing w:line="280" w:lineRule="exact" w:after="40"/>
        <w:ind w:left="567" w:hanging="567"/>
      </w:pPr>
      <w:r>
        <w:rPr>
          <w:rFonts w:ascii="Arial" w:hAnsi="Arial"/>
          <w:sz w:val="18"/>
        </w:rPr>
        <w:t>37. Banda JM, Sarraju A, Abbasi F, et al. Finding missed cases of familial hypercholesterolemia in health systems using machine learning. NPJ Digit Med. 2019;2:23.</w:t>
      </w:r>
    </w:p>
    <w:p>
      <w:pPr>
        <w:spacing w:line="280" w:lineRule="exact" w:after="40"/>
        <w:ind w:left="567" w:hanging="567"/>
      </w:pPr>
      <w:r>
        <w:rPr>
          <w:rFonts w:ascii="Arial" w:hAnsi="Arial"/>
          <w:sz w:val="18"/>
        </w:rPr>
        <w:t>38. Myers KD, Knowles JW, Staszak D, et al. Precision screening for familial hypercholesterolaemia: a machine learning study applied to electronic health encounter data. Lancet Digit Health. 2019;1(8):e393-e402.</w:t>
      </w:r>
    </w:p>
    <w:p>
      <w:pPr>
        <w:spacing w:line="280" w:lineRule="exact" w:after="40"/>
        <w:ind w:left="567" w:hanging="567"/>
      </w:pPr>
      <w:r>
        <w:rPr>
          <w:rFonts w:ascii="Arial" w:hAnsi="Arial"/>
          <w:sz w:val="18"/>
        </w:rPr>
        <w:t>39. Genedy N, Zouwail S. ApoB/LDL-C Discordance as a Predictor of Atherosclerotic Cardiovascular Disease in Genetically Confirmed Heterozygous Familial Hypercholesterolemia. J Clin Lipidol. 2026;20(3):490-503.</w:t>
      </w:r>
    </w:p>
    <w:p>
      <w:pPr>
        <w:spacing w:line="280" w:lineRule="exact" w:after="40"/>
        <w:ind w:left="567" w:hanging="567"/>
      </w:pPr>
      <w:r>
        <w:rPr>
          <w:rFonts w:ascii="Arial" w:hAnsi="Arial"/>
          <w:sz w:val="18"/>
        </w:rPr>
        <w:t>40. Watts GF, et al. International Atherosclerosis Society guidance for implementing best practice in the care of familial hypercholesterolaemia. Nat Rev Cardiol. 2023;20:845-869.</w:t>
      </w:r>
    </w:p>
    <w:p/>
    <w:p>
      <w:r>
        <w:rPr>
          <w:rFonts w:ascii="Arial" w:hAnsi="Arial"/>
          <w:i/>
          <w:color w:val="808080"/>
          <w:sz w:val="18"/>
        </w:rPr>
        <w:t>[Approximate word count: ~12,000 words including new sections 4.8-4.10. Document generated programmatically on 2026-03-27.]</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MERGEFORMAT ">
      <w:r>
        <w:rPr>
          <w:rFonts w:ascii="Arial" w:hAnsi="Arial"/>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808080"/>
        <w:sz w:val="18"/>
      </w:rPr>
      <w:t>TUDOR FH Diagnostic Algorithm — Genedy &amp; Zouwail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