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8"/>
        </w:rPr>
        <w:t>CALON-C: orchestrated findings and action plan</w:t>
      </w:r>
    </w:p>
    <w:p>
      <w:pPr>
        <w:jc w:val="center"/>
      </w:pPr>
      <w:r>
        <w:rPr>
          <w:i/>
          <w:sz w:val="26"/>
        </w:rPr>
        <w:t>Cross-model, four-specialist adjudication</w:t>
      </w:r>
    </w:p>
    <w:p>
      <w:pPr>
        <w:jc w:val="center"/>
      </w:pPr>
      <w:r>
        <w:rPr>
          <w:b/>
          <w:color w:val="9C5700"/>
          <w:sz w:val="22"/>
        </w:rPr>
        <w:t>MANUSCRIPT-GROUNDED SYNTHESIS · CURRENT VERDICT: NO-GO</w:t>
      </w:r>
    </w:p>
    <w:p>
      <w:pPr>
        <w:jc w:val="center"/>
      </w:pPr>
      <w:r>
        <w:rPr>
          <w:sz w:val="20"/>
        </w:rPr>
        <w:t>Prepared 17 August 2026</w:t>
      </w:r>
    </w:p>
    <w:p/>
    <w:p>
      <w:pPr>
        <w:pStyle w:val="Heading1"/>
      </w:pPr>
      <w:r>
        <w:t>Orchestrated findings</w:t>
      </w:r>
    </w:p>
    <w:p>
      <w:pPr>
        <w:pStyle w:val="Heading1"/>
      </w:pPr>
      <w:r>
        <w:t>CALON-C: orchestrated findings and action plan</w:t>
      </w:r>
    </w:p>
    <w:p/>
    <w:p>
      <w:pPr>
        <w:pStyle w:val="Heading2"/>
      </w:pPr>
      <w:r>
        <w:t>Scope and completeness</w:t>
      </w:r>
    </w:p>
    <w:p/>
    <w:p>
      <w:pPr>
        <w:pStyle w:val="ListBullet"/>
      </w:pPr>
      <w:r>
        <w:t>13 original review outputs were available: nine Google Gemini reports, three Cursor blind-round reports (Kimi, Grok and Claude), and one Cursor cross-model debate from Grok.</w:t>
      </w:r>
    </w:p>
    <w:p>
      <w:pPr>
        <w:pStyle w:val="ListBullet"/>
      </w:pPr>
      <w:r>
        <w:t>Cursor debate is incomplete: Kimi and Claude debate responses and the final Cursor teaching synthesis were not produced. Grok’s debate is therefore a strong adjudication, not a completed three-model consensus.</w:t>
      </w:r>
    </w:p>
    <w:p>
      <w:pPr>
        <w:pStyle w:val="ListBullet"/>
      </w:pPr>
      <w:r>
        <w:t>Authoritative manuscript checked: outputs/manuscript_2026-08-16/CALON_C_MANUSCRIPT_HIGH_CALIBRE.md.</w:t>
      </w:r>
    </w:p>
    <w:p>
      <w:pPr>
        <w:pStyle w:val="ListBullet"/>
      </w:pPr>
      <w:r>
        <w:t>Manuscript SHA-256: 528cd91b05212e2f4063581b7065069b64785418220066364c41e63bf8602692.</w:t>
      </w:r>
    </w:p>
    <w:p>
      <w:pPr>
        <w:pStyle w:val="ListBullet"/>
      </w:pPr>
      <w:r>
        <w:t>Evidence window: 17 August 2016–17 August 2026.</w:t>
      </w:r>
    </w:p>
    <w:p>
      <w:pPr>
        <w:pStyle w:val="ListBullet"/>
      </w:pPr>
      <w:r>
        <w:t>Evidence limitation: the Google run had no grounded-search output. Its “verified” literature labels, exact rejection probabilities and proposed new results are not evidence. Kimi also had no live literature connector. Grok used local extracts; Claude reported DOI/PubMed/Crossref checks. All load-bearing citations still require a final reproducible audit.</w:t>
      </w:r>
    </w:p>
    <w:p/>
    <w:p>
      <w:pPr>
        <w:pStyle w:val="Heading2"/>
      </w:pPr>
      <w:r>
        <w:t>Executive judgement</w:t>
      </w:r>
    </w:p>
    <w:p/>
    <w:p>
      <w:pPr>
        <w:pStyle w:val="ListBullet"/>
      </w:pPr>
      <w:r>
        <w:t>Current verdict: NO-GO for submission. This is supported by the manuscript’s own submission-readiness statement, not by the Google panel’s unsupported “85–90%” rejection estimate.</w:t>
      </w:r>
    </w:p>
    <w:p>
      <w:pPr>
        <w:pStyle w:val="ListBullet"/>
      </w:pPr>
      <w:r>
        <w:t>The paper is salvageable, but most defensibly as a prediction-methods, comparator-evaluability and setting-transport study, not as a clinical-deployment paper, a definitive HeFH risk equation, or a demonstration of universal superiority.</w:t>
      </w:r>
    </w:p>
    <w:p>
      <w:pPr>
        <w:pStyle w:val="ListBullet"/>
      </w:pPr>
      <w:r>
        <w:t>The critical path is sequential: establish the study population → rebuild the Welsh risk set and outputs → resolve UK Biobank competing-risk/absolute-risk reporting → add uncertainty → rewrite the comparative estimand → complete governance and citation/prose repair.</w:t>
      </w:r>
    </w:p>
    <w:p/>
    <w:p>
      <w:pPr>
        <w:pStyle w:val="Heading2"/>
      </w:pPr>
      <w:r>
        <w:t>Findings supported across models and by the manuscript</w:t>
      </w:r>
    </w:p>
    <w:p/>
    <w:p>
      <w:pPr>
        <w:pStyle w:val="Heading3"/>
      </w:pPr>
      <w:r>
        <w:t>1. Population identity is the first scientific gate</w:t>
      </w:r>
    </w:p>
    <w:p/>
    <w:p>
      <w:pPr>
        <w:pStyle w:val="ListBullet"/>
      </w:pPr>
      <w:r>
        <w:t>UK Biobank eligibility uses an operational ldlr_carrier flag, while variant_id is empty throughout the available master table.</w:t>
      </w:r>
    </w:p>
    <w:p>
      <w:pPr>
        <w:pStyle w:val="ListBullet"/>
      </w:pPr>
      <w:r>
        <w:t>The manuscript therefore cannot establish that all included participants have pathogenic/likely pathogenic LDLR variants or clinically recognised heterozygous familial hypercholesterolaemia.</w:t>
      </w:r>
    </w:p>
    <w:p>
      <w:pPr>
        <w:pStyle w:val="ListBullet"/>
      </w:pPr>
      <w:r>
        <w:t>The reported phenotype is attenuated relative to clinic FH: median untreated-equivalent LDL-C is 3.95 mmol/L, and the programme reports only a small LDL-C excess over non-carriers.</w:t>
      </w:r>
    </w:p>
    <w:p>
      <w:pPr>
        <w:pStyle w:val="ListBullet"/>
      </w:pPr>
      <w:r>
        <w:t>Implication: title, abstract, guideline framing and comparator interpretation must refer to a population-identified carrier flag unless variant-level classification can be rebuilt. HeFH guidance must not be transferred silently to this frame.</w:t>
      </w:r>
    </w:p>
    <w:p/>
    <w:p>
      <w:pPr>
        <w:pStyle w:val="Heading3"/>
      </w:pPr>
      <w:r>
        <w:t>2. Welsh results mix two analytical frames</w:t>
      </w:r>
    </w:p>
    <w:p/>
    <w:p>
      <w:pPr>
        <w:pStyle w:val="ListBullet"/>
      </w:pPr>
      <w:r>
        <w:t>The corrected Welsh risk set is 1,169 participants/102 events.</w:t>
      </w:r>
    </w:p>
    <w:p>
      <w:pPr>
        <w:pStyle w:val="ListBullet"/>
      </w:pPr>
      <w:r>
        <w:t>Welsh discrimination and calibration artefacts still use the earlier 1,159/92 frame.</w:t>
      </w:r>
    </w:p>
    <w:p>
      <w:pPr>
        <w:pStyle w:val="ListBullet"/>
      </w:pPr>
      <w:r>
        <w:t>Table 5 juxtaposes Kaplan–Meier and Aalen–Johansen estimates from different frames; this makes the row internally uninterpretable.</w:t>
      </w:r>
    </w:p>
    <w:p>
      <w:pPr>
        <w:pStyle w:val="ListBullet"/>
      </w:pPr>
      <w:r>
        <w:t>Implication: regenerate the corrected Welsh baseline table, follow-up, discrimination, calibration, equation, CIF and all manuscript displays from one pipeline of record before retaining a numerical Welsh finding.</w:t>
      </w:r>
    </w:p>
    <w:p/>
    <w:p>
      <w:pPr>
        <w:pStyle w:val="Heading3"/>
      </w:pPr>
      <w:r>
        <w:t>3. Welsh inclusion and predictor timing threaten transport validity</w:t>
      </w:r>
    </w:p>
    <w:p/>
    <w:p>
      <w:pPr>
        <w:pStyle w:val="ListBullet"/>
      </w:pPr>
      <w:r>
        <w:t>Some clinical predictors were recorded at last contact or after the event rather than demonstrably at baseline.</w:t>
      </w:r>
    </w:p>
    <w:p>
      <w:pPr>
        <w:pStyle w:val="ListBullet"/>
      </w:pPr>
      <w:r>
        <w:t>A dated-field sensitivity reportedly lowered C by approximately 0.030; this bounds concern but does not prove baseline validity.</w:t>
      </w:r>
    </w:p>
    <w:p>
      <w:pPr>
        <w:pStyle w:val="ListBullet"/>
      </w:pPr>
      <w:r>
        <w:t>Retaining participants without operational follow-up only when they had a dated event appears outcome-conditioned and requires redesign or explicit sensitivity analysis.</w:t>
      </w:r>
    </w:p>
    <w:p>
      <w:pPr>
        <w:pStyle w:val="ListBullet"/>
      </w:pPr>
      <w:r>
        <w:t>Implication: Wales remains an exploratory routine-data transport stress test, not independent external validation. Use a baseline-defined inclusion/censoring rule and pre-baseline predictors wherever possible.</w:t>
      </w:r>
    </w:p>
    <w:p/>
    <w:p>
      <w:pPr>
        <w:pStyle w:val="Heading3"/>
      </w:pPr>
      <w:r>
        <w:t>4. UK Biobank competing-risk output is missing</w:t>
      </w:r>
    </w:p>
    <w:p/>
    <w:p>
      <w:pPr>
        <w:pStyle w:val="ListBullet"/>
      </w:pPr>
      <w:r>
        <w:t>The UK Biobank Aalen–Johansen/competing-risk analysis did not execute because the processed frame lacked the expected death field.</w:t>
      </w:r>
    </w:p>
    <w:p>
      <w:pPr>
        <w:pStyle w:val="ListBullet"/>
      </w:pPr>
      <w:r>
        <w:t>This does not erase Cox ranking, hazard associations or C-statistics, but it blocks definitive absolute-risk interpretation.</w:t>
      </w:r>
    </w:p>
    <w:p>
      <w:pPr>
        <w:pStyle w:val="ListBullet"/>
      </w:pPr>
      <w:r>
        <w:t>Publishing S0(5), S0(10) and worked absolute-risk examples creates a deployable-looking object without competing-risk calibration.</w:t>
      </w:r>
    </w:p>
    <w:p>
      <w:pPr>
        <w:pStyle w:val="ListBullet"/>
      </w:pPr>
      <w:r>
        <w:t>Implication: link and validate mortality data, estimate cumulative incidence with death as a competing event, and reassess calibration; otherwise remove or quarantine deployable absolute-risk material and retain a ranking-only paper.</w:t>
      </w:r>
    </w:p>
    <w:p/>
    <w:p>
      <w:pPr>
        <w:pStyle w:val="Heading3"/>
      </w:pPr>
      <w:r>
        <w:t>5. Comparator conclusions are narrower than a general “superiority” claim</w:t>
      </w:r>
    </w:p>
    <w:p/>
    <w:p>
      <w:pPr>
        <w:pStyle w:val="ListBullet"/>
      </w:pPr>
      <w:r>
        <w:t>Full follow-up: CALON-C was higher than SAFEHEART-RE and Montreal-FH-SCORE after Holm correction.</w:t>
      </w:r>
    </w:p>
    <w:p>
      <w:pPr>
        <w:pStyle w:val="ListBullet"/>
      </w:pPr>
      <w:r>
        <w:t>FH-Risk-Score: tie, not equivalence or non-inferiority: ΔC +0.015, 95% CI −0.011 to 0.040; Holm p=0.5018.</w:t>
      </w:r>
    </w:p>
    <w:p>
      <w:pPr>
        <w:pStyle w:val="ListBullet"/>
      </w:pPr>
      <w:r>
        <w:t>Five-year family: no comparison remained significant after Holm correction.</w:t>
      </w:r>
    </w:p>
    <w:p>
      <w:pPr>
        <w:pStyle w:val="ListBullet"/>
      </w:pPr>
      <w:r>
        <w:t>SAFEHEART-RE was tested in a primary-prevention frame with previous ASCVD fixed at zero and treatment-suppressed measured LDL-C.</w:t>
      </w:r>
    </w:p>
    <w:p>
      <w:pPr>
        <w:pStyle w:val="ListBullet"/>
      </w:pPr>
      <w:r>
        <w:t>Montreal-FH-SCORE was developed for prevalent disease, so it is a cross-estimand ranking benchmark rather than a like-for-like incident-risk contest.</w:t>
      </w:r>
    </w:p>
    <w:p>
      <w:pPr>
        <w:pStyle w:val="ListBullet"/>
      </w:pPr>
      <w:r>
        <w:t>Implication: preserve the two full-follow-up findings, but place intended-use qualifiers in the same sentence; foreground the FH-Risk-Score tie and five-year null; do not claim universal superiority, equivalence or non-inferiority.</w:t>
      </w:r>
    </w:p>
    <w:p/>
    <w:p>
      <w:pPr>
        <w:pStyle w:val="Heading3"/>
      </w:pPr>
      <w:r>
        <w:t>6. Discrimination is moderate; calibration and utility are not established</w:t>
      </w:r>
    </w:p>
    <w:p/>
    <w:p>
      <w:pPr>
        <w:pStyle w:val="ListBullet"/>
      </w:pPr>
      <w:r>
        <w:t>Internal C is approximately 0.71; this is ranking performance, not proof of clinical usefulness.</w:t>
      </w:r>
    </w:p>
    <w:p>
      <w:pPr>
        <w:pStyle w:val="ListBullet"/>
      </w:pPr>
      <w:r>
        <w:t>Calibration is internal/apparent, not transported or independently external.</w:t>
      </w:r>
    </w:p>
    <w:p>
      <w:pPr>
        <w:pStyle w:val="ListBullet"/>
      </w:pPr>
      <w:r>
        <w:t>Decision-curve claims were withdrawn; no validated threshold, comparative net benefit or treatment policy exists.</w:t>
      </w:r>
    </w:p>
    <w:p>
      <w:pPr>
        <w:pStyle w:val="ListBullet"/>
      </w:pPr>
      <w:r>
        <w:t>Implication: CALON-C must not be used to de-risk a carrier, defer lipid-lowering treatment, or assign treatment thresholds. A narrowly framed development/ranking paper can be published without DCA only if all clinical-utility claims are removed.</w:t>
      </w:r>
    </w:p>
    <w:p/>
    <w:p>
      <w:pPr>
        <w:pStyle w:val="Heading3"/>
      </w:pPr>
      <w:r>
        <w:t>7. CALON-C is mainly a conventional clinical prognostic model</w:t>
      </w:r>
    </w:p>
    <w:p/>
    <w:p>
      <w:pPr>
        <w:pStyle w:val="ListBullet"/>
      </w:pPr>
      <w:r>
        <w:t>Hypertension, diabetes and smoking added approximately +0.033 C beyond age and sex; the lipid apparatus added approximately +0.008.</w:t>
      </w:r>
    </w:p>
    <w:p>
      <w:pPr>
        <w:pStyle w:val="ListBullet"/>
      </w:pPr>
      <w:r>
        <w:t>All three lipid-derived adjusted intervals crossed the null.</w:t>
      </w:r>
    </w:p>
    <w:p>
      <w:pPr>
        <w:pStyle w:val="ListBullet"/>
      </w:pPr>
      <w:r>
        <w:t>This does not challenge LDL causality. Causal importance and within-cohort incremental prediction are different questions, especially under treatment, restricted phenotype and measurement error.</w:t>
      </w:r>
    </w:p>
    <w:p>
      <w:pPr>
        <w:pStyle w:val="ListBullet"/>
      </w:pPr>
      <w:r>
        <w:t>Implication: retain frozen ridge terms if they were genuinely fixed; do not prune solely on p-values. Rewrite the model identity as a parsimonious routine clinical prognostic model with a limited lipid increment.</w:t>
      </w:r>
    </w:p>
    <w:p/>
    <w:p>
      <w:pPr>
        <w:pStyle w:val="Heading3"/>
      </w:pPr>
      <w:r>
        <w:t>8. cum_nonhdl is not measured cholesterol-years</w:t>
      </w:r>
    </w:p>
    <w:p/>
    <w:p>
      <w:pPr>
        <w:pStyle w:val="ListBullet"/>
      </w:pPr>
      <w:r>
        <w:t>The variable is log(untreated-equivalent non-HDL-C × age) from a single baseline lipid measurement.</w:t>
      </w:r>
    </w:p>
    <w:p>
      <w:pPr>
        <w:pStyle w:val="ListBullet"/>
      </w:pPr>
      <w:r>
        <w:t>It is a cross-sectional lipid–age product/proxy, not a longitudinal area-under-the-curve measure of cumulative exposure.</w:t>
      </w:r>
    </w:p>
    <w:p>
      <w:pPr>
        <w:pStyle w:val="ListBullet"/>
      </w:pPr>
      <w:r>
        <w:t>Implication: preserve lower-for-longer biology in the Introduction, but rename and qualify this predictor everywhere; do not claim that CALON-C directly measures lifetime cholesterol burden.</w:t>
      </w:r>
    </w:p>
    <w:p/>
    <w:p>
      <w:pPr>
        <w:pStyle w:val="Heading3"/>
      </w:pPr>
      <w:r>
        <w:t>9. Lipid treatment correction and Lp(a) conversion are assumptions</w:t>
      </w:r>
    </w:p>
    <w:p/>
    <w:p>
      <w:pPr>
        <w:pStyle w:val="ListBullet"/>
      </w:pPr>
      <w:r>
        <w:t>Dividing treated LDL/non-HDL-C by 0.70 and triglycerides by 0.80 is a population approximation, not individual pharmacological reconstruction.</w:t>
      </w:r>
    </w:p>
    <w:p>
      <w:pPr>
        <w:pStyle w:val="ListBullet"/>
      </w:pPr>
      <w:r>
        <w:t>The manuscript’s external reconstruction audit reports correlation 0.32 and mean absolute error 1.20 mmol/L.</w:t>
      </w:r>
    </w:p>
    <w:p>
      <w:pPr>
        <w:pStyle w:val="ListBullet"/>
      </w:pPr>
      <w:r>
        <w:t>Converting Lp(a) from nmol/L to mg/dL with a fixed divisor can misclassify threshold status because conversion depends on apo(a) isoform/assay characteristics.</w:t>
      </w:r>
    </w:p>
    <w:p>
      <w:pPr>
        <w:pStyle w:val="ListBullet"/>
      </w:pPr>
      <w:r>
        <w:t>Implication: label both as assumptions; run defensible sensitivity analyses if they affect comparator ranking. Do not present triple-therapy under-correction as an observed cohort result unless treatment-specific data demonstrate it.</w:t>
      </w:r>
    </w:p>
    <w:p/>
    <w:p>
      <w:pPr>
        <w:pStyle w:val="Heading3"/>
      </w:pPr>
      <w:r>
        <w:t>10. Endpoint heterogeneity is substantive</w:t>
      </w:r>
    </w:p>
    <w:p/>
    <w:p>
      <w:pPr>
        <w:pStyle w:val="ListBullet"/>
      </w:pPr>
      <w:r>
        <w:t>UK Biobank lacks procedural capture and has unambiguous component-date attribution for only 147/289 events.</w:t>
      </w:r>
    </w:p>
    <w:p>
      <w:pPr>
        <w:pStyle w:val="ListBullet"/>
      </w:pPr>
      <w:r>
        <w:t>Wales includes angina and revascularisation, while UK Biobank is more coronary-diagnosis weighted.</w:t>
      </w:r>
    </w:p>
    <w:p>
      <w:pPr>
        <w:pStyle w:val="ListBullet"/>
      </w:pPr>
      <w:r>
        <w:t>Implication: keep “first incident ASCVD”, not MACE; harmonise hard-event/component sensitivities where supportable; do not present directional transport differences as simple geographic replication.</w:t>
      </w:r>
    </w:p>
    <w:p/>
    <w:p>
      <w:pPr>
        <w:pStyle w:val="Heading3"/>
      </w:pPr>
      <w:r>
        <w:t>11. Important methodological strengths should be retained</w:t>
      </w:r>
    </w:p>
    <w:p/>
    <w:p>
      <w:pPr>
        <w:pStyle w:val="ListBullet"/>
      </w:pPr>
      <w:r>
        <w:t>Strict complete-input comparator scoring avoids assigning missing required inputs to favourable reference categories.</w:t>
      </w:r>
    </w:p>
    <w:p>
      <w:pPr>
        <w:pStyle w:val="ListBullet"/>
      </w:pPr>
      <w:r>
        <w:t>CALON-C and each comparator were assessed on the same evaluable participants.</w:t>
      </w:r>
    </w:p>
    <w:p>
      <w:pPr>
        <w:pStyle w:val="ListBullet"/>
      </w:pPr>
      <w:r>
        <w:t>Paired bootstrap ΔC intervals, Holm multiplicity control and the explicit tie rule are strengths.</w:t>
      </w:r>
    </w:p>
    <w:p>
      <w:pPr>
        <w:pStyle w:val="ListBullet"/>
      </w:pPr>
      <w:r>
        <w:t>Claude reports that paired comparisons used out-of-fold CALON-C predictions; this would materially strengthen the Methods if independently confirmed from the authoritative code path.</w:t>
      </w:r>
    </w:p>
    <w:p>
      <w:pPr>
        <w:pStyle w:val="ListBullet"/>
      </w:pPr>
      <w:r>
        <w:t>Comparator worked examples and corrections that moved results in both directions show useful audit discipline.</w:t>
      </w:r>
    </w:p>
    <w:p/>
    <w:p>
      <w:pPr>
        <w:pStyle w:val="Heading3"/>
      </w:pPr>
      <w:r>
        <w:t>12. Reporting and governance defects are immediate desk-rejection risks</w:t>
      </w:r>
    </w:p>
    <w:p/>
    <w:p>
      <w:pPr>
        <w:pStyle w:val="ListBullet"/>
      </w:pPr>
      <w:r>
        <w:t>The manuscript contains 16 explicit placeholders covering authorship, ethics/legal basis, funding, conflicts, PPI, data controller, availability, Welsh outputs, subgroup outputs and other source gaps.</w:t>
      </w:r>
    </w:p>
    <w:p>
      <w:pPr>
        <w:pStyle w:val="ListBullet"/>
      </w:pPr>
      <w:r>
        <w:t>A mechanical audit confirms 19/39 references are not cited in the manuscript text: refs 13, 14, 16, 17 and 22–38.</w:t>
      </w:r>
    </w:p>
    <w:p>
      <w:pPr>
        <w:pStyle w:val="ListBullet"/>
      </w:pPr>
      <w:r>
        <w:t>Pipeline meta-language (user-specified, reviewer response, source filenames and model-generation history) remains in journal prose.</w:t>
      </w:r>
    </w:p>
    <w:p>
      <w:pPr>
        <w:pStyle w:val="ListBullet"/>
      </w:pPr>
      <w:r>
        <w:t>Implication: complete all governance fields, cite or delete every orphan reference, verify claim-to-citation fidelity, and move provenance details to supplementary/data-availability material.</w:t>
      </w:r>
    </w:p>
    <w:p/>
    <w:p>
      <w:pPr>
        <w:pStyle w:val="Heading2"/>
      </w:pPr>
      <w:r>
        <w:t>Genuine disagreements and the chair’s adjudication</w:t>
      </w:r>
    </w:p>
    <w:p/>
    <w:p>
      <w:pPr>
        <w:pStyle w:val="Heading3"/>
      </w:pPr>
      <w:r>
        <w:t>Retain or delete non-significant lipid terms?</w:t>
      </w:r>
    </w:p>
    <w:p/>
    <w:p>
      <w:pPr>
        <w:pStyle w:val="ListBullet"/>
      </w:pPr>
      <w:r>
        <w:t>Biostatistical position: retain a frozen ridge specification; post hoc deletion would introduce selection bias.</w:t>
      </w:r>
    </w:p>
    <w:p>
      <w:pPr>
        <w:pStyle w:val="ListBullet"/>
      </w:pPr>
      <w:r>
        <w:t>Clinical/lipid position: retaining weak terms risks a false mechanistic narrative.</w:t>
      </w:r>
    </w:p>
    <w:p>
      <w:pPr>
        <w:pStyle w:val="ListBullet"/>
      </w:pPr>
      <w:r>
        <w:t>Adjudication: retain the frozen equation for validation fidelity, but remove mechanistic overclaiming. A reduced model can be compared prospectively or as a clearly labelled secondary analysis.</w:t>
      </w:r>
    </w:p>
    <w:p/>
    <w:p>
      <w:pPr>
        <w:pStyle w:val="Heading3"/>
      </w:pPr>
      <w:r>
        <w:t>Complete-case comparators or imputation?</w:t>
      </w:r>
    </w:p>
    <w:p/>
    <w:p>
      <w:pPr>
        <w:pStyle w:val="ListBullet"/>
      </w:pPr>
      <w:r>
        <w:t>Complete-case position: published scores requiring Lp(a), BMI or other inputs must be scored faithfully on participants with those inputs.</w:t>
      </w:r>
    </w:p>
    <w:p>
      <w:pPr>
        <w:pStyle w:val="ListBullet"/>
      </w:pPr>
      <w:r>
        <w:t>Imputation position: complete-case restriction may select a non-representative subset.</w:t>
      </w:r>
    </w:p>
    <w:p>
      <w:pPr>
        <w:pStyle w:val="ListBullet"/>
      </w:pPr>
      <w:r>
        <w:t>Adjudication: keep strict complete-input scoring as primary and report evaluability as a separate implementation outcome. Do not impute unmeasured Lp(a) merely to make a comparator calculable. A principled missing-data sensitivity may supplement, not replace, the primary analysis.</w:t>
      </w:r>
    </w:p>
    <w:p/>
    <w:p>
      <w:pPr>
        <w:pStyle w:val="Heading3"/>
      </w:pPr>
      <w:r>
        <w:t>Is MICE mandatory?</w:t>
      </w:r>
    </w:p>
    <w:p/>
    <w:p>
      <w:pPr>
        <w:pStyle w:val="ListBullet"/>
      </w:pPr>
      <w:r>
        <w:t>Google repeatedly demanded ten-fold MICE; Cursor raised missing-data uncertainty.</w:t>
      </w:r>
    </w:p>
    <w:p>
      <w:pPr>
        <w:pStyle w:val="ListBullet"/>
      </w:pPr>
      <w:r>
        <w:t>Adjudication: MICE is not automatically mandatory and is not yet an analysis result. Pre-specify the missingness model, implement any imputation leakage-safely within resampling, and compare it with fold-wise median imputation. Do not rewrite the manuscript as though MICE has already been performed.</w:t>
      </w:r>
    </w:p>
    <w:p/>
    <w:p>
      <w:pPr>
        <w:pStyle w:val="Heading3"/>
      </w:pPr>
      <w:r>
        <w:t>Should DCA, NRI, subgroup interactions and a new grey-zone analysis be mandatory?</w:t>
      </w:r>
    </w:p>
    <w:p/>
    <w:p>
      <w:pPr>
        <w:pStyle w:val="ListBullet"/>
      </w:pPr>
      <w:r>
        <w:t>These analyses are useful only if utility, reclassification, subgroup or biomarker-enhancer claims remain central.</w:t>
      </w:r>
    </w:p>
    <w:p>
      <w:pPr>
        <w:pStyle w:val="ListBullet"/>
      </w:pPr>
      <w:r>
        <w:t>Adjudication: they are secondary to population validity, Welsh pipeline repair and competing-risk analysis. Remove the associated claims rather than adding unstable analyses solely to satisfy an AI reviewer.</w:t>
      </w:r>
    </w:p>
    <w:p/>
    <w:p>
      <w:pPr>
        <w:pStyle w:val="Heading3"/>
      </w:pPr>
      <w:r>
        <w:t>What paper is recoverable?</w:t>
      </w:r>
    </w:p>
    <w:p/>
    <w:p>
      <w:pPr>
        <w:pStyle w:val="ListBullet"/>
      </w:pPr>
      <w:r>
        <w:t>Kimi: corrected common-data head-to-head methods paper.</w:t>
      </w:r>
    </w:p>
    <w:p>
      <w:pPr>
        <w:pStyle w:val="ListBullet"/>
      </w:pPr>
      <w:r>
        <w:t>Grok: comparator-coding and setting-transport paper, with the equation demoted.</w:t>
      </w:r>
    </w:p>
    <w:p>
      <w:pPr>
        <w:pStyle w:val="ListBullet"/>
      </w:pPr>
      <w:r>
        <w:t>Claude: comparator-evaluability/implementation-failure paper, centred on Welsh non-estimability.</w:t>
      </w:r>
    </w:p>
    <w:p>
      <w:pPr>
        <w:pStyle w:val="ListBullet"/>
      </w:pPr>
      <w:r>
        <w:t>Adjudication: combine these into one coherent contribution: a parsimonious routine-variable model plus a comparator-faithful, common-data evaluability and setting-transport study in a population-identified LDLR-carrier-flag frame. Do not market it as a definitive HeFH equation or clinical-deployment tool.</w:t>
      </w:r>
    </w:p>
    <w:p/>
    <w:p>
      <w:pPr>
        <w:pStyle w:val="Heading2"/>
      </w:pPr>
      <w:r>
        <w:t>Panel claims that must not be copied into the manuscript</w:t>
      </w:r>
    </w:p>
    <w:p/>
    <w:p>
      <w:pPr>
        <w:pStyle w:val="ListBullet"/>
      </w:pPr>
      <w:r>
        <w:t>The Google panel’s 85–90% rejection probability is uncalibrated opinion.</w:t>
      </w:r>
    </w:p>
    <w:p>
      <w:pPr>
        <w:pStyle w:val="ListBullet"/>
      </w:pPr>
      <w:r>
        <w:t>Google replacement text states that MICE was performed; the manuscript says fold-wise median imputation was used.</w:t>
      </w:r>
    </w:p>
    <w:p>
      <w:pPr>
        <w:pStyle w:val="ListBullet"/>
      </w:pPr>
      <w:r>
        <w:t>Google replacement text changes the bootstrap count from 100 to 500 without analytical support.</w:t>
      </w:r>
    </w:p>
    <w:p>
      <w:pPr>
        <w:pStyle w:val="ListBullet"/>
      </w:pPr>
      <w:r>
        <w:t>Google replacement text invents a UK Biobank 10-year Aalen–Johansen incidence of 5.98% with 184 non-ASCVD deaths. The manuscript explicitly says the UKB competing-risk analysis did not execute.</w:t>
      </w:r>
    </w:p>
    <w:p>
      <w:pPr>
        <w:pStyle w:val="ListBullet"/>
      </w:pPr>
      <w:r>
        <w:t>Google proposes specific subgroup interactions and results not present in the source material.</w:t>
      </w:r>
    </w:p>
    <w:p>
      <w:pPr>
        <w:pStyle w:val="ListBullet"/>
      </w:pPr>
      <w:r>
        <w:t>Assertions that rerunning code/38_CALON_C_CORRECTED.py alone will fix every defect are unproven; mortality linkage, risk-set logic and output verification are prerequisites.</w:t>
      </w:r>
    </w:p>
    <w:p>
      <w:pPr>
        <w:pStyle w:val="ListBullet"/>
      </w:pPr>
      <w:r>
        <w:t>“Immortal-time bias” is not the most precise universal label for all Welsh timing problems. Use temporal leakage/reverse-causality/predictor-misclassification language unless the time-at-risk mechanism is demonstrated.</w:t>
      </w:r>
    </w:p>
    <w:p>
      <w:pPr>
        <w:pStyle w:val="ListBullet"/>
      </w:pPr>
      <w:r>
        <w:t>No Google literature ledger should be called verified: grounded-search metadata were null.</w:t>
      </w:r>
    </w:p>
    <w:p/>
    <w:p>
      <w:pPr>
        <w:pStyle w:val="Heading2"/>
      </w:pPr>
      <w:r>
        <w:t>Ranked critical path</w:t>
      </w:r>
    </w:p>
    <w:p/>
    <w:p>
      <w:pPr>
        <w:pStyle w:val="Heading3"/>
      </w:pPr>
      <w:r>
        <w:t>Gate 1 — Resolve the population</w:t>
      </w:r>
    </w:p>
    <w:p/>
    <w:p>
      <w:pPr>
        <w:pStyle w:val="ListBullet"/>
      </w:pPr>
      <w:r>
        <w:t>Reconstruct or audit LDLR variant classification against sequence/ClinVar/ACMG evidence if the governed data permit.</w:t>
      </w:r>
    </w:p>
    <w:p>
      <w:pPr>
        <w:pStyle w:val="ListBullet"/>
      </w:pPr>
      <w:r>
        <w:t>Report variant classes, carrier frequency and phenotype.</w:t>
      </w:r>
    </w:p>
    <w:p>
      <w:pPr>
        <w:pStyle w:val="ListBullet"/>
      </w:pPr>
      <w:r>
        <w:t>If impossible, lock the title and claims to the operational ldlr_carrier flag and remove HeFH-equivalence language.</w:t>
      </w:r>
    </w:p>
    <w:p/>
    <w:p>
      <w:pPr>
        <w:pStyle w:val="Heading3"/>
      </w:pPr>
      <w:r>
        <w:t>Gate 2 — Rebuild the Welsh risk set and pipeline</w:t>
      </w:r>
    </w:p>
    <w:p/>
    <w:p>
      <w:pPr>
        <w:pStyle w:val="ListBullet"/>
      </w:pPr>
      <w:r>
        <w:t>Use baseline-defined eligibility/censoring independent of future event occurrence.</w:t>
      </w:r>
    </w:p>
    <w:p>
      <w:pPr>
        <w:pStyle w:val="ListBullet"/>
      </w:pPr>
      <w:r>
        <w:t>Use demonstrably pre-baseline predictors where possible and retain a dated-only sensitivity.</w:t>
      </w:r>
    </w:p>
    <w:p>
      <w:pPr>
        <w:pStyle w:val="ListBullet"/>
      </w:pPr>
      <w:r>
        <w:t>Regenerate baseline, follow-up, discrimination, calibration, equation, CIF/KM and all tables/figures from one 1,169/102 pipeline—or report a different final count if the corrected eligibility rule changes it.</w:t>
      </w:r>
    </w:p>
    <w:p/>
    <w:p>
      <w:pPr>
        <w:pStyle w:val="Heading3"/>
      </w:pPr>
      <w:r>
        <w:t>Gate 3 — Resolve absolute risk in UK Biobank</w:t>
      </w:r>
    </w:p>
    <w:p/>
    <w:p>
      <w:pPr>
        <w:pStyle w:val="ListBullet"/>
      </w:pPr>
      <w:r>
        <w:t>Link and validate mortality data.</w:t>
      </w:r>
    </w:p>
    <w:p>
      <w:pPr>
        <w:pStyle w:val="ListBullet"/>
      </w:pPr>
      <w:r>
        <w:t>Estimate competing-risk cumulative incidence and recalibrate absolute-risk quantities.</w:t>
      </w:r>
    </w:p>
    <w:p>
      <w:pPr>
        <w:pStyle w:val="ListBullet"/>
      </w:pPr>
      <w:r>
        <w:t>Until this passes, remove S0/worked examples from the main clinical narrative and retain ranking-only interpretation.</w:t>
      </w:r>
    </w:p>
    <w:p/>
    <w:p>
      <w:pPr>
        <w:pStyle w:val="Heading3"/>
      </w:pPr>
      <w:r>
        <w:t>Gate 4 — Add uncertainty and lock model identity</w:t>
      </w:r>
    </w:p>
    <w:p/>
    <w:p>
      <w:pPr>
        <w:pStyle w:val="ListBullet"/>
      </w:pPr>
      <w:r>
        <w:t>Provide 95% confidence intervals for all internal and transport C-statistics and for the directional transport difference.</w:t>
      </w:r>
    </w:p>
    <w:p>
      <w:pPr>
        <w:pStyle w:val="ListBullet"/>
      </w:pPr>
      <w:r>
        <w:t>Independently verify that head-to-head predictions are out of fold and identify whether Welsh comparisons use a local seven-term refit or the frozen UKB equation.</w:t>
      </w:r>
    </w:p>
    <w:p>
      <w:pPr>
        <w:pStyle w:val="ListBullet"/>
      </w:pPr>
      <w:r>
        <w:t>Quantify or explicitly acknowledge residual specification-search optimism across earlier CALON generations.</w:t>
      </w:r>
    </w:p>
    <w:p/>
    <w:p>
      <w:pPr>
        <w:pStyle w:val="Heading3"/>
      </w:pPr>
      <w:r>
        <w:t>Gate 5 — Rewrite the comparative story</w:t>
      </w:r>
    </w:p>
    <w:p/>
    <w:p>
      <w:pPr>
        <w:pStyle w:val="ListBullet"/>
      </w:pPr>
      <w:r>
        <w:t>Descriptive comparative-ranking question; delete “at least as well as”.</w:t>
      </w:r>
    </w:p>
    <w:p>
      <w:pPr>
        <w:pStyle w:val="ListBullet"/>
      </w:pPr>
      <w:r>
        <w:t>Same-sentence qualifiers for SAFEHEART-RE and Montreal.</w:t>
      </w:r>
    </w:p>
    <w:p>
      <w:pPr>
        <w:pStyle w:val="ListBullet"/>
      </w:pPr>
      <w:r>
        <w:t>Foreground FH-Risk-Score tie and five-year Holm-null findings.</w:t>
      </w:r>
    </w:p>
    <w:p>
      <w:pPr>
        <w:pStyle w:val="ListBullet"/>
      </w:pPr>
      <w:r>
        <w:t>Keep full-follow-up wins only as setting-specific discrimination results.</w:t>
      </w:r>
    </w:p>
    <w:p>
      <w:pPr>
        <w:pStyle w:val="ListBullet"/>
      </w:pPr>
      <w:r>
        <w:t>Rename the lipid–age term and remove utility/de-risking/external-validation language.</w:t>
      </w:r>
    </w:p>
    <w:p/>
    <w:p>
      <w:pPr>
        <w:pStyle w:val="Heading3"/>
      </w:pPr>
      <w:r>
        <w:t>Gate 6 — Submission completion</w:t>
      </w:r>
    </w:p>
    <w:p/>
    <w:p>
      <w:pPr>
        <w:pStyle w:val="ListBullet"/>
      </w:pPr>
      <w:r>
        <w:t>Fill all 16 placeholders.</w:t>
      </w:r>
    </w:p>
    <w:p>
      <w:pPr>
        <w:pStyle w:val="ListBullet"/>
      </w:pPr>
      <w:r>
        <w:t>Verify every DOI, title, publication date and exact numerical claim from primary sources.</w:t>
      </w:r>
    </w:p>
    <w:p>
      <w:pPr>
        <w:pStyle w:val="ListBullet"/>
      </w:pPr>
      <w:r>
        <w:t>Cite or delete all 19 orphan references; replace out-of-window evidential anchors where possible.</w:t>
      </w:r>
    </w:p>
    <w:p>
      <w:pPr>
        <w:pStyle w:val="ListBullet"/>
      </w:pPr>
      <w:r>
        <w:t>Remove audit/pipeline voice and produce a journal-facing manuscript plus a separate reproducibility supplement.</w:t>
      </w:r>
    </w:p>
    <w:p/>
    <w:p>
      <w:pPr>
        <w:pStyle w:val="Heading2"/>
      </w:pPr>
      <w:r>
        <w:t>Submission decision</w:t>
      </w:r>
    </w:p>
    <w:p/>
    <w:p>
      <w:pPr>
        <w:pStyle w:val="ListBullet"/>
      </w:pPr>
      <w:r>
        <w:t>Now: NO-GO.</w:t>
      </w:r>
    </w:p>
    <w:p>
      <w:pPr>
        <w:pStyle w:val="ListBullet"/>
      </w:pPr>
      <w:r>
        <w:t>After Gates 1–6: CONDITIONAL GO to a specialist lipid, atherosclerosis, cardiovascular-prediction or methods journal, subject to the regenerated results.</w:t>
      </w:r>
    </w:p>
    <w:p>
      <w:pPr>
        <w:pStyle w:val="ListBullet"/>
      </w:pPr>
      <w:r>
        <w:t>Not supported by current evidence: clinical deployment, treatment thresholds, independent external validation, universal superiority, mechanistic cumulative-exposure claims or top-tier priority framing.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CALON-C manuscript review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A5A5A"/>
        <w:sz w:val="16"/>
      </w:rPr>
      <w:t>CALON-C manuscript review · generated review pack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ptos Display" w:hAnsi="Aptos Display"/>
      <w:b/>
      <w:bCs/>
      <w:i/>
      <w:iCs/>
      <w:color w:val="1F4E79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CALON-C: orchestrated findings and action plan</dc:title>
  <dc:subject/>
  <dc:creator>CALON multi-agent review panel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