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TUDOR: Development and Dual External Validation of a Treatment-Adjusted, Cascade-Aware Diagnostic Algorithm for Familial Hypercholesterolaemia in Over 4,500 Genetically Confirmed Carriers</w:t>
      </w:r>
    </w:p>
    <w:p/>
    <w:p>
      <w:r>
        <w:rPr>
          <w:sz w:val="22"/>
        </w:rPr>
        <w:t>Nader Genedy, MBBCh, MRCP(UK), MRCPI, SCE(AIM), MRCGP(UK), PgDip¹; Kate Haralambos²; Duncan Cole, MD, FRCP(UK), FRCPath¹; Dev Datta, MD, FRCP(UK), FRCPath¹; Soha Zouwail, MD, PhD, FRCPath¹</w:t>
      </w:r>
    </w:p>
    <w:p/>
    <w:p>
      <w:r>
        <w:rPr>
          <w:sz w:val="22"/>
        </w:rPr>
        <w:t>¹ Department of Metabolic Medicine, University Hospital of Wales, Cardiff and Vale University Health Board, Cardiff, UK</w:t>
      </w:r>
    </w:p>
    <w:p>
      <w:r>
        <w:rPr>
          <w:sz w:val="22"/>
        </w:rPr>
        <w:t>² FH Network (All-Wales Familial Hypercholesterolaemia Service)</w:t>
      </w:r>
    </w:p>
    <w:p/>
    <w:p>
      <w:r>
        <w:rPr>
          <w:sz w:val="22"/>
        </w:rPr>
        <w:t>Corresponding author: Nader Genedy, Department of Metabolic Medicine, University Hospital of Wales, Heath Park, Cardiff CF14 4XW, UK. Email: genedyn1@cardiff.ac.uk</w:t>
      </w:r>
    </w:p>
    <w:p/>
    <w:p/>
    <w:p>
      <w:r>
        <w:rPr>
          <w:b/>
          <w:color w:val="1F3A5F"/>
          <w:sz w:val="28"/>
        </w:rPr>
        <w:t>Structured Abstract</w:t>
      </w:r>
    </w:p>
    <w:p/>
    <w:p>
      <w:r>
        <w:rPr>
          <w:sz w:val="22"/>
        </w:rPr>
        <w:t>**Background.** Familial hypercholesterolaemia (FH) is common, treatable, and still profoundly under-diagnosed. The clinical criteria used in specialist lipid clinics were calibrated before contemporary lipid-lowering therapy, so the LDL-cholesterol a clinician now measures is often the pharmacological residue of the inherited phenotype rather than the phenotype itself. Simultaneously, the rising prevalence of metabolic dyslipidaemia mimics the FH signal that treatment has masked. We developed TUDOR, a treatment-adjusted, cascade-aware diagnostic algorithm, and tested whether it outperforms the criteria lipid clinics use today.</w:t>
      </w:r>
    </w:p>
    <w:p/>
    <w:p>
      <w:r>
        <w:rPr>
          <w:sz w:val="22"/>
        </w:rPr>
        <w:t>**Methods.** TUDOR estimates each patient's pre-treatment LDL-cholesterol from their prescription record, flags whether they were referred or found through family (cascade) screening, and reads the LDL level alongside triglycerides within one transparent scoring equation. We tested it five ways, all pre-specified: a bidirectional geographic split of the All-Wales FH Registry (TRIPOD type 2b); a frozen-coefficient pooled re-test; application to a UK Biobank lipid-clinic-eligible cohort with local recalibration; a whole-population stress test (TRIPOD type 4); and a pre-registered head-to-head against DLCN, Simon Broome, MEDPED, and a reconstructed FAMCAT.</w:t>
      </w:r>
    </w:p>
    <w:p/>
    <w:p>
      <w:r>
        <w:rPr>
          <w:sz w:val="22"/>
        </w:rPr>
        <w:t>**Results.** In bidirectional geographic validation of the All-Wales FH Registry, TUDOR achieved AUC 0.732 (95% CI 0.707–0.757) and 0.770 (0.739–0.797) in the reciprocal direction, exceeding enhanced DLCN by +0.088 and +0.099 (paired DeLong p &lt; 0.001 both directions), rising to 0.801 in statin-naive patients. In a pre-registered head-to-head (n = 1,274; 311 FH+), TUDOR (AUC 0.760) outperformed DLCN (0.652; NRI +0.133), MEDPED (0.524; NRI +0.344), Simon Broome (0.569; NRI +0.254), and FAMCAT (0.600; NRI +0.204). On transport to a UK Biobank lipid-clinic-eligible cohort it achieved AUC 0.756 (0.734–0.777; calibration intercept −0.20, slope 0.94). Pre-specified NMR-metabolomic analysis in 13,447 propensity-matched UK Biobank participants confirmed that the triglyceride feature captures the Brown-Goldstein selective LDL-receptor-clearance signature. TUDOR exceeded every comparator across all 25 prespecified subgroups.</w:t>
      </w:r>
    </w:p>
    <w:p/>
    <w:p>
      <w:r>
        <w:rPr>
          <w:sz w:val="22"/>
        </w:rPr>
        <w:t>**Conclusions.** TUDOR is an externally validated triage aid for prioritising confirmatory genetic testing in treated specialist lipid-clinic patients, recovering a diagnostic signal that legacy criteria lose to a changed pharmacological and metabolic era. It does not replace genetic testing.</w:t>
      </w:r>
    </w:p>
    <w:p/>
    <w:p/>
    <w:p>
      <w:r>
        <w:rPr>
          <w:b/>
          <w:color w:val="1F3A5F"/>
          <w:sz w:val="28"/>
        </w:rPr>
        <w:t>1. Introduction</w:t>
      </w:r>
    </w:p>
    <w:p/>
    <w:p>
      <w:r>
        <w:rPr>
          <w:b/>
          <w:color w:val="1F3A5F"/>
          <w:sz w:val="24"/>
        </w:rPr>
        <w:t>1.1 The clinical problem: when treatment hides the diagnosis</w:t>
      </w:r>
    </w:p>
    <w:p/>
    <w:p>
      <w:r>
        <w:rPr>
          <w:sz w:val="22"/>
        </w:rPr>
        <w:t>A 42-year-old woman, the daughter of a man who died suddenly at 48, arrives in the lipid clinic already taking atorvastatin 80 mg plus ezetimibe 10 mg. Her treated LDL-cholesterol is 2.5 mmol/L. On the Dutch Lipid Clinic Network score, that number is too low to carry the diagnostic weight her biology deserves. Her untreated LDL-C was likely near 9 mmol/L, but the criterion sees only the treated residue.</w:t>
      </w:r>
    </w:p>
    <w:p/>
    <w:p>
      <w:r>
        <w:rPr>
          <w:sz w:val="22"/>
        </w:rPr>
        <w:t>In the next chair sits her mirror image. A 56-year-old woman with type 2 diabetes, high BMI, and a family history of high LDL-C is referred with an untreated LDL-cholesterol of 7.0 mmol/L and triglycerides of 5.0 mmol/L. Her LDL alone scores her into the FH range on the DLCN criteria. But she does not have monogenic FH — her lipid profile reflects mixed metabolic dyslipidaemia driven by insulin resistance and hepatic VLDL overproduction, not a broken LDL receptor.</w:t>
      </w:r>
    </w:p>
    <w:p/>
    <w:p>
      <w:r>
        <w:rPr>
          <w:sz w:val="22"/>
        </w:rPr>
        <w:t>One patient's diagnosis is hidden by treatment. The other's is mimicked by metabolism. Both are misclassified by the same scoring system, in opposite directions. TUDOR was built to tell them apart.</w:t>
      </w:r>
    </w:p>
    <w:p/>
    <w:p>
      <w:r>
        <w:rPr>
          <w:b/>
          <w:color w:val="1F3A5F"/>
          <w:sz w:val="24"/>
        </w:rPr>
        <w:t>1.2 The scale of under-diagnosis</w:t>
      </w:r>
    </w:p>
    <w:p/>
    <w:p>
      <w:r>
        <w:rPr>
          <w:sz w:val="22"/>
        </w:rPr>
        <w:t>Familial hypercholesterolaemia affects approximately 1 in 250 people, raising plasma LDL-cholesterol from birth and conferring a markedly increased risk of premature coronary disease.^1,2^ The molecular route is well established: loss-of-function variants in *LDLR*, ligand-defective variants in *APOB*, and gain-of-function variants in *PCSK9* converge on impaired LDL-particle clearance.³ Yet globally, fewer than 5% of carriers have been identified in most regions, and fewer than 8% in the United Kingdom.^4,5^ The diagnostic failure propagates through families: each identified carrier opens a cascade in which 50% of first-degree relatives carry the pathogenic variant, yielding approximately 3.5 new diagnoses per index case.^6,7^ Statins initiated in childhood restore near-normal cardiovascular outcomes at twenty-year follow-up, reducing cumulative cardiovascular events from 26% to 1% compared with affected parents.⁸ The disease is lethal if missed, manageable if found, and the tools that gate access to genetic testing are failing at population scale.</w:t>
      </w:r>
    </w:p>
    <w:p/>
    <w:p>
      <w:r>
        <w:rPr>
          <w:b/>
          <w:color w:val="1F3A5F"/>
          <w:sz w:val="24"/>
        </w:rPr>
        <w:t>1.3 Why legacy criteria fail in the treatment era</w:t>
      </w:r>
    </w:p>
    <w:p/>
    <w:p>
      <w:r>
        <w:rPr>
          <w:sz w:val="22"/>
        </w:rPr>
        <w:t>That bottleneck persists because the instruments used to clear it were built for a pharmacological era that no longer exists. Simon Broome (1991), MEDPED (1993), and DLCN (1999) were calibrated when high-intensity statins, ezetimibe, bempedoic acid, and PCSK9 inhibitors were absent or uncommon, so their LDL-C thresholds describe the untreated natural history of FH.^9,10,11^ In a modern clinic, 62–86% of patients have crossed the clinic door already treated, and the LDL-cholesterol on the requisition form is the pharmacological residue of the inherited phenotype, not the phenotype itself.^12,13,14^ Over 70% of genetically confirmed carriers now lack tendon xanthomata — the sign that scores 6 points on the DLCN, the highest single component.^15^ Against genetically confirmed FH, the DLCN misses 74% of carriers.^16^</w:t>
      </w:r>
    </w:p>
    <w:p/>
    <w:p>
      <w:r>
        <w:rPr>
          <w:b/>
          <w:color w:val="1F3A5F"/>
          <w:sz w:val="24"/>
        </w:rPr>
        <w:t>1.4 The metabolic-era shift: a second, opposite distortion</w:t>
      </w:r>
    </w:p>
    <w:p/>
    <w:p>
      <w:r>
        <w:rPr>
          <w:sz w:val="22"/>
        </w:rPr>
        <w:t>A second distortion has moved in the opposite direction to treatment, and our data quantify both in the same cohorts. Over the same decades in which lipid-lowering therapy became routine, the prevalence of obesity, insulin resistance, and type 2 diabetes has risen steeply, and with it the background burden of triglyceride-rich mixed dyslipidaemia. An elevated LDL-cholesterol therefore no longer carries a single meaning: it may be the isolated receptor-mediated signature of monogenic FH, or it may be one component of a broader metabolic dyslipidaemia that has nothing to do with a single-gene defect.</w:t>
      </w:r>
    </w:p>
    <w:p/>
    <w:p>
      <w:r>
        <w:rPr>
          <w:sz w:val="22"/>
        </w:rPr>
        <w:t>The EAS Familial Hypercholesterolaemia Studies Collaboration — the largest global FH registry, now spanning 76 countries and over 80,000 participants — reported that 52% of adults with heterozygous FH are now overweight or obese, with obesity independently associated with coronary artery disease (OR 2.35, 95% CI 2.10–2.63).^17^ The 2024 worldwide cross-sectional study (approximately 24,000 adults with HeFH) found that type 2 diabetes prevalence in FH (5.7%) mirrors the general population rate — debunking the historical notion that FH confers metabolic protection.^18^ When metabolic syndrome coexists with FH, cardiovascular risk is amplified: a 2.1-fold increase in incident ASCVD and a 4.9-fold increase in all-cause mortality, independent of LDL-C.^19^</w:t>
      </w:r>
    </w:p>
    <w:p/>
    <w:p>
      <w:r>
        <w:rPr>
          <w:sz w:val="22"/>
        </w:rPr>
        <w:t>In our own All-Wales FH Registry, analysed by first-visit year over two decades (2004–2024), non-carrier triglycerides have risen from 1.88 to 2.21 mmol/L (p-for-trend = 0.017), while carrier triglycerides have remained flat (p = 0.83) — a secular divergence that makes the triglyceride context more, not less, informative for distinguishing monogenic from acquired hypercholesterolaemia. The NMR data (Section 3.6) make the mechanism concrete: treatment and metabolic disease move the two lipid axes in opposite directions. A statin lowers carrier LDL-cholesterol from 2.81 to 2.54 mmol/L — normalising the very signal the diagnosis depends on — while leaving, and slightly raising, the triglyceride level (1.27 to 1.41 mmol/L) that marks acquired metabolic burden. The Triglyceride Filter reads this divergence directly.</w:t>
      </w:r>
    </w:p>
    <w:p/>
    <w:p>
      <w:r>
        <w:rPr>
          <w:b/>
          <w:color w:val="1F3A5F"/>
          <w:sz w:val="24"/>
        </w:rPr>
        <w:t>1.5 The cascade-ascertainment paradox</w:t>
      </w:r>
    </w:p>
    <w:p/>
    <w:p>
      <w:r>
        <w:rPr>
          <w:sz w:val="22"/>
        </w:rPr>
        <w:t>Cascade ascertainment introduces a third distortion. The same LDL-C value means different things in an index referral and in a cascade-screened relative. Index cases are frequently referred because their phenotype is extreme; relatives may carry the identical pathogenic variant yet present younger, earlier in treatment, or after regression toward the family mean. A scoring system calibrated on dramatic probands will systematically under-score the quietly discovered relative — precisely the patient a cascade-screening programme identifies.</w:t>
      </w:r>
    </w:p>
    <w:p/>
    <w:p>
      <w:r>
        <w:rPr>
          <w:b/>
          <w:color w:val="1F3A5F"/>
          <w:sz w:val="24"/>
        </w:rPr>
        <w:t>1.5 Rationale and study aims</w:t>
      </w:r>
    </w:p>
    <w:p/>
    <w:p>
      <w:r>
        <w:rPr>
          <w:sz w:val="22"/>
        </w:rPr>
        <w:t>We therefore developed TUDOR (Treatment-adjusted Universal Detection Of inherited Risk) to repair three distortions inside one transparent equation. TUDOR reconstructs pre-treatment LDL-C from treatment records, encodes whether a patient is an index referral or a cascade-screened relative, and uses the triglyceride context to separate isolated LDL elevation from mixed metabolic dyslipidaemia. Its purpose is triage: deciding which treated patients should move fastest toward confirmatory genetic testing. It is not a replacement for that test.</w:t>
      </w:r>
    </w:p>
    <w:p/>
    <w:p>
      <w:r>
        <w:rPr>
          <w:b/>
          <w:color w:val="1F3A5F"/>
          <w:sz w:val="24"/>
        </w:rPr>
        <w:t>1.6 Rationale and study aims</w:t>
      </w:r>
    </w:p>
    <w:p/>
    <w:p>
      <w:r>
        <w:rPr>
          <w:sz w:val="22"/>
        </w:rPr>
        <w:t>We therefore developed TUDOR (Treatment-adjusted Universal Detection Of inherited Risk) to repair all three distortions inside one transparent equation. TUDOR reconstructs pre-treatment LDL-C from treatment records, encodes whether a patient is an index referral or a cascade-screened relative, and uses the triglyceride context to separate isolated LDL elevation from mixed metabolic dyslipidaemia. Its purpose is triage: deciding which treated patients should move fastest toward confirmatory genetic testing. It is not a replacement for that test.</w:t>
      </w:r>
    </w:p>
    <w:p/>
    <w:p>
      <w:r>
        <w:rPr>
          <w:sz w:val="22"/>
        </w:rPr>
        <w:t>We aimed to develop TUDOR using Elastic Net logistic regression, validate it bidirectionally across the All-Wales FH Registry and UK Biobank, and compare it head-to-head, pre-registered, against every established diagnostic criterion — DLCN, Simon Broome, MEDPED, and FAMCAT — in over 4,500 genetically confirmed carriers.</w:t>
      </w:r>
    </w:p>
    <w:p/>
    <w:p/>
    <w:p>
      <w:r>
        <w:rPr>
          <w:b/>
          <w:color w:val="1F3A5F"/>
          <w:sz w:val="28"/>
        </w:rPr>
        <w:t>2. Methods</w:t>
      </w:r>
    </w:p>
    <w:p/>
    <w:p>
      <w:r>
        <w:rPr>
          <w:b/>
          <w:color w:val="1F3A5F"/>
          <w:sz w:val="24"/>
        </w:rPr>
        <w:t>2.1 Study design and reporting</w:t>
      </w:r>
    </w:p>
    <w:p/>
    <w:p>
      <w:r>
        <w:rPr>
          <w:sz w:val="22"/>
        </w:rPr>
        <w:t>We followed TRIPOD-AI 2024 and STROBE reporting throughout.^19,20^ Two validation types were pre-specified. TRIPOD type 2b governed the primary Welsh geographic validation — a model developed in one catchment and validated in a non-overlapping catchment. TRIPOD type 4 governed the UK Biobank stress test. The head-to-head comparator analysis was pre-registered with a locked sign convention: ΔAUC = AUC(TUDOR) − AUC(comparator), positive favours TUDOR.</w:t>
      </w:r>
    </w:p>
    <w:p/>
    <w:p>
      <w:r>
        <w:rPr>
          <w:b/>
          <w:color w:val="1F3A5F"/>
          <w:sz w:val="24"/>
        </w:rPr>
        <w:t>2.2 Study populations</w:t>
      </w:r>
    </w:p>
    <w:p/>
    <w:p>
      <w:r>
        <w:rPr>
          <w:sz w:val="22"/>
        </w:rPr>
        <w:t>TUDOR was developed at the Cardiff and Vale University Health Board (CAVUHB) specialist lipid service within NHS Wales, using Elastic Net logistic regression. The primary external validation used a bidirectional geographic split of the family-deduplicated All-Wales FH Registry (PASS). The primary direction develops in South Wales (n = 1,471; 333 confirmed LDLR carriers) and validates in the rest-of-Wales catchment (n = 3,099; 554 carriers). The reciprocal direction reverses this split. The pooled registry comprised 4,570 family-deduplicated patients (887 LDLR carriers). Family-level deduplication was enforced by FamilyNumber, with zero shared family identifiers between development and validation.</w:t>
      </w:r>
    </w:p>
    <w:p/>
    <w:p>
      <w:r>
        <w:rPr>
          <w:sz w:val="22"/>
        </w:rPr>
        <w:t>The second external validation used UK Biobank (n = 501,936 adults aged 40–69, recruited 2006–2010).^21^ FH status was defined by rare pathogenic LDLR coding variants on whole-exome sequencing; 3,540 participants (0.71%) were carriers. A lipid-clinic-eligible cohort (n = 49,427; 921 carriers), defined by referral thresholds approximating NICE guidance, served as the clinically relevant target population.</w:t>
      </w:r>
    </w:p>
    <w:p/>
    <w:p>
      <w:r>
        <w:rPr>
          <w:b/>
          <w:color w:val="1F3A5F"/>
          <w:sz w:val="24"/>
        </w:rPr>
        <w:t>2.3 Reconstructing the pre-treatment phenotype</w:t>
      </w:r>
    </w:p>
    <w:p/>
    <w:p>
      <w:r>
        <w:rPr>
          <w:sz w:val="22"/>
        </w:rPr>
        <w:t>The first distortion is pharmacological: the clinician measures a treated residue, not the inherited phenotype. TUDOR removes that distortion at source by reconstructing each patient's pre-treatment LDL-C using individualised, not uniform, correction. In the Welsh registry, the directly measured pre-treatment LDL-C recorded at the first specialist visit was used wherever available; the reconstruction was applied only when a pre-treatment measurement was absent.</w:t>
      </w:r>
    </w:p>
    <w:p/>
    <w:p>
      <w:r>
        <w:rPr>
          <w:sz w:val="22"/>
        </w:rPr>
        <w:t>The correction uses dose-specific statin reduction factors derived from published trial data, encompassing 20 drug × dose pairs across five statin classes (e.g. atorvastatin 10 mg: 0.37, 20 mg: 0.43, 40 mg: 0.50, 80 mg: 0.55; rosuvastatin 5 mg: 0.38, 10 mg: 0.43, 20 mg: 0.48, 40 mg: 0.55; simvastatin 10 mg: 0.27, 20 mg: 0.32, 40 mg: 0.37, 80 mg: 0.46). For patients on combination therapy, reductions are stacked multiplicatively rather than additively — reflecting the pharmacological reality that each agent acts on the post-treatment residue, not the original level: R_combined = 1 − (1 − R_statin) × (1 − 0.18_ezetimibe) × (1 − 0.55_PCSK9i) × (1 − 0.17_bempedoic), capped at 0.90 to prevent implausible correction. This is a substantive departure from the DLCN approach, which applies a uniform factor of 1.43 (equivalent to assuming a 30% reduction) regardless of drug, dose, potency, or combination — treating atorvastatin 80 mg and pravastatin 10 mg identically.</w:t>
      </w:r>
    </w:p>
    <w:p/>
    <w:p>
      <w:r>
        <w:rPr>
          <w:sz w:val="22"/>
        </w:rPr>
        <w:t>We report this reconstruction with full transparency regarding its limitations. Against 649 Welsh PASS patients with LDL-C measured strictly before treatment initiation (the only clean ground truth), all correction methods showed substantial imprecision. The class-level observed correction (atorvastatin 0.38, simvastatin 0.35, rosuvastatin 0.34) showed MAE 2.01 mmol/L (95% CI 1.89–2.13) and r = 0.23 (0.15–0.30). The DLCN fixed factor of 1.43 showed MAE 2.04 (1.93–2.15) and r = 0.23 (0.15–0.30). Even the best available method — a reverse-engineered log-linear equation optimised against paired-visit ground truth — achieved MAE 1.20 (1.13–1.28) and r = 0.32 (0.25–0.39); only 25% of estimates fell within 0.5 mmol/L of the true measured value. A full machine-learning approach (33 features; random forest; held-out validation) halved the error to MAE 1.13 but could not improve the correlation beyond r = 0.30 (R² = 0.04) — confirming a biological ceiling driven by inter-individual variability in statin pharmacokinetics, pharmacogenomics, absorption, and adherence.</w:t>
      </w:r>
    </w:p>
    <w:p/>
    <w:p>
      <w:r>
        <w:rPr>
          <w:sz w:val="22"/>
        </w:rPr>
        <w:t>Critically, TUDOR's discrimination was robust to the correction method used: AUC ranged from 0.739 to 0.749 across dose-specific, class-level, and fixed-factor corrections, and did not differ significantly from the AUC obtained using the true measured pre-treatment LDL-C (0.730; all paired DeLong p &gt; 0.3). This confirms that the model's diagnostic value derives from its biological features — the triglyceride-shield signal and the ascertainment adjustment — rather than from the precision of the LDL-C correction. The adherence misclassification is directional and safe-failing: a non-adherent patient wrongly assumed adherent has their reconstructed LDL-C underestimated, lowering the score and triggering clinical review rather than false reassurance.</w:t>
      </w:r>
    </w:p>
    <w:p/>
    <w:p>
      <w:r>
        <w:rPr>
          <w:b/>
          <w:color w:val="1F3A5F"/>
          <w:sz w:val="24"/>
        </w:rPr>
        <w:t>2.4 The Index Effect</w:t>
      </w:r>
    </w:p>
    <w:p/>
    <w:p>
      <w:r>
        <w:rPr>
          <w:sz w:val="22"/>
        </w:rPr>
        <w:t>Reconstructing the untreated phenotype solves the pharmacological problem but sharpens the cascade problem: a high reconstructed LDL-C means something different in a relative referred because of a known family variant. The Index Effect encodes that difference directly: Index_Effect = (1 − Is_Relative) × LDL_Untreated. For an index case the feature equals the full treatment-adjusted LDL-C; for a cascade-screened relative it is zeroed, so that an attenuated LDL-C in a known FH family is not scored as evidence against the diagnosis.</w:t>
      </w:r>
    </w:p>
    <w:p/>
    <w:p>
      <w:r>
        <w:rPr>
          <w:b/>
          <w:color w:val="1F3A5F"/>
          <w:sz w:val="24"/>
        </w:rPr>
        <w:t>2.5 The Triglyceride Metabolic Filter</w:t>
      </w:r>
    </w:p>
    <w:p/>
    <w:p>
      <w:r>
        <w:rPr>
          <w:sz w:val="22"/>
        </w:rPr>
        <w:t>The third distortion is metabolic, and it requires a third feature. The Triglyceride Filter is LDL_Untreated / (Triglycerides + 0.1). High values mark isolated LDL elevation — the receptor-mediated signature of monogenic FH — whereas low values mark mixed dyslipidaemia driven by insulin resistance, obesity, or polygenic burden. The biological claim underlying this feature — that monogenic FH is a selective LDL-receptor-clearance lesion rather than a mixed dyslipidaemia — was tested by a pre-specified NMR analysis in UK Biobank (Section 3.6).</w:t>
      </w:r>
    </w:p>
    <w:p/>
    <w:p>
      <w:r>
        <w:rPr>
          <w:b/>
          <w:color w:val="1F3A5F"/>
          <w:sz w:val="24"/>
        </w:rPr>
        <w:t>2.6 Model development</w:t>
      </w:r>
    </w:p>
    <w:p/>
    <w:p>
      <w:r>
        <w:rPr>
          <w:sz w:val="22"/>
        </w:rPr>
        <w:t>Wales model development used Elastic Net logistic regression (alpha = 0.5; C = 1.0; saga solver; seed 20260518), fit on 11 pre-specified features after MICE imputation and z-score standardisation: untreated LDL-C, total cholesterol, triglycerides, non-HDL-C, HDL-C, age per decade, sex, on-statin, family history of CVD, premature MACE, and the T2DM × LDL interaction. The Index Effect and Triglyceride Filter enter through the untreated-LDL and triglyceride terms; the deployable coefficient vector is Table 2. The model returns a continuous probability and is interpretable by inspection.</w:t>
      </w:r>
    </w:p>
    <w:p/>
    <w:p>
      <w:r>
        <w:rPr>
          <w:b/>
          <w:color w:val="1F3A5F"/>
          <w:sz w:val="24"/>
        </w:rPr>
        <w:t>2.7 Validation designs</w:t>
      </w:r>
    </w:p>
    <w:p/>
    <w:p>
      <w:r>
        <w:rPr>
          <w:sz w:val="22"/>
        </w:rPr>
        <w:t>Five validation contexts were pre-specified, escalating in adversarial distance. Design A (primary, TRIPOD 2b): bidirectional geographic split. Design B: frozen-coefficient apply to pooled registry (n = 4,570; 887 FH+). Design C-direct: locked Welsh equation applied unchanged to UKB lipid-clinic-eligible cohort. Design C-transport: intercept and slope updated via Bayesian transport to align score-to-probability mapping to local prevalence. Design D (TRIPOD 4): full-population stress test (n = 501,936).</w:t>
      </w:r>
    </w:p>
    <w:p/>
    <w:p>
      <w:r>
        <w:rPr>
          <w:b/>
          <w:color w:val="1F3A5F"/>
          <w:sz w:val="24"/>
        </w:rPr>
        <w:t>2.8 Comparators and statistics</w:t>
      </w:r>
    </w:p>
    <w:p/>
    <w:p>
      <w:r>
        <w:rPr>
          <w:sz w:val="22"/>
        </w:rPr>
        <w:t>DLCN, Simon Broome, MEDPED, and FAMCAT (reconstructed from published Weng 2019 coefficients) were applied as published rules with no refitting. FAMCAT was applied outside its primary-care derivation population, and its lower value in this specialist-clinic setting is expected and is not a criticism of FAMCAT in its intended role. Discrimination was AUC with DeLong confidence intervals and pairwise paired DeLong tests. Net Reclassification Improvement was computed at each model's Youden-optimal threshold. All NRI and IDI estimates used 2,000 bootstrap resamples. Calibration was assessed by intercept, slope, and Hosmer-Lemeshow test. Decision-curve analysis assessed net benefit across the 0.1–20% threshold range.</w:t>
      </w:r>
    </w:p>
    <w:p/>
    <w:p>
      <w:r>
        <w:rPr>
          <w:b/>
          <w:color w:val="1F3A5F"/>
          <w:sz w:val="24"/>
        </w:rPr>
        <w:t>2.9 Ethics</w:t>
      </w:r>
    </w:p>
    <w:p/>
    <w:p>
      <w:r>
        <w:rPr>
          <w:sz w:val="22"/>
        </w:rPr>
        <w:t>Cardiff and Vale UHB R&amp;D approved the local study. UK Biobank analyses ran under Application 1002450 (REC 11/NW/0382). All data were fully anonymised.</w:t>
      </w:r>
    </w:p>
    <w:p/>
    <w:p/>
    <w:p>
      <w:r>
        <w:rPr>
          <w:b/>
          <w:color w:val="1F3A5F"/>
          <w:sz w:val="28"/>
        </w:rPr>
        <w:t>3. Results</w:t>
      </w:r>
    </w:p>
    <w:p/>
    <w:p>
      <w:r>
        <w:rPr>
          <w:b/>
          <w:color w:val="1F3A5F"/>
          <w:sz w:val="24"/>
        </w:rPr>
        <w:t>3.1 Cohorts and the magnitude of the masking problem</w:t>
      </w:r>
    </w:p>
    <w:p/>
    <w:p>
      <w:r>
        <w:rPr>
          <w:sz w:val="22"/>
        </w:rPr>
        <w:t>The pooled All-Wales FH Registry comprised 4,570 family-deduplicated patients (Table 1). Mean age was 62.5 years, 58.5% were female, mean total cholesterol 8.0 mmol/L, mean LDL-C 5.7 mmol/L, and mean triglycerides 1.9 mmol/L; statin therapy was recorded in 74.4%. Of the 4,570, 887 carried a confirmed LDLR coding variant. That three in four patients were already treated is the masking problem in one number: every diagnostic criterion is working with the pharmacological residue, not the phenotype.</w:t>
      </w:r>
    </w:p>
    <w:p/>
    <w:p>
      <w:r>
        <w:rPr>
          <w:sz w:val="22"/>
        </w:rPr>
        <w:t>The UK Biobank cohort comprised 501,936 participants (54.4% female, mean age 56.5 years), of whom 3,540 carried a confirmed LDLR variant. The lipid-clinic-eligible subset (n = 49,427; 921 carriers) was 58.0% female, with a mean reconstructed pre-treatment LDL-C among carriers of 4.51 mmol/L.</w:t>
      </w:r>
    </w:p>
    <w:p/>
    <w:p>
      <w:r>
        <w:rPr>
          <w:b/>
          <w:color w:val="1F3A5F"/>
          <w:sz w:val="24"/>
        </w:rPr>
        <w:t>3.2 The reconstruction is anchored to observation, with stated imprecision</w:t>
      </w:r>
    </w:p>
    <w:p/>
    <w:p>
      <w:r>
        <w:rPr>
          <w:sz w:val="22"/>
        </w:rPr>
        <w:t>Before the reconstructed phenotype can carry a model, it must be shown to recover real untreated values — and its limitations disclosed. In UK Biobank carriers the reconstructed pre-treatment mean was 4.51 mmol/L, concordant with directly measured pre-treatment values where available. Against 649 Welsh patients with ground-truth paired measurements, all correction methods showed mean absolute errors of approximately 1.2–2.6 mmol/L (r = 0.23–0.32), reflecting a biological ceiling on individual-level reconstruction. TUDOR's discrimination was nonetheless robust across all correction methods (AUC range &lt; 0.02), confirming that the diagnostic advantage resides in the model's biological features — the triglyceride-shield signal and the ascertainment adjustment — rather than in the precision of the reconstruction.</w:t>
      </w:r>
    </w:p>
    <w:p/>
    <w:p>
      <w:r>
        <w:rPr>
          <w:b/>
          <w:color w:val="1F3A5F"/>
          <w:sz w:val="24"/>
        </w:rPr>
        <w:t>3.3 Primary external validation: the model transports across Wales</w:t>
      </w:r>
    </w:p>
    <w:p/>
    <w:p>
      <w:r>
        <w:rPr>
          <w:sz w:val="22"/>
        </w:rPr>
        <w:t>In the primary direction — develop South Wales, validate rest-of-Wales (n = 1,471 → 3,099) — TUDOR achieved AUC 0.732 (95% CI 0.707–0.757) versus eDLCN 0.644, a ΔAUC of +0.088 (paired DeLong p &lt; 0.001), with continuous NRI +0.250 (95% CI 0.137–0.366), IDI +0.017, and calibration intercept −0.44, slope 0.87.</w:t>
      </w:r>
    </w:p>
    <w:p/>
    <w:p>
      <w:r>
        <w:rPr>
          <w:sz w:val="22"/>
        </w:rPr>
        <w:t>The reciprocal direction — develop rest-of-Wales, validate South Wales (n = 3,099 → 1,471) — gave AUC 0.770 (95% CI 0.739–0.797) versus eDLCN 0.670, ΔAUC +0.099 (p &lt; 0.001), continuous NRI +0.211 (0.095–0.333), IDI +0.020, calibration intercept +0.53, slope 1.11. That the advantage holds in both directions, with neither catchment privileged and the two sharing no family identifiers, is the point of reporting the split bidirectionally.</w:t>
      </w:r>
    </w:p>
    <w:p/>
    <w:p>
      <w:r>
        <w:rPr>
          <w:sz w:val="22"/>
        </w:rPr>
        <w:t>In statin-naive patients, where the masking is absent, TUDOR rose to AUC 0.801. The five-gene-plus-CNV sensitivity reproduced the headline: AUC 0.779 (0.751–0.805).</w:t>
      </w:r>
    </w:p>
    <w:p/>
    <w:p>
      <w:r>
        <w:rPr>
          <w:b/>
          <w:color w:val="1F3A5F"/>
          <w:sz w:val="24"/>
        </w:rPr>
        <w:t>3.4 The advantage is a stable property, not a single split</w:t>
      </w:r>
    </w:p>
    <w:p/>
    <w:p>
      <w:r>
        <w:rPr>
          <w:sz w:val="22"/>
        </w:rPr>
        <w:t>Applied without re-estimation to the entire pooled registry (n = 4,570; 887 carriers), the locked coefficients produced AUC 0.746 (0.726–0.764), above eDLCN 0.653 (ΔAUC +0.093; p &lt; 0.001). The three overlapping Welsh framings converge on a dependable ΔAUC of approximately +0.09 over enhanced DLCN.</w:t>
      </w:r>
    </w:p>
    <w:p/>
    <w:p>
      <w:r>
        <w:rPr>
          <w:b/>
          <w:color w:val="1F3A5F"/>
          <w:sz w:val="24"/>
        </w:rPr>
        <w:t>3.5 Transport to a population biobank</w:t>
      </w:r>
    </w:p>
    <w:p/>
    <w:p>
      <w:r>
        <w:rPr>
          <w:sz w:val="22"/>
        </w:rPr>
        <w:t>Design C-direct applied the locked Welsh equation unchanged to the UKB lipid-clinic-eligible cohort (n = 49,427; 921 carriers), yielding AUC 0.669 (0.650–0.687). Design C-transport, updating only the intercept and slope via Bayesian transport, achieved AUC 0.756 (0.734–0.777; calibration intercept −0.20, slope 0.94). Discrimination was comparable across the commonest monogenic causes (LDLR 0.758, APOB 0.731).</w:t>
      </w:r>
    </w:p>
    <w:p/>
    <w:p>
      <w:r>
        <w:rPr>
          <w:sz w:val="22"/>
        </w:rPr>
        <w:t>The locked Welsh equation applied with Bayesian intercept transport to all 501,936 UK Biobank participants (Design D, TRIPOD 4) achieved AUC 0.631 (0.622–0.641). We report this full-population result for transparency; it confirms that TUDOR is a specialist-clinic instrument, not a population-screening one, which is exactly its intended scope.</w:t>
      </w:r>
    </w:p>
    <w:p/>
    <w:p>
      <w:r>
        <w:rPr>
          <w:b/>
          <w:color w:val="1F3A5F"/>
          <w:sz w:val="24"/>
        </w:rPr>
        <w:t>3.6 The triglyceride filter reflects receptor-selective biology</w:t>
      </w:r>
    </w:p>
    <w:p/>
    <w:p>
      <w:r>
        <w:rPr>
          <w:sz w:val="22"/>
        </w:rPr>
        <w:t>The Triglyceride Filter rests on a biological claim — that monogenic FH is an isolated LDL-receptor-clearance lesion rather than a mixed dyslipidaemia — and a pre-specified NMR analysis in UK Biobank tested that claim from three complementary directions.</w:t>
      </w:r>
    </w:p>
    <w:p/>
    <w:p>
      <w:r>
        <w:rPr>
          <w:sz w:val="22"/>
        </w:rPr>
        <w:t>First, a confounder-matched comparison (2,273 LDLR carriers versus 11,174 non-carriers matched on age, sex, BMI, and statin use) showed carriers had elevated clinical LDL-C (SMD +0.27, p &lt; 10^−28^) while triglycerides were unchanged (SMD −0.04, p = 0.07) and HDL-cholesterol was unchanged (p = 0.99). The Triglyceride Filter was elevated 10% in carriers (SMD +0.25, p = 5.2 × 10^−25^).</w:t>
      </w:r>
    </w:p>
    <w:p/>
    <w:p>
      <w:r>
        <w:rPr>
          <w:sz w:val="22"/>
        </w:rPr>
        <w:t>Second, matching carriers and non-carriers on NMR clinical LDL itself (n = 2,273 vs 11,004) reversed the question: with the LDL-pathway signal held equal, carriers had lower triglycerides (SMD −0.198), as a receptor-selective lesion without triglyceride overproduction would predict.</w:t>
      </w:r>
    </w:p>
    <w:p/>
    <w:p>
      <w:r>
        <w:rPr>
          <w:sz w:val="22"/>
        </w:rPr>
        <w:t>Third, matching on the triglyceride pathway (NMR triglycerides plus VLDL) abolished the LDL difference, confirming that the Triglyceride Filter separates the two axes of the lipid profile and that the separation reflects receptor selectivity, not confounding.</w:t>
      </w:r>
    </w:p>
    <w:p/>
    <w:p>
      <w:r>
        <w:rPr>
          <w:b/>
          <w:color w:val="1F3A5F"/>
          <w:sz w:val="24"/>
        </w:rPr>
        <w:t>3.7 The metabolic era has shifted the signal the criteria depend on</w:t>
      </w:r>
    </w:p>
    <w:p/>
    <w:p>
      <w:r>
        <w:rPr>
          <w:sz w:val="22"/>
        </w:rPr>
        <w:t>In the All-Wales registry analysed by first-visit year (2004–2024; Table 4), the acquired triglyceride burden rose in non-carriers (mean triglycerides 1.88 to 2.21 mmol/L; p-for-trend = 0.017) while carrier triglycerides remained flat (p = 0.83). That secular divergence means the Triglyceride Filter has become more informative, not less, as the metabolic era has advanced.</w:t>
      </w:r>
    </w:p>
    <w:p/>
    <w:p>
      <w:r>
        <w:rPr>
          <w:sz w:val="22"/>
        </w:rPr>
        <w:t>The metabolic context also measurably modifies discrimination. In the full UK Biobank, type 2 diabetes modified the LDL-C–FH relationship with high significance (interaction p = 1.7 × 10^−14^). TUDOR achieved its highest population-scale margin in patients with type 2 diabetes (AUC 0.718), the group in whom mixed dyslipidaemia most often masks the monogenic signal.</w:t>
      </w:r>
    </w:p>
    <w:p/>
    <w:p>
      <w:r>
        <w:rPr>
          <w:b/>
          <w:color w:val="1F3A5F"/>
          <w:sz w:val="24"/>
        </w:rPr>
        <w:t>3.8 LDL-C estimating equations change who is flagged</w:t>
      </w:r>
    </w:p>
    <w:p/>
    <w:p>
      <w:r>
        <w:rPr>
          <w:sz w:val="22"/>
        </w:rPr>
        <w:t>The choice of LDL-C equation is not a technicality. In 3,093 UK Biobank LDLR carriers, Martin-Hopkins agreed most closely with the directly measured assay (CCC 0.984; mean bias −0.004 mmol/L), followed by Modified Sampson-NIH (CCC 0.979), with Friedewald the worst (CCC 0.952; bias widening from +0.068 at triglycerides &lt; 1.7 to −1.10 at triglycerides ≥ 4.5 mmol/L). TUDOR is insulated from this fragility: re-deriving Welsh LDL-C under each equation and re-running end-to-end, discrimination was effectively unchanged (AUC range 0.004), and the advantage over enhanced DLCN was stable (all paired DeLong p &lt; 0.001).</w:t>
      </w:r>
    </w:p>
    <w:p/>
    <w:p>
      <w:r>
        <w:rPr>
          <w:b/>
          <w:color w:val="1F3A5F"/>
          <w:sz w:val="24"/>
        </w:rPr>
        <w:t>3.9 Head-to-head against the criteria it is meant to replace</w:t>
      </w:r>
    </w:p>
    <w:p/>
    <w:p>
      <w:r>
        <w:rPr>
          <w:sz w:val="22"/>
        </w:rPr>
        <w:t>In the Wales Design A primary head-to-head cohort (n = 1,274; 311 FH+), TUDOR achieved AUC 0.760 (0.727–0.790). It exceeded enhanced DLCN (0.652; ΔAUC +0.108), MEDPED (0.524; ΔAUC +0.236), Simon Broome (0.569; ΔAUC +0.191), and FAMCAT (0.600; ΔAUC +0.159). Against FAMCAT the categorical NRI at each model's optimal threshold was +0.204 (0.141–0.266); corresponding values were +0.133 over eDLCN, +0.344 over MEDPED, and +0.254 over Simon Broome.</w:t>
      </w:r>
    </w:p>
    <w:p/>
    <w:p>
      <w:r>
        <w:rPr>
          <w:b/>
          <w:color w:val="1F3A5F"/>
          <w:sz w:val="24"/>
        </w:rPr>
        <w:t>3.10 Where the advantage concentrates</w:t>
      </w:r>
    </w:p>
    <w:p/>
    <w:p>
      <w:r>
        <w:rPr>
          <w:sz w:val="22"/>
        </w:rPr>
        <w:t>TUDOR exceeded every comparator across the full pre-specified subgroup panel — all 11 Welsh subgroups and all 14 UK Biobank subgroups — with the largest population-scale margin in patients with type 2 diabetes (TUDOR AUC 0.718), the group in whom mixed dyslipidaemia most often masks the monogenic signal.</w:t>
      </w:r>
    </w:p>
    <w:p/>
    <w:p>
      <w:r>
        <w:rPr>
          <w:b/>
          <w:color w:val="1F3A5F"/>
          <w:sz w:val="24"/>
        </w:rPr>
        <w:t>3.11 Operating points and clinical utility</w:t>
      </w:r>
    </w:p>
    <w:p/>
    <w:p>
      <w:r>
        <w:rPr>
          <w:sz w:val="22"/>
        </w:rPr>
        <w:t>At the Wales Youden-optimal TUDOR threshold of 0.243 (a predicted probability of approximately 24%, matching FH prevalence in the clinic), sensitivity was 0.568 and specificity 0.820. At the UK Biobank Youden-optimal threshold of 0.059 (approximately 6%), sensitivity was 0.624 and specificity 0.833. Decision-curve analysis showed TUDOR had the highest net benefit across the entire 0.1–20% threshold range.</w:t>
      </w:r>
    </w:p>
    <w:p/>
    <w:p>
      <w:r>
        <w:rPr>
          <w:sz w:val="22"/>
        </w:rPr>
        <w:t>TUDOR returns a single number — the probability of monogenic FH — mapped to three actions: LOW (below approximately 10%): reassure and manage to guideline targets; INTERMEDIATE (10% to the clinic's operating threshold): review adherence, secondary causes, and family history; HIGH (above approximately 24%): prioritise for confirmatory genetic testing and initiate cascade screening.</w:t>
      </w:r>
    </w:p>
    <w:p/>
    <w:p>
      <w:r>
        <w:rPr>
          <w:b/>
          <w:color w:val="1F3A5F"/>
          <w:sz w:val="24"/>
        </w:rPr>
        <w:t>3.12 Gene-specific discrimination</w:t>
      </w:r>
    </w:p>
    <w:p/>
    <w:p>
      <w:r>
        <w:rPr>
          <w:sz w:val="22"/>
        </w:rPr>
        <w:t>Discrimination was comparable for the two commonest monogenic causes: LDLR carriers detected with AUC 0.758 and APOB (R3500Q/R3527W) carriers with AUC 0.731, with overlapping confidence intervals. The comparability is itself the informative finding — FH due to LDLR and FH due to APOB converge on a shared metabolic endpoint, and TUDOR captures that shared phenotype rather than any single-gene signature.</w:t>
      </w:r>
    </w:p>
    <w:p/>
    <w:p>
      <w:r>
        <w:rPr>
          <w:b/>
          <w:color w:val="1F3A5F"/>
          <w:sz w:val="24"/>
        </w:rPr>
        <w:t>3.13 Cardiovascular-mortality gradient: a transparency check</w:t>
      </w:r>
    </w:p>
    <w:p/>
    <w:p>
      <w:r>
        <w:rPr>
          <w:sz w:val="22"/>
        </w:rPr>
        <w:t>As an external biological check we examined ischaemic-heart-disease mortality across deciles of treatment-adjusted LDL-C in the full UK Biobank (n = 448,601). The gradient was inverse — IHD mortality fell from the lowest LDL-C decile to the highest — consistent with statin allocation to the highest-risk patients. This is reported as a transparency check on the reconstructed LDL-C axis, not as a causal finding: the reconstructed LDL-C recovers a biologically coherent ordering even when the raw on-treatment value does not.</w:t>
      </w:r>
    </w:p>
    <w:p/>
    <w:p>
      <w:r>
        <w:rPr>
          <w:b/>
          <w:color w:val="1F3A5F"/>
          <w:sz w:val="24"/>
        </w:rPr>
        <w:t>3.14 Cumulative LDL-years: a complementary, not competing, target</w:t>
      </w:r>
    </w:p>
    <w:p/>
    <w:p>
      <w:r>
        <w:rPr>
          <w:sz w:val="22"/>
        </w:rPr>
        <w:t>Replacing untreated LDL-C with cumulative LDL-years (LDL-C × age) did not improve discrimination on refitting in either cohort (Welsh ΔAUC +0.000, p = 0.70; UK Biobank ΔAUC −0.001, p = 0.14; NRI ≈ 0 in both). Although cumulative LDL-years is estimable with good confidence (r = 0.78, 95% CI 0.75–0.81 against paired-visit ground truth), variance decomposition showed that approximately 70% of its variance is carried by age — known exactly — rather than by improved recovery of the LDL-C level (age-adjusted r = 0.28). The elastic net absorbed the reparameterisation by redistributing the age coefficient, so no new information was gained. Cumulative LDL-years is therefore the correct variable for downstream ASCVD event-risk modelling in confirmed carriers, where older age legitimately signals greater burden — a complementary, not competing, target. TUDOR captures the opposite signal: younger patients with high LDL-C are more likely to carry a monogenic variant, and the negative age coefficient encodes that diagnostic asymmetry.</w:t>
      </w:r>
    </w:p>
    <w:p/>
    <w:p/>
    <w:p>
      <w:r>
        <w:rPr>
          <w:b/>
          <w:color w:val="1F3A5F"/>
          <w:sz w:val="28"/>
        </w:rPr>
        <w:t>4. Discussion</w:t>
      </w:r>
    </w:p>
    <w:p/>
    <w:p>
      <w:r>
        <w:rPr>
          <w:b/>
          <w:color w:val="1F3A5F"/>
          <w:sz w:val="24"/>
        </w:rPr>
        <w:t>4.1 Principal findings</w:t>
      </w:r>
    </w:p>
    <w:p/>
    <w:p>
      <w:r>
        <w:rPr>
          <w:sz w:val="22"/>
        </w:rPr>
        <w:t>This study delivers the dual external validation that a treated-clinic FH tool requires: across two independent cohorts and five pre-specified validation designs, TUDOR's advantage over every legacy criterion held without exception. The central message for the clinician is direct: in a treated lipid clinic, a normal-looking LDL-cholesterol does not exclude FH, and TUDOR exists to recover the diagnostic signal that treatment masks and that metabolic dyslipidaemia mimics.</w:t>
      </w:r>
    </w:p>
    <w:p/>
    <w:p>
      <w:r>
        <w:rPr>
          <w:b/>
          <w:color w:val="1F3A5F"/>
          <w:sz w:val="24"/>
        </w:rPr>
        <w:t>4.2 What TUDOR adds, and why it is interpretable by design</w:t>
      </w:r>
    </w:p>
    <w:p/>
    <w:p>
      <w:r>
        <w:rPr>
          <w:sz w:val="22"/>
        </w:rPr>
        <w:t>TUDOR combines three clinical ideas in one transparent equation, each repairing a specific failure of the legacy pipeline. It reconstructs pre-treatment LDL-C rather than treating the on-treatment value as the inherited phenotype; it separates index referrals from cascade-screened relatives through the Index Effect; and it reads the triglyceride context to distinguish isolated LDL elevation — the receptor-mediated signature — from mixed metabolic dyslipidaemia through the Triglyceride Filter. The deployable artefact is a coefficient vector, an intercept, and a set of pre-specified feature definitions; it can run in a clinic spreadsheet, an EHR rule, or a SQL view over a lipid-clinic extract.</w:t>
      </w:r>
    </w:p>
    <w:p/>
    <w:p>
      <w:r>
        <w:rPr>
          <w:sz w:val="22"/>
        </w:rPr>
        <w:t>Legacy point-scores read the treated LDL-C at face value and so under-score the adherent, well-treated patient and the cascade relative whose level has regressed toward the family mean — exactly the patients a specialist clinic most needs to catch.</w:t>
      </w:r>
    </w:p>
    <w:p/>
    <w:p>
      <w:r>
        <w:rPr>
          <w:b/>
          <w:color w:val="1F3A5F"/>
          <w:sz w:val="24"/>
        </w:rPr>
        <w:t>4.3 Why the era matters: a pharmacological and a metabolic shift</w:t>
      </w:r>
    </w:p>
    <w:p/>
    <w:p>
      <w:r>
        <w:rPr>
          <w:sz w:val="22"/>
        </w:rPr>
        <w:t>The criteria TUDOR replaces were calibrated in a different era in two distinct senses. The first shift is pharmacological: Simon Broome, MEDPED, and DLCN were fixed before high-intensity statins, ezetimibe, and PCSK9 inhibitors were routine, so their thresholds describe untreated natural history. The second shift is metabolic: the secular rise in non-carrier triglycerides (1.88 to 2.21 mmol/L, p = 0.017) against flat carrier triglycerides (p = 0.83) means the Triglyceride Filter has become more informative over time, not less — and the type 2 diabetes interaction (p = 1.7 × 10^−14^) confirms that metabolic context measurably modifies the diagnostic signal.</w:t>
      </w:r>
    </w:p>
    <w:p/>
    <w:p>
      <w:r>
        <w:rPr>
          <w:sz w:val="22"/>
        </w:rPr>
        <w:t>An important related finding warrants statement. Replacing untreated LDL-C with cumulative LDL-years (LDL-C × age) — the validated predictor of atherosclerotic burden — did not improve discrimination on refitting in either cohort (Welsh ΔAUC +0.000, p = 0.70; UK Biobank ΔAUC −0.001, p = 0.14; NRI ≈ 0 in both). The reason is that diagnosis and prognosis require opposite age weightings: a younger patient with high LDL-C is more likely to carry a monogenic variant, whereas an older patient with high cumulative LDL-years is at higher absolute cardiovascular risk. TUDOR captures the diagnostic signal via its negative age coefficient; cumulative LDL-years is the correct variable for downstream ASCVD event-risk prediction in confirmed carriers — a complementary, not competing, modelling target.</w:t>
      </w:r>
    </w:p>
    <w:p/>
    <w:p>
      <w:r>
        <w:rPr>
          <w:b/>
          <w:color w:val="1F3A5F"/>
          <w:sz w:val="24"/>
        </w:rPr>
        <w:t>4.4 The ground-truth finding: the back-calculation is imprecise, and TUDOR works anyway</w:t>
      </w:r>
    </w:p>
    <w:p/>
    <w:p>
      <w:r>
        <w:rPr>
          <w:sz w:val="22"/>
        </w:rPr>
        <w:t>Treatment-adjusted LDL-C is a pragmatic approximation, not a precise reconstruction. Against 649 Welsh patients with paired pre- and post-treatment measurements, the best available estimate showed MAE 1.20 mmol/L (95% CI 1.13–1.28) and r = 0.32 (0.25–0.39); only 25% of estimates fell within 0.5 mmol/L of the measured pre-treatment value. This reflects irreducible biological variability in statin response. TUDOR's discrimination was robust across all correction methods (AUC 0.739–0.749, all DeLong p &gt; 0.3 versus true measured pre-treatment LDL-C), confirming that the model's advantage derives from its biological features — the triglyceride-shield signal separating isolated from mixed hypercholesterolaemia — rather than from the precision of the LDL-C correction.</w:t>
      </w:r>
    </w:p>
    <w:p/>
    <w:p>
      <w:r>
        <w:rPr>
          <w:sz w:val="22"/>
        </w:rPr>
        <w:t>Although cumulative LDL-years is estimable with good confidence (r = 0.78, 95% CI 0.75–0.81), variance decomposition showed this reflects the exact, dominant contribution of age (approximately 70% of its variance) rather than improved recovery of LDL-C level (age-adjusted r = 0.28). Cumulative LDL-years is therefore suitable as a prognostic burden metric, not as evidence that untreated LDL-C is accurately reconstructed.</w:t>
      </w:r>
    </w:p>
    <w:p/>
    <w:p>
      <w:r>
        <w:rPr>
          <w:b/>
          <w:color w:val="1F3A5F"/>
          <w:sz w:val="24"/>
        </w:rPr>
        <w:t>4.5 The accuracy-versus-discrimination tension</w:t>
      </w:r>
    </w:p>
    <w:p/>
    <w:p>
      <w:r>
        <w:rPr>
          <w:sz w:val="22"/>
        </w:rPr>
        <w:t>A related methodological finding warrants disclosure. When we reverse-engineered an accuracy-optimal LDL-C transformation from the Welsh paired-visit data — a residualised potency-adjusted log-linear equation achieving mean bias near zero and leakage-free discrimination of AUC 0.741 in cross-validation — its transfer to the UK Biobank lipid-clinic cohort produced an AUC of 0.701, significantly lower than the simple class-level correction (0.750, p &lt; 10^−15^). The accuracy-optimal equation shrinks estimates toward the population mean (SD 0.37 mmol/L versus 1.05), collapsing the LDL-C variance on which the model's discrimination partly depends. In practical terms, the back-calculation that best recovers true untreated LDL-C is the worst for predicting FH, and vice versa — the two goals are in direct, measurable conflict. We adopt the simpler correction because TUDOR's discrimination is robust to correction choice and its value resides in the triglyceride and ascertainment features, not in the precision of the LDL-C estimate.</w:t>
      </w:r>
    </w:p>
    <w:p/>
    <w:p>
      <w:r>
        <w:rPr>
          <w:sz w:val="22"/>
        </w:rPr>
        <w:t>This tension has a broader implication for the field: any FH prediction model that claims both accurate LDL-C reconstruction and high diagnostic discrimination should be interrogated for consistency, because the two objectives pull in opposite directions when the model's discrimination partly derives from treatment-intensity-correlated LDL-C spread.</w:t>
      </w:r>
    </w:p>
    <w:p/>
    <w:p>
      <w:r>
        <w:rPr>
          <w:b/>
          <w:color w:val="1F3A5F"/>
          <w:sz w:val="24"/>
        </w:rPr>
        <w:t>4.6 Clinical implementation</w:t>
      </w:r>
    </w:p>
    <w:p/>
    <w:p>
      <w:r>
        <w:rPr>
          <w:sz w:val="22"/>
        </w:rPr>
        <w:t>TUDOR returns a single number — the probability that a patient has monogenic FH — and that number maps to one of three clear actions. LOW probability (below approximately 10%): reassure the patient and continue routine lipid management to guideline targets; no genetic test is warranted on this basis. INTERMEDIATE probability (approximately 10% up to the clinic's operating threshold): review treatment adherence, exclude secondary causes of hypercholesterolaemia (hypothyroidism, nephrotic syndrome, obstructive jaundice), re-examine family history, and consider imaging or specialist review before deciding whether to proceed with genetic testing. HIGH probability (above approximately 24%, the Wales Youden-optimal threshold matching clinic FH prevalence): prioritise for confirmatory genetic testing and initiate cascade screening of first-degree relatives.</w:t>
      </w:r>
    </w:p>
    <w:p/>
    <w:p>
      <w:r>
        <w:rPr>
          <w:sz w:val="22"/>
        </w:rPr>
        <w:t>The pathway is deliberately conservative in two senses. First, only the high-probability threshold is data-anchored; the low/intermediate cut is illustrative and must be set by local calibration before use. Second, the model orders the queue for confirmatory testing; it does not replace the genetic test, and the action at every band is a clinician's decision the probability is meant to inform, not automate.</w:t>
      </w:r>
    </w:p>
    <w:p/>
    <w:p>
      <w:r>
        <w:rPr>
          <w:sz w:val="22"/>
        </w:rPr>
        <w:t>Two laboratory points follow directly and should travel with any TUDOR deployment. First, for the point-score criteria that remain in routine use, the reported LDL-C should be calculated by Martin-Hopkins or Modified Sampson-NIH rather than Friedewald. In 3,093 UK Biobank carriers, Friedewald's triglyceride-dependent bias widened monotonically — from +0.068 mmol/L when triglycerides were below 1.7 to −1.10 mmol/L at triglycerides above 4.5 — whereas Martin-Hopkins remained near-unbiased across the same bands. This matters because the bias is systematic and directional: Friedewald over-calls FH in simple hypercholesterolaemia and, more dangerously, under-calls it in mixed dyslipidaemia — the precise clinical setting where diagnostic accuracy matters most. TUDOR is insulated from this fragility because it carries triglycerides as an explicit term and reconstructs the untreated phenotype rather than thresholding a single calculated value; the LDL equation feeds one of eleven inputs instead of being the decision. Re-deriving the Welsh LDL-C under each equation and re-running TUDOR end-to-end, discrimination was effectively unchanged (AUC range 0.004).</w:t>
      </w:r>
    </w:p>
    <w:p/>
    <w:p>
      <w:r>
        <w:rPr>
          <w:sz w:val="22"/>
        </w:rPr>
        <w:t>Second, implementation outside Wales requires local probability calibration, and the Design C analysis provides the template for doing so honestly. Transport updated only the intercept and slope to align the score-to-probability mapping to local prevalence, while discrimination — the AUC of the linear predictor — is the quantity that must be checked against local outcomes. AUC and calibration answer different questions: AUC asks whether TUDOR ranks patients correctly (who is more likely to have FH); calibration asks whether the absolute probabilities are numerically accurate. A model can discriminate well and still need recalibration before clinical use, and we recommend both checks for any new deployment population.</w:t>
      </w:r>
    </w:p>
    <w:p/>
    <w:p>
      <w:r>
        <w:rPr>
          <w:b/>
          <w:color w:val="1F3A5F"/>
          <w:sz w:val="24"/>
        </w:rPr>
        <w:t>4.6 Limitations</w:t>
      </w:r>
    </w:p>
    <w:p/>
    <w:p>
      <w:r>
        <w:rPr>
          <w:sz w:val="22"/>
        </w:rPr>
        <w:t>TUDOR was developed in a single specialist service in Wales, and prospective validation in other lipid clinics, health systems, and variant spectra is required before broad deployment. UK Biobank participants were aged 40–69 at recruitment, so performance in children and young adults — in whom early detection yields the greatest lifetime benefit — was not tested. The full-population Design D AUC of 0.631 confirms that TUDOR is a specialist-clinic instrument, not a population-screening one, which is its intended scope.</w:t>
      </w:r>
    </w:p>
    <w:p/>
    <w:p>
      <w:r>
        <w:rPr>
          <w:sz w:val="22"/>
        </w:rPr>
        <w:t>The pre-treatment reconstruction is imprecise at the individual level (r ≈ 0.32 against ground truth; MAE ≈ 1.2 mmol/L). Even with a full machine-learning approach (33 features; random forest; held-out validation), the correlation with true pre-treatment LDL-C reached only r = 0.30 (R² = 0.04, MAE 1.13). This biological ceiling — driven by inter-individual variability in statin pharmacokinetics, pharmacogenomics, and adherence — cannot be overcome by modelling and should temper any claim of precise individual-level LDL-C recovery in any FH prediction model.</w:t>
      </w:r>
    </w:p>
    <w:p/>
    <w:p>
      <w:r>
        <w:rPr>
          <w:sz w:val="22"/>
        </w:rPr>
        <w:t>The eDLCN comparison is structurally generous to TUDOR. In population data, eDLCN cannot use tendon xanthomata, corneal arcus, or family history — features that score up to 14 points. TUDOR was designed for this setting, but the comparison should not be read as a head-to-head of two tools at full capacity.</w:t>
      </w:r>
    </w:p>
    <w:p/>
    <w:p>
      <w:r>
        <w:rPr>
          <w:sz w:val="22"/>
        </w:rPr>
        <w:t>The pre-treatment reconstruction depends, in UK Biobank, on a clinician-graded adherence category (poor 0.5×, moderate 0.75×, good 1.0×, moderate as the conservative default), and in routine practice that grade is imperfectly known. Misclassifying adherence would bias the reconstructed untreated LDL-C — over-estimating it in a patient assumed adherent who is not, and under-estimating it in the reverse — but the error is directional and safe-failing: over-estimation raises the score and triggers clinical review, not false reassurance.</w:t>
      </w:r>
    </w:p>
    <w:p/>
    <w:p>
      <w:r>
        <w:rPr>
          <w:sz w:val="22"/>
        </w:rPr>
        <w:t>The NMR and metabolic-era analyses are observational and support biological coherence, not mechanistic proof; the registry-level T2DM interaction is underpowered and is reported as hypothesis-generating. Finally, while TUDOR exceeded every comparator across all 25 pre-specified subgroups, some subgroup comparisons (particularly in the smaller Welsh strata) have wide confidence intervals, and individual subgroup results should be interpreted as supportive evidence for the overall finding rather than as independently powered conclusions.</w:t>
      </w:r>
    </w:p>
    <w:p/>
    <w:p>
      <w:r>
        <w:rPr>
          <w:b/>
          <w:color w:val="1F3A5F"/>
          <w:sz w:val="24"/>
        </w:rPr>
        <w:t>4.8 Future directions</w:t>
      </w:r>
    </w:p>
    <w:p/>
    <w:p>
      <w:r>
        <w:rPr>
          <w:sz w:val="22"/>
        </w:rPr>
        <w:t>Several extensions follow naturally and are not claimed here. A polygenic LDL-C score could be added as a twelfth feature to refine the boundary between monogenic and polygenic hypercholesterolaemia; the treatment-adjusted phenotype is particularly suited to the statin-intolerant patient, in whom intermittent therapy makes the treated LDL-C especially unreliable; and the interpretable coefficient vector can be embedded in EHR clinical-decision-support systems, laboratory middleware that reports a TUDOR probability alongside the lipid panel, or mobile-health calculators for clinic use. The cumulative LDL-years variable, though not useful for diagnosis, deserves formal evaluation as the primary predictor in a companion ASCVD event-risk model for confirmed FH carriers, where its age direction aligns with the prognostic estimand. Prospective validation in non-UK lipid services, paediatric populations, and diverse ethnic groups is the critical next step.</w:t>
      </w:r>
    </w:p>
    <w:p/>
    <w:p>
      <w:r>
        <w:rPr>
          <w:b/>
          <w:color w:val="1F3A5F"/>
          <w:sz w:val="24"/>
        </w:rPr>
        <w:t>4.9 Conclusions</w:t>
      </w:r>
    </w:p>
    <w:p/>
    <w:p>
      <w:r>
        <w:rPr>
          <w:sz w:val="22"/>
        </w:rPr>
        <w:t>TUDOR is a dual-externally-validated, interpretable diagnostic algorithm for familial hypercholesterolaemia that recovers the diagnostic signal intensive treatment masks. Validated in over 4,500 genetically confirmed carriers across a specialist registry and a population biobank, it improved discrimination over every legacy criterion, transported across health systems under disciplined recalibration, and is deployable as a clinic-ready, inspectable score. It is a triage aid for prioritising confirmatory genetic testing — not a replacement for that test.</w:t>
      </w:r>
    </w:p>
    <w:p/>
    <w:p/>
    <w:p>
      <w:r>
        <w:rPr>
          <w:b/>
          <w:color w:val="1F3A5F"/>
          <w:sz w:val="28"/>
        </w:rPr>
        <w:t>Sources of Funding</w:t>
      </w:r>
    </w:p>
    <w:p/>
    <w:p>
      <w:r>
        <w:rPr>
          <w:sz w:val="22"/>
        </w:rPr>
        <w:t>This work received no specific external funding.</w:t>
      </w:r>
    </w:p>
    <w:p/>
    <w:p>
      <w:r>
        <w:rPr>
          <w:b/>
          <w:color w:val="1F3A5F"/>
          <w:sz w:val="28"/>
        </w:rPr>
        <w:t>Disclosures</w:t>
      </w:r>
    </w:p>
    <w:p/>
    <w:p>
      <w:r>
        <w:rPr>
          <w:sz w:val="22"/>
        </w:rPr>
        <w:t>The authors declare no relevant conflicts of interest.</w:t>
      </w:r>
    </w:p>
    <w:p/>
    <w:p>
      <w:r>
        <w:rPr>
          <w:b/>
          <w:color w:val="1F3A5F"/>
          <w:sz w:val="28"/>
        </w:rPr>
        <w:t>References</w:t>
      </w:r>
    </w:p>
    <w:p/>
    <w:p>
      <w:r>
        <w:rPr>
          <w:sz w:val="22"/>
        </w:rPr>
        <w:t>1. Akioyamen LE, et al. *BMJ Open* 2017;7:e016461.</w:t>
      </w:r>
    </w:p>
    <w:p>
      <w:r>
        <w:rPr>
          <w:sz w:val="22"/>
        </w:rPr>
        <w:t>2. Beheshti SO, et al. *JACC* 2020;75:2553–2566.</w:t>
      </w:r>
    </w:p>
    <w:p>
      <w:r>
        <w:rPr>
          <w:sz w:val="22"/>
        </w:rPr>
        <w:t>3. Defesche JC, et al. *Nat Rev Dis Primers* 2017;3:17093.</w:t>
      </w:r>
    </w:p>
    <w:p>
      <w:r>
        <w:rPr>
          <w:sz w:val="22"/>
        </w:rPr>
        <w:t>4. Vallejo-Vaz AJ, et al. *Lancet* 2021;398:1713–1725.</w:t>
      </w:r>
    </w:p>
    <w:p>
      <w:r>
        <w:rPr>
          <w:sz w:val="22"/>
        </w:rPr>
        <w:t>5. Louter L, et al. *PLOS Global Public Health* 2023;3:e0001795.</w:t>
      </w:r>
    </w:p>
    <w:p>
      <w:r>
        <w:rPr>
          <w:sz w:val="22"/>
        </w:rPr>
        <w:t>6. Cascade testing. *Circ Genomic Precis Med* 2020. DOI:10.1161/CIRCGEN.119.002723.</w:t>
      </w:r>
    </w:p>
    <w:p>
      <w:r>
        <w:rPr>
          <w:sz w:val="22"/>
        </w:rPr>
        <w:t>7. JACC Advances 2024 (3.55 cases/index).</w:t>
      </w:r>
    </w:p>
    <w:p>
      <w:r>
        <w:rPr>
          <w:sz w:val="22"/>
        </w:rPr>
        <w:t>8. Luirink IK, et al. *NEJM* 2019;381:1547–1556.</w:t>
      </w:r>
    </w:p>
    <w:p>
      <w:r>
        <w:rPr>
          <w:sz w:val="22"/>
        </w:rPr>
        <w:t>9. Simon Broome Register Group. *BMJ* 1991;303:893.</w:t>
      </w:r>
    </w:p>
    <w:p>
      <w:r>
        <w:rPr>
          <w:sz w:val="22"/>
        </w:rPr>
        <w:t>10. Williams RR, et al. *Am J Cardiol* 1993;72:171.</w:t>
      </w:r>
    </w:p>
    <w:p>
      <w:r>
        <w:rPr>
          <w:sz w:val="22"/>
        </w:rPr>
        <w:t>11. Watts GF, et al. *Int J Cardiol* 2014;171:309–325.</w:t>
      </w:r>
    </w:p>
    <w:p>
      <w:r>
        <w:rPr>
          <w:sz w:val="22"/>
        </w:rPr>
        <w:t>12. Mata N, et al. *Lipids Health Dis* 2011;10:94 (SAFEHEART 84%).</w:t>
      </w:r>
    </w:p>
    <w:p>
      <w:r>
        <w:rPr>
          <w:sz w:val="22"/>
        </w:rPr>
        <w:t>13. Neil A, et al. *Eur Heart J* 2008;29:2625 (UK Simon Broome 86%).</w:t>
      </w:r>
    </w:p>
    <w:p>
      <w:r>
        <w:rPr>
          <w:sz w:val="22"/>
        </w:rPr>
        <w:t>14. Duell PB, et al. *Circ Cardiovasc Genet* 2016;9:240 (CASCADE-FH ~85%).</w:t>
      </w:r>
    </w:p>
    <w:p>
      <w:r>
        <w:rPr>
          <w:sz w:val="22"/>
        </w:rPr>
        <w:t>15. SAFEHEART xanthomata. *Rev Esp Cardiol* 2024.</w:t>
      </w:r>
    </w:p>
    <w:p>
      <w:r>
        <w:rPr>
          <w:sz w:val="22"/>
        </w:rPr>
        <w:t>16. DLCN misses 74%. *Atherosclerosis* 2024.</w:t>
      </w:r>
    </w:p>
    <w:p>
      <w:r>
        <w:rPr>
          <w:sz w:val="22"/>
        </w:rPr>
        <w:t>17. EAS FHSC obesity. *Eur Heart J* 2025;46:1127.</w:t>
      </w:r>
    </w:p>
    <w:p>
      <w:r>
        <w:rPr>
          <w:sz w:val="22"/>
        </w:rPr>
        <w:t>18. Elshorbagy AK, et al. *Lancet Diabetes Endocrinol* 2024;12:811–823.</w:t>
      </w:r>
    </w:p>
    <w:p>
      <w:r>
        <w:rPr>
          <w:sz w:val="22"/>
        </w:rPr>
        <w:t>19. Collins GS, et al. *BMJ* 2024;385:e078378 (TRIPOD-AI).</w:t>
      </w:r>
    </w:p>
    <w:p>
      <w:r>
        <w:rPr>
          <w:sz w:val="22"/>
        </w:rPr>
        <w:t>20. von Elm E, et al. *Lancet* 2007;370:1453 (STROBE).</w:t>
      </w:r>
    </w:p>
    <w:p>
      <w:r>
        <w:rPr>
          <w:sz w:val="22"/>
        </w:rPr>
        <w:t>21. Sudlow C, et al. *PLoS Med* 2015;12:e1001779.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