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Material</w:t>
      </w:r>
    </w:p>
    <w:p>
      <w:r>
        <w:rPr>
          <w:b/>
          <w:i w:val="0"/>
        </w:rPr>
        <w:t>TUDOR, an ascertainment-aware model for LDLR genetic-testing triage in specialist lipid clinics: development, validation, and UK Biobank transport</w:t>
      </w:r>
    </w:p>
    <w:p>
      <w:r>
        <w:rPr>
          <w:b w:val="0"/>
          <w:i/>
        </w:rPr>
        <w:t>Manuscript JCLINLIPID-D-25-01142R2 — Journal of Clinical Lipidology. Supplementary figure legends.</w:t>
      </w:r>
    </w:p>
    <w:p>
      <w:r>
        <w:rPr>
          <w:b w:val="0"/>
          <w:i w:val="0"/>
          <w:sz w:val="20"/>
        </w:rPr>
        <w:t>Note on numbering and status. These figures were part of an earlier reviewer-seen version and were condensed from the main text during revision; they are reinstated here as online Supplementary figures. Renumber (S1, S2, …) to continue the sequence of the existing Supplement. Each figure below carries a status flag: READY = consistent with the accepted analyses; REGENERATE = the current image must be re-rendered on the locked cohorts before upload. Aggregate outputs only; no participant-level UK Biobank or NHS Wales data are shown.</w:t>
      </w:r>
    </w:p>
    <w:p>
      <w:pPr>
        <w:pStyle w:val="Heading2"/>
      </w:pPr>
      <w:r>
        <w:t>Supplementary Figure S1. Effect of the LDL-C estimating equation on threshold-based recognition of treated carriers</w:t>
      </w:r>
    </w:p>
    <w:p>
      <w:r>
        <w:rPr>
          <w:b w:val="0"/>
          <w:i w:val="0"/>
        </w:rPr>
        <w:t>Effect of the LDL-C estimating equation on threshold-based recognition of treated LDLR carriers (UK Biobank LDLR carriers, n = 3,093). (a) Lin concordance correlation coefficients for Friedewald, Sampson-NIH and Martin-Hopkins LDL-C against the directly measured assay. (b) Mean bias (calculated minus direct LDL-C) by triglyceride band, showing progressively greater Friedewald under-estimation as triglycerides rise. (c) Sensitivity for a true LDL-C ≥ 4.9 mmol/L at the referral threshold, by triglyceride band and equation. (d) Discordance direction by dyslipidaemia pattern, and TUDOR AUC by equation (range 0.004 across equations). Because TUDOR reconstructs untreated LDL-C and includes triglycerides as an explicit feature, the equation choice contributes one of eleven inputs rather than determining the decision.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436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61__Figure_S3_LDL_equation_impa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436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90000"/>
          <w:sz w:val="16"/>
        </w:rPr>
        <w:t>LOW-RESOLUTION PREVIEW — replace with your 300+ dpi original (Figure_S3_LDL_equation_impact.png) before upload.</w:t>
      </w:r>
    </w:p>
    <w:p>
      <w:r>
        <w:rPr>
          <w:b w:val="0"/>
          <w:i/>
          <w:color w:val="1A7A3A"/>
          <w:sz w:val="18"/>
        </w:rPr>
        <w:t>Status: READY. The uploaded file was named “Figure_S3” — confirm whether this is already your existing Supplementary Figure S3; if so, no action is needed.</w:t>
      </w:r>
    </w:p>
    <w:p>
      <w:pPr>
        <w:pStyle w:val="Heading2"/>
      </w:pPr>
      <w:r>
        <w:t>Supplementary Figure S2. Receptor-selective lipoprotein signature of LDLR carriers on NMR metabolomics</w:t>
      </w:r>
    </w:p>
    <w:p>
      <w:r>
        <w:rPr>
          <w:b w:val="0"/>
          <w:i w:val="0"/>
        </w:rPr>
        <w:t>Receptor-selective lipoprotein signature of LDLR carriers on NMR metabolomics (UK Biobank, n = 486,866). At matched LDL-C, LDLR carriers show lower triglycerides with unchanged VLDL-C and HDL-C, consistent with a selective LDL-receptor-clearance lesion; standardised mean differences are shown across matched comparisons and across LDL-C bands. This analysis is reported in full in the companion manuscript [insert companion citation] and is reproduced here to document the biological basis of TUDOR’s triglyceride-based (“Triglyceride Shield”) feature.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7042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60__NM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7042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90000"/>
          <w:sz w:val="16"/>
        </w:rPr>
        <w:t>LOW-RESOLUTION PREVIEW — replace with your 300+ dpi original (NMR.png) before upload.</w:t>
      </w:r>
    </w:p>
    <w:p>
      <w:r>
        <w:rPr>
          <w:b w:val="0"/>
          <w:i/>
          <w:color w:val="1A7A3A"/>
          <w:sz w:val="18"/>
        </w:rPr>
        <w:t>Status: READY, overlap-managed. Cross-cite the companion manuscript in this legend and reciprocally in that paper; submit only one NMR file (NMR.png or fig7_nmr_smd.png are duplicates).</w:t>
      </w:r>
    </w:p>
    <w:p>
      <w:pPr>
        <w:pStyle w:val="Heading2"/>
      </w:pPr>
      <w:r>
        <w:t>Supplementary Figure S3. Subgroup discrimination across prespecified clinical subgroups</w:t>
      </w:r>
    </w:p>
    <w:p>
      <w:r>
        <w:rPr>
          <w:b w:val="0"/>
          <w:i w:val="0"/>
        </w:rPr>
        <w:t>Subgroup discrimination (AUC, DeLong 95% CI) for TUDOR versus comparators (eDLCN, FAMCAT, Simon Broome, MEDPED) across prespecified subgroups — sex, age band, statin status, LDL-C band, triglyceride band and type 2 diabetes — in the All-Wales registry [insert n; carriers] and the UK Biobank lipid-clinic-eligible cohort [insert n; carriers]. TUDOR coefficients frozen (locked model scored, not re-estimated); dashed line = chance.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47183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66__Figure9_subgroup_for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4718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90000"/>
          <w:sz w:val="16"/>
        </w:rPr>
        <w:t>LOW-RESOLUTION PREVIEW — replace with your 300+ dpi original (Figure9_subgroup_forest.png) before upload.</w:t>
      </w:r>
    </w:p>
    <w:p>
      <w:r>
        <w:rPr>
          <w:b w:val="0"/>
          <w:i/>
          <w:color w:val="B00000"/>
          <w:sz w:val="18"/>
        </w:rPr>
        <w:t>Status: REGENERATE before upload. The current image shows All-Wales N=5,613 and UK Biobank N=58,021, which do not match the accepted paper’s cohorts (n = 1,274 / 4,570 / 49,427 / 501,936). Re-render on the locked cohorts.</w:t>
      </w:r>
    </w:p>
    <w:p>
      <w:pPr>
        <w:pStyle w:val="Heading2"/>
      </w:pPr>
      <w:r>
        <w:t>Supplementary Figure S4. Receiver-operating-characteristic curves across models and cohorts</w:t>
      </w:r>
    </w:p>
    <w:p>
      <w:r>
        <w:rPr>
          <w:b w:val="0"/>
          <w:i w:val="0"/>
        </w:rPr>
        <w:t>Receiver-operating-characteristic curves for discrimination of LDLR variant carriers by TUDOR and comparators (eDLCN, FAMCAT, Simon Broome, MEDPED) in the All-Wales registry [insert n; carriers] and the UK Biobank lipid-clinic-eligible cohort [insert n; carriers], with DeLong 95% confidence intervals. TUDOR (bold) scored with frozen coefficients; FAMCAT input-limited per cohort.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655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64__Figure_ROC_5models_2cohor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655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90000"/>
          <w:sz w:val="16"/>
        </w:rPr>
        <w:t>LOW-RESOLUTION PREVIEW — replace with your 300+ dpi original (Figure_ROC_5models_2cohorts.png) before upload.</w:t>
      </w:r>
    </w:p>
    <w:p>
      <w:r>
        <w:rPr>
          <w:b w:val="0"/>
          <w:i/>
          <w:color w:val="B00000"/>
          <w:sz w:val="18"/>
        </w:rPr>
        <w:t>Status: REGENERATE before upload (same cohort mismatch as S3).</w:t>
      </w:r>
    </w:p>
    <w:p>
      <w:pPr>
        <w:pStyle w:val="Heading2"/>
      </w:pPr>
      <w:r>
        <w:t>Supplementary Figure S5. Distribution of model scores by carrier status (optional)</w:t>
      </w:r>
    </w:p>
    <w:p>
      <w:r>
        <w:rPr>
          <w:b w:val="0"/>
          <w:i w:val="0"/>
        </w:rPr>
        <w:t>Distribution of standardised model scores among LDLR variant carriers versus non-carriers, by model and cohort (All-Wales registry; UK Biobank lipid-clinic-eligible). Vertical lines mark group medians; d = Cohen’s d separation. TUDOR shows the largest carrier/non-carrier separation.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46236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65__Figure10_separation_dens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4623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90000"/>
          <w:sz w:val="16"/>
        </w:rPr>
        <w:t>LOW-RESOLUTION PREVIEW — replace with your 300+ dpi original (Figure10_separation_density.png) before upload.</w:t>
      </w:r>
    </w:p>
    <w:p>
      <w:r>
        <w:rPr>
          <w:b w:val="0"/>
          <w:i/>
          <w:color w:val="B00000"/>
          <w:sz w:val="18"/>
        </w:rPr>
        <w:t>Status: OPTIONAL (partly redundant with S4) and REGENERATE on the locked cohorts if retained.</w:t>
      </w:r>
    </w:p>
    <w:p>
      <w:pPr>
        <w:pStyle w:val="Heading2"/>
      </w:pPr>
      <w:r>
        <w:t>Graphical Abstract (recommended) — Molecular basis of LDLR-mediated FH and treatment masking</w:t>
      </w:r>
    </w:p>
    <w:p>
      <w:r>
        <w:rPr>
          <w:b w:val="0"/>
          <w:i w:val="0"/>
        </w:rPr>
        <w:t>Recommended as the manuscript’s Graphical Abstract rather than a Supplementary figure. If retained as a Supplementary figure instead, use: “Supplementary Figure S6. Molecular basis of LDLR-mediated familial hypercholesterolaemia and treatment masking. Pathogenic LDLR variants impair hepatic LDL-particle clearance through class-specific mechanisms (Classes 2–5); lipid-lowering therapy amplifies residual receptor activity and lowers measured LDL-C, obscuring the untreated phenotype assumed by conventional criteria. TUDOR reconstructs the pre-treatment phenotype from routine variables. Conceptual illustration; no participant-level data.”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48784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59__FH_PATHOGENES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4878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90000"/>
          <w:sz w:val="16"/>
        </w:rPr>
        <w:t>LOW-RESOLUTION PREVIEW — replace with your 300+ dpi original (FH_PATHOGENESIS.png) before upload.</w:t>
      </w:r>
    </w:p>
    <w:p>
      <w:r>
        <w:rPr>
          <w:b w:val="0"/>
          <w:i/>
          <w:color w:val="1A7A3A"/>
          <w:sz w:val="18"/>
        </w:rPr>
        <w:t>Status: READY (conceptual, no data).</w:t>
      </w:r>
    </w:p>
    <w:p>
      <w:r>
        <w:br w:type="page"/>
      </w:r>
    </w:p>
    <w:p>
      <w:pPr>
        <w:pStyle w:val="Heading2"/>
      </w:pPr>
      <w:r>
        <w:t>Appendix A — Main-text callouts to insert (each Supplementary figure must be cited once)</w:t>
      </w:r>
    </w:p>
    <w:p>
      <w:r>
        <w:rPr>
          <w:b w:val="0"/>
          <w:i w:val="0"/>
          <w:sz w:val="20"/>
        </w:rPr>
        <w:t>The accepted main text currently contains no numbered Supplementary-figure callouts; insert one sentence per figure (clear with the editor, as this lightly edits the accepted text):</w:t>
      </w:r>
    </w:p>
    <w:p>
      <w:pPr>
        <w:pStyle w:val="ListBullet"/>
      </w:pPr>
      <w:r>
        <w:rPr>
          <w:sz w:val="20"/>
        </w:rPr>
        <w:t>Methods (untreated-LDL reconstruction): “The choice of LDL-C estimating equation had minimal influence on TUDOR (Supplementary Figure S1).”</w:t>
      </w:r>
    </w:p>
    <w:p>
      <w:pPr>
        <w:pStyle w:val="ListBullet"/>
      </w:pPr>
      <w:r>
        <w:rPr>
          <w:sz w:val="20"/>
        </w:rPr>
        <w:t>Discussion (Triglyceride Shield): “TUDOR’s triglyceride-based feature reflects a receptor-selective lipoprotein signature demonstrated in our companion analysis [cite] and summarised in Supplementary Figure S2.”</w:t>
      </w:r>
    </w:p>
    <w:p>
      <w:pPr>
        <w:pStyle w:val="ListBullet"/>
      </w:pPr>
      <w:r>
        <w:rPr>
          <w:sz w:val="20"/>
        </w:rPr>
        <w:t>Results (subgroups): “Discrimination across prespecified subgroups is shown in Supplementary Figure S3.”</w:t>
      </w:r>
    </w:p>
    <w:p>
      <w:pPr>
        <w:pStyle w:val="ListBullet"/>
      </w:pPr>
      <w:r>
        <w:rPr>
          <w:sz w:val="20"/>
        </w:rPr>
        <w:t>Results (head-to-head): “Receiver-operating-characteristic curves for all models in both cohorts are provided in Supplementary Figure S4 (score distributions, Supplementary Figure S5).”</w:t>
      </w:r>
    </w:p>
    <w:p>
      <w:pPr>
        <w:pStyle w:val="Heading2"/>
      </w:pPr>
      <w:r>
        <w:t>Appendix B — Before upload</w:t>
      </w:r>
    </w:p>
    <w:p>
      <w:pPr>
        <w:pStyle w:val="ListBullet"/>
      </w:pPr>
      <w:r>
        <w:rPr>
          <w:sz w:val="20"/>
        </w:rPr>
        <w:t>Renumber S1–S5 to continue the existing Supplement; confirm S1 is not already your current S3.</w:t>
      </w:r>
    </w:p>
    <w:p>
      <w:pPr>
        <w:pStyle w:val="ListBullet"/>
      </w:pPr>
      <w:r>
        <w:rPr>
          <w:sz w:val="20"/>
        </w:rPr>
        <w:t>Regenerate Supplementary Figures S3–S5 on the locked cohorts (or state the alternative cohort definitions explicitly).</w:t>
      </w:r>
    </w:p>
    <w:p>
      <w:pPr>
        <w:pStyle w:val="ListBullet"/>
      </w:pPr>
      <w:r>
        <w:rPr>
          <w:sz w:val="20"/>
        </w:rPr>
        <w:t>Submit one NMR file only; add reciprocal cross-citation between this paper and the companion manuscript.</w:t>
      </w:r>
    </w:p>
    <w:p>
      <w:pPr>
        <w:pStyle w:val="ListBullet"/>
      </w:pPr>
      <w:r>
        <w:rPr>
          <w:sz w:val="20"/>
        </w:rPr>
        <w:t>Decide FH-pathogenesis = Graphical Abstract (preferred) vs Supplementary Figure S6.</w:t>
      </w:r>
    </w:p>
    <w:p>
      <w:pPr>
        <w:pStyle w:val="ListBullet"/>
      </w:pPr>
      <w:r>
        <w:rPr>
          <w:sz w:val="20"/>
        </w:rPr>
        <w:t>Replace every low-resolution preview with the 300+ dpi original.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