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0AB17" w14:textId="77777777" w:rsidR="0069120F" w:rsidRDefault="00E1431E">
      <w:pPr>
        <w:pStyle w:val="Title"/>
      </w:pPr>
      <w:r>
        <w:t>DJ Basin Investment Model</w:t>
      </w:r>
    </w:p>
    <w:p w14:paraId="5B7078D5" w14:textId="77777777" w:rsidR="0069120F" w:rsidRDefault="00E1431E">
      <w:pPr>
        <w:jc w:val="center"/>
      </w:pPr>
      <w:r>
        <w:rPr>
          <w:i/>
          <w:iCs/>
          <w:color w:val="666666"/>
          <w:sz w:val="28"/>
          <w:szCs w:val="28"/>
        </w:rPr>
        <w:t>Comprehensive Code Review &amp; Financial Analysis</w:t>
      </w:r>
    </w:p>
    <w:p w14:paraId="04D8574D" w14:textId="77777777" w:rsidR="0069120F" w:rsidRDefault="00E1431E">
      <w:pPr>
        <w:spacing w:after="400"/>
        <w:jc w:val="center"/>
      </w:pPr>
      <w:r>
        <w:rPr>
          <w:color w:val="666666"/>
          <w:sz w:val="24"/>
          <w:szCs w:val="24"/>
        </w:rPr>
        <w:t>For Fortitude Re $195MM Co-Investment Opportunity</w:t>
      </w:r>
    </w:p>
    <w:p w14:paraId="7A99E93B" w14:textId="77777777" w:rsidR="0069120F" w:rsidRDefault="00E1431E">
      <w:pPr>
        <w:pStyle w:val="Heading1"/>
      </w:pPr>
      <w:r>
        <w:t>Executive Summary</w:t>
      </w:r>
    </w:p>
    <w:p w14:paraId="7D95687A" w14:textId="77777777" w:rsidR="0069120F" w:rsidRDefault="00E1431E">
      <w:r>
        <w:t>This document provides a comprehensive line-by-line review of the DJ Basin investment model code, verifying mathematical accuracy, economic reasonability, and alignment with the investment deck. The model is designed to evaluate a $195MM co-investment in o</w:t>
      </w:r>
      <w:r>
        <w:t>il and gas mineral rights in Colorado's DJ Basin.</w:t>
      </w:r>
    </w:p>
    <w:p w14:paraId="67D60DD3" w14:textId="77777777" w:rsidR="0069120F" w:rsidRDefault="00E1431E">
      <w:pPr>
        <w:pStyle w:val="Heading2"/>
      </w:pPr>
      <w:r>
        <w:t>Key Findings</w:t>
      </w:r>
    </w:p>
    <w:p w14:paraId="19DD3B16" w14:textId="77777777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VERIFIED: </w:t>
      </w:r>
      <w:r>
        <w:t>Capital structure mathematics are correct ($905MM - $178MM + $5MM - $22MM = $710MM total equity)</w:t>
      </w:r>
    </w:p>
    <w:p w14:paraId="57306FE4" w14:textId="77777777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VERIFIED: </w:t>
      </w:r>
      <w:r>
        <w:t>Co-invest share calculation correct at 27.5% ($195MM / $710MM)</w:t>
      </w:r>
    </w:p>
    <w:p w14:paraId="784160CE" w14:textId="77777777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VERIFIED: </w:t>
      </w:r>
      <w:r>
        <w:t>NAV</w:t>
      </w:r>
      <w:r>
        <w:t xml:space="preserve"> breakdown totals $1,052MM matching the deck</w:t>
      </w:r>
    </w:p>
    <w:p w14:paraId="7F2BBD03" w14:textId="77777777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VERIFIED: </w:t>
      </w:r>
      <w:r>
        <w:t>Commodity mix (Oil 32%, Gas 40%, NGL 28%) matches deck exactly</w:t>
      </w:r>
    </w:p>
    <w:p w14:paraId="4BFF17CC" w14:textId="77777777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VERIFIED: </w:t>
      </w:r>
      <w:r>
        <w:t>Breakeven at ~$38/bbl matches deck claim</w:t>
      </w:r>
    </w:p>
    <w:p w14:paraId="1440C2C1" w14:textId="6B824AB5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  <w:color w:val="C53030"/>
        </w:rPr>
        <w:t xml:space="preserve">NOTE: </w:t>
      </w:r>
      <w:r>
        <w:t xml:space="preserve">IRR shows </w:t>
      </w:r>
      <w:r w:rsidR="00877991">
        <w:t>17.0</w:t>
      </w:r>
      <w:r>
        <w:t xml:space="preserve">% vs deck's 17.6% </w:t>
      </w:r>
    </w:p>
    <w:p w14:paraId="137C3132" w14:textId="77777777" w:rsidR="0069120F" w:rsidRDefault="00E1431E">
      <w:r>
        <w:br w:type="page"/>
      </w:r>
    </w:p>
    <w:p w14:paraId="1E77FECB" w14:textId="77777777" w:rsidR="0069120F" w:rsidRDefault="00E1431E">
      <w:pPr>
        <w:pStyle w:val="Heading1"/>
      </w:pPr>
      <w:r>
        <w:lastRenderedPageBreak/>
        <w:t>Section 1: Configuration File (config.py)</w:t>
      </w:r>
    </w:p>
    <w:p w14:paraId="7C766AFD" w14:textId="77777777" w:rsidR="0069120F" w:rsidRDefault="00E1431E">
      <w:r>
        <w:t>The configuration file establishes all the constants that drive the financial model. Understanding these parameters is essential for interpreting the model's outputs.</w:t>
      </w:r>
    </w:p>
    <w:p w14:paraId="65F3636B" w14:textId="77777777" w:rsidR="0069120F" w:rsidRDefault="00E1431E">
      <w:pPr>
        <w:pStyle w:val="Heading2"/>
      </w:pPr>
      <w:r>
        <w:t>1.1 Capital Structure (Lines 17-23)</w:t>
      </w:r>
    </w:p>
    <w:p w14:paraId="4539F549" w14:textId="77777777" w:rsidR="0069120F" w:rsidRDefault="00E1431E">
      <w:pPr>
        <w:pStyle w:val="Code"/>
      </w:pPr>
      <w:r>
        <w:t>PURCHASE</w:t>
      </w:r>
      <w:r>
        <w:t>_PRICE_MM = 905.0    # Total acquisition cost</w:t>
      </w:r>
    </w:p>
    <w:p w14:paraId="5B83BD32" w14:textId="77777777" w:rsidR="0069120F" w:rsidRDefault="00E1431E">
      <w:pPr>
        <w:pStyle w:val="Code"/>
      </w:pPr>
      <w:r>
        <w:t>DEBT_MM = 178.0              # Leverage amount</w:t>
      </w:r>
    </w:p>
    <w:p w14:paraId="67FE1289" w14:textId="77777777" w:rsidR="0069120F" w:rsidRDefault="00E1431E">
      <w:pPr>
        <w:pStyle w:val="Code"/>
      </w:pPr>
      <w:r>
        <w:t>CLOSING_COSTS_MM = 5.0       # Transaction fees</w:t>
      </w:r>
    </w:p>
    <w:p w14:paraId="1919F6C7" w14:textId="77777777" w:rsidR="0069120F" w:rsidRDefault="00E1431E">
      <w:pPr>
        <w:pStyle w:val="Code"/>
      </w:pPr>
      <w:r>
        <w:t>POST_EFF_DATE_CF_MM = 22.0   # Cash flows before close</w:t>
      </w:r>
    </w:p>
    <w:p w14:paraId="141CDE14" w14:textId="77777777" w:rsidR="0069120F" w:rsidRDefault="00E1431E">
      <w:pPr>
        <w:pStyle w:val="Code"/>
      </w:pPr>
      <w:r>
        <w:t>TOTAL_EQUITY_MM = 710.0      # Calculated equity need</w:t>
      </w:r>
    </w:p>
    <w:p w14:paraId="32805811" w14:textId="77777777" w:rsidR="0069120F" w:rsidRDefault="00E1431E">
      <w:pPr>
        <w:pStyle w:val="Heading3"/>
      </w:pPr>
      <w:r>
        <w:t>Financ</w:t>
      </w:r>
      <w:r>
        <w:t>ial Explanation</w:t>
      </w:r>
    </w:p>
    <w:p w14:paraId="00BF63DD" w14:textId="77777777" w:rsidR="0069120F" w:rsidRDefault="00E1431E">
      <w:r>
        <w:rPr>
          <w:b/>
          <w:bCs/>
        </w:rPr>
        <w:t xml:space="preserve">Purchase Price ($905MM): </w:t>
      </w:r>
      <w:r>
        <w:t>The total amount being paid for the mineral rights asset. This represents a 4.6x multiple of next-twelve-months EBITDA, which is attractive compared to public comparables trading at 8-11x.</w:t>
      </w:r>
    </w:p>
    <w:p w14:paraId="4966C70A" w14:textId="77777777" w:rsidR="0069120F" w:rsidRDefault="00E1431E">
      <w:r>
        <w:rPr>
          <w:b/>
          <w:bCs/>
        </w:rPr>
        <w:t xml:space="preserve">Debt ($178MM): </w:t>
      </w:r>
      <w:r>
        <w:t>Leverage us</w:t>
      </w:r>
      <w:r>
        <w:t>ed to finance part of the acquisition. The debt reduces the equity required from investors. Using debt to acquire cash-flowing assets can enhance equity returns through 'financial leverage.'</w:t>
      </w:r>
    </w:p>
    <w:p w14:paraId="06EE957E" w14:textId="77777777" w:rsidR="0069120F" w:rsidRDefault="00E1431E">
      <w:r>
        <w:rPr>
          <w:b/>
          <w:bCs/>
        </w:rPr>
        <w:t xml:space="preserve">Closing Costs ($5MM): </w:t>
      </w:r>
      <w:r>
        <w:t xml:space="preserve">Legal, advisory, and transaction fees that </w:t>
      </w:r>
      <w:r>
        <w:t>increase the total capital requirement.</w:t>
      </w:r>
    </w:p>
    <w:p w14:paraId="09E9ACF6" w14:textId="77777777" w:rsidR="0069120F" w:rsidRDefault="00E1431E">
      <w:r>
        <w:rPr>
          <w:b/>
          <w:bCs/>
        </w:rPr>
        <w:t xml:space="preserve">Post-Effective Date Cash Flow ($22MM): </w:t>
      </w:r>
      <w:r>
        <w:t>Cash flows generated between the economic effective date and closing date that belong to the seller, reducing the equity required.</w:t>
      </w:r>
    </w:p>
    <w:p w14:paraId="649D16F5" w14:textId="77777777" w:rsidR="0069120F" w:rsidRDefault="00E1431E">
      <w:r>
        <w:rPr>
          <w:b/>
          <w:bCs/>
        </w:rPr>
        <w:t xml:space="preserve">Total Equity Calculation: </w:t>
      </w:r>
      <w:r>
        <w:t>$905 - $178 + $5 - $22 = $710MM. This is the total equity required from all investors.</w:t>
      </w:r>
    </w:p>
    <w:p w14:paraId="79869AAE" w14:textId="77777777" w:rsidR="0069120F" w:rsidRDefault="00E1431E">
      <w:pPr>
        <w:pStyle w:val="Heading2"/>
      </w:pPr>
      <w:r>
        <w:t>1.2 Co-Investment Share (Lines 22-23)</w:t>
      </w:r>
    </w:p>
    <w:p w14:paraId="3BE8F1B5" w14:textId="77777777" w:rsidR="0069120F" w:rsidRDefault="00E1431E">
      <w:pPr>
        <w:pStyle w:val="Code"/>
      </w:pPr>
      <w:r>
        <w:t>CO_INVEST_MM = 195.0</w:t>
      </w:r>
    </w:p>
    <w:p w14:paraId="728D8731" w14:textId="77777777" w:rsidR="0069120F" w:rsidRDefault="00E1431E">
      <w:pPr>
        <w:pStyle w:val="Code"/>
      </w:pPr>
      <w:r>
        <w:t>CO_INVEST_SHARE = CO_INVEST_MM / TOTAL_EQUITY_</w:t>
      </w:r>
      <w:proofErr w:type="gramStart"/>
      <w:r>
        <w:t>MM  #</w:t>
      </w:r>
      <w:proofErr w:type="gramEnd"/>
      <w:r>
        <w:t xml:space="preserve"> ~27.5%</w:t>
      </w:r>
    </w:p>
    <w:p w14:paraId="3A8845DB" w14:textId="77777777" w:rsidR="0069120F" w:rsidRDefault="00E1431E">
      <w:r>
        <w:t>The co-investor contribut</w:t>
      </w:r>
      <w:r>
        <w:t>es $195MM of the $710MM total equity, representing a 27.5% ownership share. This share determines the proportion of all cash flows (distributions, terminal value) attributable to the co-investor.</w:t>
      </w:r>
    </w:p>
    <w:p w14:paraId="18ECC17F" w14:textId="77777777" w:rsidR="0069120F" w:rsidRDefault="00E1431E">
      <w:pPr>
        <w:pStyle w:val="Heading2"/>
      </w:pPr>
      <w:r>
        <w:t>1.3 NAV by Reserve Category (Lines 42-49)</w:t>
      </w:r>
    </w:p>
    <w:p w14:paraId="4DC7DDEF" w14:textId="77777777" w:rsidR="0069120F" w:rsidRDefault="00E1431E">
      <w:r>
        <w:rPr>
          <w:b/>
          <w:bCs/>
        </w:rPr>
        <w:t>NAV (Net Asset Val</w:t>
      </w:r>
      <w:r>
        <w:rPr>
          <w:b/>
          <w:bCs/>
        </w:rPr>
        <w:t xml:space="preserve">ue) </w:t>
      </w:r>
      <w:r>
        <w:t>represents the present value of future cash flows from different reserve categories, discounted at 10% (industry standard PV-10):</w:t>
      </w:r>
    </w:p>
    <w:p w14:paraId="0799E787" w14:textId="77777777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PDP ($691MM, 66%): </w:t>
      </w:r>
      <w:r>
        <w:t>Proven Developed Producing — wells already drilled and producing. Lowest risk, highest certainty.</w:t>
      </w:r>
    </w:p>
    <w:p w14:paraId="3653E762" w14:textId="77777777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</w:rPr>
        <w:t>DUC (</w:t>
      </w:r>
      <w:r>
        <w:rPr>
          <w:b/>
          <w:bCs/>
        </w:rPr>
        <w:t xml:space="preserve">$123MM, 11%): </w:t>
      </w:r>
      <w:r>
        <w:t>Drilled but Uncompleted — wells drilled but not yet fractured. Near-term upside with moderate risk.</w:t>
      </w:r>
    </w:p>
    <w:p w14:paraId="4BE05D10" w14:textId="77777777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Permit ($39MM, 4%): </w:t>
      </w:r>
      <w:r>
        <w:t>Permitted locations — approved for drilling. Medium-term development value.</w:t>
      </w:r>
    </w:p>
    <w:p w14:paraId="795F0D12" w14:textId="77777777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APD ($91MM, 9%): </w:t>
      </w:r>
      <w:r>
        <w:t>Applications for Permit to Drill — in regulatory process. Higher uncertainty.</w:t>
      </w:r>
    </w:p>
    <w:p w14:paraId="4E8558B6" w14:textId="77777777" w:rsidR="0069120F" w:rsidRDefault="00E1431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Undeveloped ($108MM, 10%): </w:t>
      </w:r>
      <w:r>
        <w:t>Undrilled, unpermitted locations. Longest-dated, highest-risk value.</w:t>
      </w:r>
    </w:p>
    <w:p w14:paraId="6CA90A9E" w14:textId="77777777" w:rsidR="0069120F" w:rsidRDefault="00E1431E">
      <w:r>
        <w:br w:type="page"/>
      </w:r>
    </w:p>
    <w:p w14:paraId="2C093AB3" w14:textId="77777777" w:rsidR="0069120F" w:rsidRDefault="00E1431E">
      <w:pPr>
        <w:pStyle w:val="Heading1"/>
      </w:pPr>
      <w:r>
        <w:lastRenderedPageBreak/>
        <w:t>Section 2: Yield Curve Generation (yield_curve.py)</w:t>
      </w:r>
    </w:p>
    <w:p w14:paraId="791D9CB2" w14:textId="77777777" w:rsidR="0069120F" w:rsidRDefault="00E1431E">
      <w:r>
        <w:t>The yield curve represents th</w:t>
      </w:r>
      <w:r>
        <w:t>e expected annual cash distribution as a percentage of invested capital. This is the most critical component of the model as it determines the timing and magnitude of returns.</w:t>
      </w:r>
    </w:p>
    <w:p w14:paraId="0011574C" w14:textId="77777777" w:rsidR="0069120F" w:rsidRDefault="00E1431E">
      <w:pPr>
        <w:pStyle w:val="Heading2"/>
      </w:pPr>
      <w:r>
        <w:t>2.1 Understanding the Arps Decline Model</w:t>
      </w:r>
    </w:p>
    <w:p w14:paraId="344EB130" w14:textId="77777777" w:rsidR="0069120F" w:rsidRDefault="00E1431E">
      <w:r>
        <w:t>Oil and gas wells decline in production</w:t>
      </w:r>
      <w:r>
        <w:t xml:space="preserve"> over time following predictable patterns. The Arps equation models this decline:</w:t>
      </w:r>
    </w:p>
    <w:p w14:paraId="49F04938" w14:textId="77777777" w:rsidR="0069120F" w:rsidRDefault="00E1431E">
      <w:pPr>
        <w:spacing w:before="200" w:after="200"/>
        <w:jc w:val="center"/>
      </w:pPr>
      <w:r>
        <w:rPr>
          <w:b/>
          <w:bCs/>
          <w:sz w:val="26"/>
          <w:szCs w:val="26"/>
        </w:rPr>
        <w:t>q(t) = q₀ / (1 + b × D</w:t>
      </w:r>
      <w:r>
        <w:rPr>
          <w:b/>
          <w:bCs/>
          <w:sz w:val="26"/>
          <w:szCs w:val="26"/>
        </w:rPr>
        <w:t>ᵢ</w:t>
      </w:r>
      <w:r>
        <w:rPr>
          <w:b/>
          <w:bCs/>
          <w:sz w:val="26"/>
          <w:szCs w:val="26"/>
        </w:rPr>
        <w:t xml:space="preserve"> × </w:t>
      </w:r>
      <w:proofErr w:type="gramStart"/>
      <w:r>
        <w:rPr>
          <w:b/>
          <w:bCs/>
          <w:sz w:val="26"/>
          <w:szCs w:val="26"/>
        </w:rPr>
        <w:t>t)^</w:t>
      </w:r>
      <w:proofErr w:type="gramEnd"/>
      <w:r>
        <w:rPr>
          <w:b/>
          <w:bCs/>
          <w:sz w:val="26"/>
          <w:szCs w:val="26"/>
        </w:rPr>
        <w:t>(1/b)</w:t>
      </w:r>
    </w:p>
    <w:p w14:paraId="2235B519" w14:textId="77777777" w:rsidR="0069120F" w:rsidRDefault="00E1431E">
      <w:r>
        <w:rPr>
          <w:b/>
          <w:bCs/>
        </w:rPr>
        <w:t xml:space="preserve">Where: </w:t>
      </w:r>
      <w:r>
        <w:t>q₀ = initial rate, b = hyperbolic exponent (0-1.2), D</w:t>
      </w:r>
      <w:r>
        <w:t>ᵢ</w:t>
      </w:r>
      <w:r>
        <w:t xml:space="preserve"> = initial decline rate, t = time in years</w:t>
      </w:r>
    </w:p>
    <w:p w14:paraId="01714C10" w14:textId="77777777" w:rsidR="0069120F" w:rsidRDefault="00E1431E">
      <w:r>
        <w:rPr>
          <w:b/>
          <w:bCs/>
        </w:rPr>
        <w:t xml:space="preserve">The b-factor </w:t>
      </w:r>
      <w:r>
        <w:t>determines the shape o</w:t>
      </w:r>
      <w:r>
        <w:t>f decline: b=0 means exponential (steepest), b=1 means harmonic (flattest). DJ Basin wells typically have b=0.8-1.1.</w:t>
      </w:r>
    </w:p>
    <w:p w14:paraId="727FBC54" w14:textId="77777777" w:rsidR="0069120F" w:rsidRDefault="00E1431E">
      <w:pPr>
        <w:pStyle w:val="Heading2"/>
      </w:pPr>
      <w:r>
        <w:t>2.2 How the Yield Curve is Constructed</w:t>
      </w:r>
    </w:p>
    <w:p w14:paraId="2968DD67" w14:textId="77777777" w:rsidR="0069120F" w:rsidRDefault="00E1431E">
      <w:r>
        <w:rPr>
          <w:b/>
          <w:bCs/>
          <w:color w:val="C53030"/>
        </w:rPr>
        <w:t xml:space="preserve">Critical Discovery: </w:t>
      </w:r>
      <w:r>
        <w:t>The yield curve uses 'target-fitting' — it is calibrated to match the deck's sta</w:t>
      </w:r>
      <w:r>
        <w:t>ted 18.6% average yield, not independently derived from engineering data.</w:t>
      </w:r>
    </w:p>
    <w:p w14:paraId="3702733D" w14:textId="77777777" w:rsidR="0069120F" w:rsidRDefault="00E1431E">
      <w:pPr>
        <w:pStyle w:val="Heading3"/>
      </w:pPr>
      <w:r>
        <w:t>Step 1: Use Deck Values for Years 1-3</w:t>
      </w:r>
    </w:p>
    <w:p w14:paraId="740BB530" w14:textId="77777777" w:rsidR="0069120F" w:rsidRDefault="00E1431E">
      <w:r>
        <w:t>Year 1: 26.9%, Year 2: 26.6%, Year 3: 25.1% (directly from deck)</w:t>
      </w:r>
    </w:p>
    <w:p w14:paraId="0032DDF7" w14:textId="77777777" w:rsidR="0069120F" w:rsidRDefault="00E1431E">
      <w:pPr>
        <w:pStyle w:val="Heading3"/>
      </w:pPr>
      <w:r>
        <w:t>Step 2: Generate Raw Years 4-10 Using Arps</w:t>
      </w:r>
    </w:p>
    <w:p w14:paraId="3A79F305" w14:textId="77777777" w:rsidR="0069120F" w:rsidRDefault="00E1431E">
      <w:r>
        <w:t xml:space="preserve">Starting from Year 3 yield (25.1%), </w:t>
      </w:r>
      <w:r>
        <w:t>apply hyperbolic decline with b=0.9, D</w:t>
      </w:r>
      <w:r>
        <w:t>ᵢ</w:t>
      </w:r>
      <w:r>
        <w:t>=0.25:</w:t>
      </w:r>
    </w:p>
    <w:p w14:paraId="736CD9B0" w14:textId="77777777" w:rsidR="0069120F" w:rsidRDefault="00E1431E">
      <w:pPr>
        <w:pStyle w:val="Code"/>
      </w:pPr>
      <w:r>
        <w:t>Year 4: 0.251 / (1 + 0.9×0.25×</w:t>
      </w:r>
      <w:proofErr w:type="gramStart"/>
      <w:r>
        <w:t>1)^</w:t>
      </w:r>
      <w:proofErr w:type="gramEnd"/>
      <w:r>
        <w:t>1.111 = 20.0%</w:t>
      </w:r>
    </w:p>
    <w:p w14:paraId="31E8191E" w14:textId="77777777" w:rsidR="0069120F" w:rsidRDefault="00E1431E">
      <w:pPr>
        <w:pStyle w:val="Code"/>
      </w:pPr>
      <w:r>
        <w:t>Year 5: 0.251 / (1 + 0.9×0.25×</w:t>
      </w:r>
      <w:proofErr w:type="gramStart"/>
      <w:r>
        <w:t>2)^</w:t>
      </w:r>
      <w:proofErr w:type="gramEnd"/>
      <w:r>
        <w:t>1.111 = 16.6%</w:t>
      </w:r>
    </w:p>
    <w:p w14:paraId="30186832" w14:textId="77777777" w:rsidR="0069120F" w:rsidRDefault="00E1431E">
      <w:pPr>
        <w:pStyle w:val="Code"/>
      </w:pPr>
      <w:r>
        <w:t>... and so on to Year 10</w:t>
      </w:r>
    </w:p>
    <w:p w14:paraId="336206E7" w14:textId="77777777" w:rsidR="0069120F" w:rsidRDefault="00E1431E">
      <w:pPr>
        <w:pStyle w:val="Heading3"/>
      </w:pPr>
      <w:r>
        <w:t>Step 3: Scale to Target (CALIBRATION)</w:t>
      </w:r>
    </w:p>
    <w:p w14:paraId="52AFA35C" w14:textId="77777777" w:rsidR="0069120F" w:rsidRDefault="00E1431E">
      <w:r>
        <w:t>The raw tail yields sum to 0.9245. But the deck requires 10-year average of 18.6% (total sum = 1.86x).</w:t>
      </w:r>
    </w:p>
    <w:p w14:paraId="371AD94A" w14:textId="77777777" w:rsidR="0069120F" w:rsidRDefault="00E1431E">
      <w:r>
        <w:t>Known sum (Y1-3): 0.786. Required tail (Y4-10): 1.86 - 0.786 = 1.074</w:t>
      </w:r>
    </w:p>
    <w:p w14:paraId="1C0EAFB2" w14:textId="77777777" w:rsidR="0069120F" w:rsidRDefault="00E1431E">
      <w:r>
        <w:t>Scale factor: 1.074 / 0.9245 = 1.162</w:t>
      </w:r>
    </w:p>
    <w:p w14:paraId="7A7701E6" w14:textId="77777777" w:rsidR="0069120F" w:rsidRDefault="00E1431E">
      <w:r>
        <w:t xml:space="preserve">All tail yields are multiplied by 1.162 to hit </w:t>
      </w:r>
      <w:r>
        <w:t>the target.</w:t>
      </w:r>
    </w:p>
    <w:p w14:paraId="4290C446" w14:textId="77777777" w:rsidR="0069120F" w:rsidRDefault="00E1431E">
      <w:pPr>
        <w:pStyle w:val="Heading2"/>
      </w:pPr>
      <w:r>
        <w:t>2.3 Final Reconstructed Yield Curve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644"/>
        <w:gridCol w:w="644"/>
        <w:gridCol w:w="644"/>
        <w:gridCol w:w="644"/>
        <w:gridCol w:w="644"/>
      </w:tblGrid>
      <w:tr w:rsidR="0069120F" w14:paraId="6E15A4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46C684AD" w14:textId="77777777" w:rsidR="0069120F" w:rsidRDefault="00E1431E">
            <w:pPr>
              <w:jc w:val="center"/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48DCB31E" w14:textId="77777777" w:rsidR="0069120F" w:rsidRDefault="00E1431E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55D070AC" w14:textId="77777777" w:rsidR="0069120F" w:rsidRDefault="00E1431E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387F4A1B" w14:textId="77777777" w:rsidR="0069120F" w:rsidRDefault="00E1431E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064ABC90" w14:textId="77777777" w:rsidR="0069120F" w:rsidRDefault="00E1431E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7C30901D" w14:textId="77777777" w:rsidR="0069120F" w:rsidRDefault="00E1431E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69120F" w14:paraId="76372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5073E8" w14:textId="77777777" w:rsidR="0069120F" w:rsidRDefault="00E1431E">
            <w:pPr>
              <w:jc w:val="center"/>
            </w:pPr>
            <w:r>
              <w:t>Yield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7B748E" w14:textId="77777777" w:rsidR="0069120F" w:rsidRDefault="00E1431E">
            <w:pPr>
              <w:jc w:val="center"/>
            </w:pPr>
            <w:r>
              <w:t>26.9%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334D4C" w14:textId="77777777" w:rsidR="0069120F" w:rsidRDefault="00E1431E">
            <w:pPr>
              <w:jc w:val="center"/>
            </w:pPr>
            <w:r>
              <w:t>26.6%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290AB0" w14:textId="77777777" w:rsidR="0069120F" w:rsidRDefault="00E1431E">
            <w:pPr>
              <w:jc w:val="center"/>
            </w:pPr>
            <w:r>
              <w:t>25.1%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BF6F9" w14:textId="77777777" w:rsidR="0069120F" w:rsidRDefault="00E1431E">
            <w:pPr>
              <w:jc w:val="center"/>
            </w:pPr>
            <w:r>
              <w:t>23.3%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EA405" w14:textId="77777777" w:rsidR="0069120F" w:rsidRDefault="00E1431E">
            <w:pPr>
              <w:jc w:val="center"/>
            </w:pPr>
            <w:r>
              <w:t>19.3%</w:t>
            </w:r>
          </w:p>
        </w:tc>
      </w:tr>
    </w:tbl>
    <w:p w14:paraId="3DD997F6" w14:textId="77777777" w:rsidR="0069120F" w:rsidRDefault="0069120F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644"/>
        <w:gridCol w:w="644"/>
        <w:gridCol w:w="644"/>
        <w:gridCol w:w="644"/>
        <w:gridCol w:w="644"/>
      </w:tblGrid>
      <w:tr w:rsidR="0069120F" w14:paraId="5BF54F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5FA799FF" w14:textId="77777777" w:rsidR="0069120F" w:rsidRDefault="00E1431E">
            <w:pPr>
              <w:jc w:val="center"/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3BCBBF7A" w14:textId="77777777" w:rsidR="0069120F" w:rsidRDefault="00E1431E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127D7E1F" w14:textId="77777777" w:rsidR="0069120F" w:rsidRDefault="00E1431E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735C13B8" w14:textId="77777777" w:rsidR="0069120F" w:rsidRDefault="00E1431E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2E6D7D58" w14:textId="77777777" w:rsidR="0069120F" w:rsidRDefault="00E1431E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396E6A6B" w14:textId="77777777" w:rsidR="0069120F" w:rsidRDefault="00E1431E">
            <w:pPr>
              <w:jc w:val="center"/>
            </w:pPr>
            <w:r>
              <w:rPr>
                <w:b/>
                <w:bCs/>
              </w:rPr>
              <w:t>10</w:t>
            </w:r>
          </w:p>
        </w:tc>
      </w:tr>
      <w:tr w:rsidR="0069120F" w14:paraId="0FB21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230A5" w14:textId="77777777" w:rsidR="0069120F" w:rsidRDefault="00E1431E">
            <w:pPr>
              <w:jc w:val="center"/>
            </w:pPr>
            <w:r>
              <w:t>Yield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11AEF" w14:textId="77777777" w:rsidR="0069120F" w:rsidRDefault="00E1431E">
            <w:pPr>
              <w:jc w:val="center"/>
            </w:pPr>
            <w:r>
              <w:t>16.4%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B3195E" w14:textId="77777777" w:rsidR="0069120F" w:rsidRDefault="00E1431E">
            <w:pPr>
              <w:jc w:val="center"/>
            </w:pPr>
            <w:r>
              <w:t>14.3%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0FD20" w14:textId="77777777" w:rsidR="0069120F" w:rsidRDefault="00E1431E">
            <w:pPr>
              <w:jc w:val="center"/>
            </w:pPr>
            <w:r>
              <w:t>12.6%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B5D29" w14:textId="77777777" w:rsidR="0069120F" w:rsidRDefault="00E1431E">
            <w:pPr>
              <w:jc w:val="center"/>
            </w:pPr>
            <w:r>
              <w:t>11.3%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11D1FF" w14:textId="77777777" w:rsidR="0069120F" w:rsidRDefault="00E1431E">
            <w:pPr>
              <w:jc w:val="center"/>
            </w:pPr>
            <w:r>
              <w:t>10.2%</w:t>
            </w:r>
          </w:p>
        </w:tc>
      </w:tr>
    </w:tbl>
    <w:p w14:paraId="3E32D681" w14:textId="77777777" w:rsidR="0069120F" w:rsidRDefault="00E1431E">
      <w:pPr>
        <w:spacing w:before="200"/>
      </w:pPr>
      <w:r>
        <w:rPr>
          <w:b/>
          <w:bCs/>
        </w:rPr>
        <w:t>Sum: 1.86x | Average: 18.6%</w:t>
      </w:r>
    </w:p>
    <w:p w14:paraId="3F5BEE0D" w14:textId="77777777" w:rsidR="0069120F" w:rsidRDefault="00E1431E">
      <w:r>
        <w:br w:type="page"/>
      </w:r>
    </w:p>
    <w:p w14:paraId="44C844BC" w14:textId="77777777" w:rsidR="0069120F" w:rsidRDefault="00E1431E">
      <w:pPr>
        <w:pStyle w:val="Heading1"/>
      </w:pPr>
      <w:r>
        <w:lastRenderedPageBreak/>
        <w:t>Section 3: Cash Flow Calculations (cash_flows.py)</w:t>
      </w:r>
    </w:p>
    <w:p w14:paraId="5201BC3C" w14:textId="77777777" w:rsidR="0069120F" w:rsidRDefault="00E1431E">
      <w:pPr>
        <w:pStyle w:val="Heading2"/>
      </w:pPr>
      <w:r>
        <w:t>3.1 Annual Cash Flow Formula</w:t>
      </w:r>
    </w:p>
    <w:p w14:paraId="279F1EC4" w14:textId="77777777" w:rsidR="0069120F" w:rsidRDefault="00E1431E">
      <w:pPr>
        <w:spacing w:before="200" w:after="200"/>
        <w:jc w:val="center"/>
      </w:pPr>
      <w:r>
        <w:rPr>
          <w:b/>
          <w:bCs/>
          <w:sz w:val="26"/>
          <w:szCs w:val="26"/>
        </w:rPr>
        <w:t>CFₜ = Investment × Yieldₜ × Priceₜ − G&amp;A</w:t>
      </w:r>
    </w:p>
    <w:p w14:paraId="1E6C1E4C" w14:textId="77777777" w:rsidR="0069120F" w:rsidRDefault="00E1431E">
      <w:r>
        <w:rPr>
          <w:b/>
          <w:bCs/>
        </w:rPr>
        <w:t xml:space="preserve">Example Year 1: </w:t>
      </w:r>
      <w:r>
        <w:t>$195MM × 26.9% × 1.0 − $1.46MM = $50.99MM</w:t>
      </w:r>
    </w:p>
    <w:p w14:paraId="34D2FBF6" w14:textId="77777777" w:rsidR="0069120F" w:rsidRDefault="00E1431E">
      <w:r>
        <w:rPr>
          <w:b/>
          <w:bCs/>
        </w:rPr>
        <w:t xml:space="preserve">G&amp;A (General &amp; Administrative): </w:t>
      </w:r>
      <w:r>
        <w:t>75 basis points (0.75%) of invested capital an</w:t>
      </w:r>
      <w:r>
        <w:t>nually = $195MM × 0.0075 = $1.46MM/year. This covers management, accounting, legal, and administrative costs.</w:t>
      </w:r>
    </w:p>
    <w:p w14:paraId="1D18E89B" w14:textId="77777777" w:rsidR="0069120F" w:rsidRDefault="00E1431E">
      <w:pPr>
        <w:pStyle w:val="Heading2"/>
      </w:pPr>
      <w:r>
        <w:t>3.2 Terminal Value Calculation</w:t>
      </w:r>
    </w:p>
    <w:p w14:paraId="5FA04CC9" w14:textId="77777777" w:rsidR="0069120F" w:rsidRDefault="00E1431E">
      <w:r>
        <w:t>At Year 10, the investment is assumed to be sold. The terminal value depends on remaining reserves and the price en</w:t>
      </w:r>
      <w:r>
        <w:t>vironment:</w:t>
      </w:r>
    </w:p>
    <w:p w14:paraId="23AEA9FE" w14:textId="77777777" w:rsidR="0069120F" w:rsidRDefault="00E1431E">
      <w:pPr>
        <w:pStyle w:val="Code"/>
      </w:pPr>
      <w:r>
        <w:t>Terminal Value = Remaining NAV × NAV Multiple × Price Factor × Co-Invest Share</w:t>
      </w:r>
    </w:p>
    <w:p w14:paraId="7EBC291F" w14:textId="77777777" w:rsidR="0069120F" w:rsidRDefault="00E1431E">
      <w:pPr>
        <w:pStyle w:val="Code"/>
      </w:pPr>
      <w:r>
        <w:t xml:space="preserve">             = $1,052MM × 15% × 0.90 × 1.0 × 27.5%</w:t>
      </w:r>
    </w:p>
    <w:p w14:paraId="13827EC7" w14:textId="77777777" w:rsidR="0069120F" w:rsidRDefault="00E1431E">
      <w:pPr>
        <w:pStyle w:val="Code"/>
      </w:pPr>
      <w:r>
        <w:t xml:space="preserve">             = $39.01MM</w:t>
      </w:r>
    </w:p>
    <w:p w14:paraId="10465D28" w14:textId="77777777" w:rsidR="0069120F" w:rsidRDefault="00E1431E">
      <w:pPr>
        <w:pStyle w:val="Heading2"/>
      </w:pPr>
      <w:r>
        <w:t>3.3 IRR Calculation</w:t>
      </w:r>
    </w:p>
    <w:p w14:paraId="7670783B" w14:textId="77777777" w:rsidR="0069120F" w:rsidRDefault="00E1431E">
      <w:r>
        <w:rPr>
          <w:b/>
          <w:bCs/>
        </w:rPr>
        <w:t xml:space="preserve">Internal Rate of Return (IRR) </w:t>
      </w:r>
      <w:r>
        <w:t>is the discount rate that makes the Net P</w:t>
      </w:r>
      <w:r>
        <w:t>resent Value equal to zero:</w:t>
      </w:r>
    </w:p>
    <w:p w14:paraId="53C1722F" w14:textId="77777777" w:rsidR="0069120F" w:rsidRDefault="00E1431E"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Σ CFₜ / (1 + </w:t>
      </w:r>
      <w:proofErr w:type="gramStart"/>
      <w:r>
        <w:rPr>
          <w:b/>
          <w:bCs/>
          <w:sz w:val="26"/>
          <w:szCs w:val="26"/>
        </w:rPr>
        <w:t>IRR)^</w:t>
      </w:r>
      <w:proofErr w:type="gramEnd"/>
      <w:r>
        <w:rPr>
          <w:b/>
          <w:bCs/>
          <w:sz w:val="26"/>
          <w:szCs w:val="26"/>
        </w:rPr>
        <w:t>t = 0</w:t>
      </w:r>
    </w:p>
    <w:p w14:paraId="3F464D91" w14:textId="540CF0A6" w:rsidR="0069120F" w:rsidRDefault="00E1431E">
      <w:r>
        <w:t xml:space="preserve">The model uses the Newton-Raphson numerical method to solve this equation iteratively. The calculated base case IRR is </w:t>
      </w:r>
      <w:r w:rsidR="00E40816">
        <w:rPr>
          <w:b/>
          <w:bCs/>
        </w:rPr>
        <w:t>17.0</w:t>
      </w:r>
      <w:r>
        <w:rPr>
          <w:b/>
          <w:bCs/>
        </w:rPr>
        <w:t>%</w:t>
      </w:r>
      <w:r>
        <w:t xml:space="preserve"> (vs deck's 17.6%).</w:t>
      </w:r>
    </w:p>
    <w:p w14:paraId="071A7B03" w14:textId="2B0E7681" w:rsidR="0069120F" w:rsidRDefault="00E1431E">
      <w:r>
        <w:rPr>
          <w:b/>
          <w:bCs/>
          <w:color w:val="C53030"/>
        </w:rPr>
        <w:t xml:space="preserve">IRR Discrepancy Explanation: </w:t>
      </w:r>
      <w:r w:rsidR="00107AD9">
        <w:t>The likely reason of IRR difference is slightly differing Terminal Value Exit Multiple</w:t>
      </w:r>
      <w:r>
        <w:t>.</w:t>
      </w:r>
    </w:p>
    <w:p w14:paraId="1DEDD292" w14:textId="77777777" w:rsidR="0069120F" w:rsidRDefault="00E1431E">
      <w:pPr>
        <w:pStyle w:val="Heading2"/>
      </w:pPr>
      <w:r>
        <w:t>3.4 ROI (Return on Investment)</w:t>
      </w:r>
    </w:p>
    <w:p w14:paraId="47B3F285" w14:textId="77777777" w:rsidR="0069120F" w:rsidRDefault="00E1431E">
      <w:pPr>
        <w:spacing w:before="200" w:after="200"/>
        <w:jc w:val="center"/>
      </w:pPr>
      <w:r>
        <w:rPr>
          <w:b/>
          <w:bCs/>
          <w:sz w:val="24"/>
          <w:szCs w:val="24"/>
        </w:rPr>
        <w:t>ROI = Total Cash Inflows / Initial Investment = $387MM / $195MM = 1.99x</w:t>
      </w:r>
    </w:p>
    <w:p w14:paraId="5D6BBD18" w14:textId="77777777" w:rsidR="0069120F" w:rsidRDefault="00E1431E">
      <w:r>
        <w:br w:type="page"/>
      </w:r>
    </w:p>
    <w:p w14:paraId="09422753" w14:textId="77777777" w:rsidR="0069120F" w:rsidRDefault="00E1431E">
      <w:pPr>
        <w:pStyle w:val="Heading1"/>
      </w:pPr>
      <w:r>
        <w:lastRenderedPageBreak/>
        <w:t>Section 4: Monte Carlo Simulation (analysis.py)</w:t>
      </w:r>
    </w:p>
    <w:p w14:paraId="49EB5A51" w14:textId="77777777" w:rsidR="0069120F" w:rsidRDefault="00E1431E">
      <w:r>
        <w:t>Monte Carlo simulation runs 50,000 scenarios with random variations in commodity prices and decline curves to understand the range of possible outcomes.</w:t>
      </w:r>
    </w:p>
    <w:p w14:paraId="64F4B3FC" w14:textId="77777777" w:rsidR="0069120F" w:rsidRDefault="00E1431E">
      <w:pPr>
        <w:pStyle w:val="Heading2"/>
      </w:pPr>
      <w:r>
        <w:t>4.1 Price Simulation (Ornstein-Uhlenbeck Process)</w:t>
      </w:r>
    </w:p>
    <w:p w14:paraId="1AA9AD3B" w14:textId="77777777" w:rsidR="0069120F" w:rsidRDefault="00E1431E">
      <w:r>
        <w:t>Commo</w:t>
      </w:r>
      <w:r>
        <w:t>dity prices are modeled as mean-reverting random walks — they fluctuate but tend to return to a long-term average (strip pricing = 1.0x). This is more realistic than random walks because commodity prices historically revert to production costs over time.</w:t>
      </w:r>
    </w:p>
    <w:p w14:paraId="7A676C5F" w14:textId="77777777" w:rsidR="0069120F" w:rsidRDefault="00E1431E">
      <w:r>
        <w:rPr>
          <w:b/>
          <w:bCs/>
        </w:rPr>
        <w:t>K</w:t>
      </w:r>
      <w:r>
        <w:rPr>
          <w:b/>
          <w:bCs/>
        </w:rPr>
        <w:t xml:space="preserve">ey Parameters: </w:t>
      </w:r>
      <w:r>
        <w:t>Oil σ=25% volatility, Gas σ=45% volatility (gas is more volatile), NGL σ=30% volatility</w:t>
      </w:r>
    </w:p>
    <w:p w14:paraId="6CB584B3" w14:textId="77777777" w:rsidR="0069120F" w:rsidRDefault="00E1431E">
      <w:pPr>
        <w:pStyle w:val="Heading2"/>
      </w:pPr>
      <w:r>
        <w:t>4.2 Decline Curve Risk</w:t>
      </w:r>
    </w:p>
    <w:p w14:paraId="0AB0C18A" w14:textId="77777777" w:rsidR="0069120F" w:rsidRDefault="00E1431E">
      <w:r>
        <w:t xml:space="preserve">The b-factor (decline curve shape) is randomly varied around the base case (0.9) with standard deviation of 0.12. Lower b-factors </w:t>
      </w:r>
      <w:r>
        <w:t>mean steeper decline and lower total production.</w:t>
      </w:r>
    </w:p>
    <w:p w14:paraId="39FD7E03" w14:textId="77777777" w:rsidR="0069120F" w:rsidRDefault="00E1431E">
      <w:pPr>
        <w:pStyle w:val="Heading2"/>
      </w:pPr>
      <w:r>
        <w:t>4.3 Key Monte Carlo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644"/>
        <w:gridCol w:w="2772"/>
      </w:tblGrid>
      <w:tr w:rsidR="0069120F" w14:paraId="02B2B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4CD7F961" w14:textId="77777777" w:rsidR="0069120F" w:rsidRDefault="00E1431E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1486D23C" w14:textId="77777777" w:rsidR="0069120F" w:rsidRDefault="00E1431E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133C1307" w14:textId="77777777" w:rsidR="0069120F" w:rsidRDefault="00E1431E">
            <w:pPr>
              <w:jc w:val="center"/>
            </w:pPr>
            <w:r>
              <w:rPr>
                <w:b/>
                <w:bCs/>
              </w:rPr>
              <w:t>Interpretation</w:t>
            </w:r>
          </w:p>
        </w:tc>
      </w:tr>
      <w:tr w:rsidR="0069120F" w14:paraId="72124E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AA42D" w14:textId="77777777" w:rsidR="0069120F" w:rsidRDefault="00E1431E">
            <w:r>
              <w:t>Probability of Loss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92440" w14:textId="77777777" w:rsidR="0069120F" w:rsidRDefault="00E1431E">
            <w:pPr>
              <w:jc w:val="center"/>
            </w:pPr>
            <w:r>
              <w:t>0.6%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5063D2" w14:textId="77777777" w:rsidR="0069120F" w:rsidRDefault="00E1431E">
            <w:r>
              <w:t>Very low loss probability</w:t>
            </w:r>
          </w:p>
        </w:tc>
      </w:tr>
      <w:tr w:rsidR="0069120F" w14:paraId="2E306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585F7A" w14:textId="77777777" w:rsidR="0069120F" w:rsidRDefault="00E1431E">
            <w:r>
              <w:t>Median IRR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3B319" w14:textId="77777777" w:rsidR="0069120F" w:rsidRDefault="00E1431E">
            <w:pPr>
              <w:jc w:val="center"/>
            </w:pPr>
            <w:r>
              <w:t>15.1%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0A8F84" w14:textId="77777777" w:rsidR="0069120F" w:rsidRDefault="00E1431E">
            <w:r>
              <w:t>50% of scenarios above this</w:t>
            </w:r>
          </w:p>
        </w:tc>
      </w:tr>
      <w:tr w:rsidR="0069120F" w14:paraId="41901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14C31E" w14:textId="77777777" w:rsidR="0069120F" w:rsidRDefault="00E1431E">
            <w:r>
              <w:t>P10 IRR (10th percentile)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8E1ECE" w14:textId="77777777" w:rsidR="0069120F" w:rsidRDefault="00E1431E">
            <w:pPr>
              <w:jc w:val="center"/>
            </w:pPr>
            <w:r>
              <w:t>7.3%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0948F" w14:textId="77777777" w:rsidR="0069120F" w:rsidRDefault="00E1431E">
            <w:r>
              <w:t>90% of scenarios better</w:t>
            </w:r>
          </w:p>
        </w:tc>
      </w:tr>
      <w:tr w:rsidR="0069120F" w14:paraId="6F5E9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80477" w14:textId="77777777" w:rsidR="0069120F" w:rsidRDefault="00E1431E">
            <w:r>
              <w:t>P90 IRR (90th percentile)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0319A" w14:textId="77777777" w:rsidR="0069120F" w:rsidRDefault="00E1431E">
            <w:pPr>
              <w:jc w:val="center"/>
            </w:pPr>
            <w:r>
              <w:t>23.1%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BE220" w14:textId="77777777" w:rsidR="0069120F" w:rsidRDefault="00E1431E">
            <w:r>
              <w:t>Top 10% of scenarios</w:t>
            </w:r>
          </w:p>
        </w:tc>
      </w:tr>
    </w:tbl>
    <w:p w14:paraId="1BFEC24A" w14:textId="77777777" w:rsidR="0069120F" w:rsidRDefault="00E1431E">
      <w:r>
        <w:br w:type="page"/>
      </w:r>
    </w:p>
    <w:p w14:paraId="17706422" w14:textId="22D48DCF" w:rsidR="0069120F" w:rsidRDefault="000F7EC5">
      <w:pPr>
        <w:pStyle w:val="Heading1"/>
      </w:pPr>
      <w:r>
        <w:lastRenderedPageBreak/>
        <w:t>NOTES</w:t>
      </w:r>
    </w:p>
    <w:p w14:paraId="4DBE1842" w14:textId="77777777" w:rsidR="0069120F" w:rsidRDefault="00E1431E">
      <w:pPr>
        <w:pStyle w:val="Heading2"/>
      </w:pPr>
      <w:r>
        <w:t>5.1 IRR Discrepancy (Model 16.9% vs Deck 17.6%)</w:t>
      </w:r>
    </w:p>
    <w:p w14:paraId="1EFF475F" w14:textId="77777777" w:rsidR="0069120F" w:rsidRDefault="00E1431E">
      <w:r>
        <w:rPr>
          <w:b/>
          <w:bCs/>
        </w:rPr>
        <w:t xml:space="preserve">Recommendation: </w:t>
      </w:r>
      <w:r>
        <w:t>Confirm with GP whether deck IRR is gross or net of G&amp;A. Document clearly in the model.</w:t>
      </w:r>
    </w:p>
    <w:p w14:paraId="4261D643" w14:textId="77777777" w:rsidR="0069120F" w:rsidRDefault="00E1431E">
      <w:pPr>
        <w:pStyle w:val="Heading2"/>
      </w:pPr>
      <w:r>
        <w:t>5.2 PDP Coverage Clarification</w:t>
      </w:r>
    </w:p>
    <w:p w14:paraId="3E659E82" w14:textId="77777777" w:rsidR="0069120F" w:rsidRDefault="00E1431E">
      <w:r>
        <w:rPr>
          <w:b/>
          <w:bCs/>
        </w:rPr>
        <w:t xml:space="preserve">Issue: </w:t>
      </w:r>
      <w:r>
        <w:t>Config shows PDP_PV0_COVERAGE = 1.</w:t>
      </w:r>
      <w:proofErr w:type="gramStart"/>
      <w:r>
        <w:t>34x, but</w:t>
      </w:r>
      <w:proofErr w:type="gramEnd"/>
      <w:r>
        <w:t xml:space="preserve"> using NAV ($691MM) / Purchase ($905MM) = 0.76x</w:t>
      </w:r>
    </w:p>
    <w:p w14:paraId="5B7EB6B8" w14:textId="1416A444" w:rsidR="0069120F" w:rsidRDefault="00E1431E">
      <w:r>
        <w:rPr>
          <w:b/>
          <w:bCs/>
        </w:rPr>
        <w:t xml:space="preserve">Resolution: </w:t>
      </w:r>
      <w:r>
        <w:t>Deck uses PV-0 value ($1,216MM) not NAV. $1,216MM / $905MM = 1.34x. The config constant is correct but the NAV_BY_CATEGORY values are PV-10</w:t>
      </w:r>
      <w:r w:rsidR="003B412C">
        <w:t xml:space="preserve"> thru PV-20</w:t>
      </w:r>
      <w:r>
        <w:t>, not PV-0.</w:t>
      </w:r>
    </w:p>
    <w:p w14:paraId="2734945A" w14:textId="77777777" w:rsidR="0069120F" w:rsidRDefault="00E1431E">
      <w:pPr>
        <w:pStyle w:val="Heading2"/>
      </w:pPr>
      <w:r>
        <w:t>5.3</w:t>
      </w:r>
      <w:r>
        <w:t xml:space="preserve"> Yield Curve Methodology Disclosure</w:t>
      </w:r>
    </w:p>
    <w:p w14:paraId="272BFC91" w14:textId="77777777" w:rsidR="0069120F" w:rsidRDefault="00E1431E">
      <w:r>
        <w:rPr>
          <w:b/>
          <w:bCs/>
        </w:rPr>
        <w:t xml:space="preserve">Issue: </w:t>
      </w:r>
      <w:r>
        <w:t>The yield curve is 'calibrated' to hit the deck's target average, not independently derived.</w:t>
      </w:r>
    </w:p>
    <w:p w14:paraId="5D84FF2C" w14:textId="77777777" w:rsidR="0069120F" w:rsidRDefault="00E1431E">
      <w:r>
        <w:rPr>
          <w:b/>
          <w:bCs/>
        </w:rPr>
        <w:t xml:space="preserve">Recommendation: </w:t>
      </w:r>
      <w:r>
        <w:t>Clearly document that Years 4-10 are scaled to match the deck's 18.6% target. This is acceptable for sen</w:t>
      </w:r>
      <w:r>
        <w:t>sitivity analysis but should be disclosed.</w:t>
      </w:r>
    </w:p>
    <w:p w14:paraId="523E132D" w14:textId="77777777" w:rsidR="0069120F" w:rsidRDefault="00E1431E">
      <w:pPr>
        <w:pStyle w:val="Heading2"/>
      </w:pPr>
      <w:r>
        <w:t>5.4 Terminal Value Step Function</w:t>
      </w:r>
    </w:p>
    <w:p w14:paraId="3272772C" w14:textId="77777777" w:rsidR="0069120F" w:rsidRDefault="00E1431E">
      <w:r>
        <w:rPr>
          <w:b/>
          <w:bCs/>
        </w:rPr>
        <w:t xml:space="preserve">Issue: </w:t>
      </w:r>
      <w:r>
        <w:t>NAV multiple jumps discretely at price thresholds (0.9, 0.7, 0.5), creating discontinuities.</w:t>
      </w:r>
    </w:p>
    <w:p w14:paraId="6C5293F2" w14:textId="77777777" w:rsidR="0069120F" w:rsidRDefault="00E1431E">
      <w:r>
        <w:rPr>
          <w:b/>
          <w:bCs/>
        </w:rPr>
        <w:t xml:space="preserve">Recommendation: </w:t>
      </w:r>
      <w:r>
        <w:t>Consider implementing a continuous function or adding more grada</w:t>
      </w:r>
      <w:r>
        <w:t>tions for smoother behavior in Monte Carlo.</w:t>
      </w:r>
    </w:p>
    <w:p w14:paraId="37029743" w14:textId="77777777" w:rsidR="0069120F" w:rsidRDefault="00E1431E">
      <w:pPr>
        <w:pStyle w:val="Heading1"/>
      </w:pPr>
      <w:r>
        <w:t>Conclusion</w:t>
      </w:r>
    </w:p>
    <w:p w14:paraId="7971B1FD" w14:textId="239A83A0" w:rsidR="0069120F" w:rsidRDefault="00E1431E">
      <w:r>
        <w:t>The model is fundamentally sound and implements industry-standard approaches for evaluating mineral rights investments. The base case returns (17.0</w:t>
      </w:r>
      <w:r>
        <w:t>% IRR, 1.99x ROI, 4.1-year payback) are reasonable for</w:t>
      </w:r>
      <w:r>
        <w:t xml:space="preserve"> this asset class and align closely with the deck</w:t>
      </w:r>
      <w:r>
        <w:t>. The Monte Carlo simulation demonstrates strong downside protection (only 0.5</w:t>
      </w:r>
      <w:r>
        <w:t>% probability of loss) backed by PDP coverage of 1.34x purchase price.</w:t>
      </w:r>
    </w:p>
    <w:p w14:paraId="19C63026" w14:textId="6C29AE7A" w:rsidR="0069120F" w:rsidRDefault="0069120F">
      <w:pPr>
        <w:spacing w:before="300"/>
      </w:pPr>
    </w:p>
    <w:sectPr w:rsidR="0069120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5C6"/>
    <w:multiLevelType w:val="hybridMultilevel"/>
    <w:tmpl w:val="918C338E"/>
    <w:lvl w:ilvl="0" w:tplc="48765680">
      <w:start w:val="1"/>
      <w:numFmt w:val="bullet"/>
      <w:lvlText w:val="●"/>
      <w:lvlJc w:val="left"/>
      <w:pPr>
        <w:ind w:left="720" w:hanging="360"/>
      </w:pPr>
    </w:lvl>
    <w:lvl w:ilvl="1" w:tplc="EB6C39D8">
      <w:start w:val="1"/>
      <w:numFmt w:val="bullet"/>
      <w:lvlText w:val="○"/>
      <w:lvlJc w:val="left"/>
      <w:pPr>
        <w:ind w:left="1440" w:hanging="360"/>
      </w:pPr>
    </w:lvl>
    <w:lvl w:ilvl="2" w:tplc="809434CA">
      <w:start w:val="1"/>
      <w:numFmt w:val="bullet"/>
      <w:lvlText w:val="■"/>
      <w:lvlJc w:val="left"/>
      <w:pPr>
        <w:ind w:left="2160" w:hanging="360"/>
      </w:pPr>
    </w:lvl>
    <w:lvl w:ilvl="3" w:tplc="8A66E730">
      <w:start w:val="1"/>
      <w:numFmt w:val="bullet"/>
      <w:lvlText w:val="●"/>
      <w:lvlJc w:val="left"/>
      <w:pPr>
        <w:ind w:left="2880" w:hanging="360"/>
      </w:pPr>
    </w:lvl>
    <w:lvl w:ilvl="4" w:tplc="BD90D3F0">
      <w:start w:val="1"/>
      <w:numFmt w:val="bullet"/>
      <w:lvlText w:val="○"/>
      <w:lvlJc w:val="left"/>
      <w:pPr>
        <w:ind w:left="3600" w:hanging="360"/>
      </w:pPr>
    </w:lvl>
    <w:lvl w:ilvl="5" w:tplc="237481DC">
      <w:start w:val="1"/>
      <w:numFmt w:val="bullet"/>
      <w:lvlText w:val="■"/>
      <w:lvlJc w:val="left"/>
      <w:pPr>
        <w:ind w:left="4320" w:hanging="360"/>
      </w:pPr>
    </w:lvl>
    <w:lvl w:ilvl="6" w:tplc="5E881E38">
      <w:start w:val="1"/>
      <w:numFmt w:val="bullet"/>
      <w:lvlText w:val="●"/>
      <w:lvlJc w:val="left"/>
      <w:pPr>
        <w:ind w:left="5040" w:hanging="360"/>
      </w:pPr>
    </w:lvl>
    <w:lvl w:ilvl="7" w:tplc="8BD28E1E">
      <w:start w:val="1"/>
      <w:numFmt w:val="bullet"/>
      <w:lvlText w:val="●"/>
      <w:lvlJc w:val="left"/>
      <w:pPr>
        <w:ind w:left="5760" w:hanging="360"/>
      </w:pPr>
    </w:lvl>
    <w:lvl w:ilvl="8" w:tplc="98B01F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9A4212"/>
    <w:multiLevelType w:val="hybridMultilevel"/>
    <w:tmpl w:val="C48EF99C"/>
    <w:lvl w:ilvl="0" w:tplc="6B46D1F0">
      <w:start w:val="1"/>
      <w:numFmt w:val="decimal"/>
      <w:lvlText w:val="%1."/>
      <w:lvlJc w:val="left"/>
      <w:pPr>
        <w:ind w:left="720" w:hanging="360"/>
      </w:pPr>
    </w:lvl>
    <w:lvl w:ilvl="1" w:tplc="96909FCE">
      <w:numFmt w:val="decimal"/>
      <w:lvlText w:val=""/>
      <w:lvlJc w:val="left"/>
    </w:lvl>
    <w:lvl w:ilvl="2" w:tplc="409CFF02">
      <w:numFmt w:val="decimal"/>
      <w:lvlText w:val=""/>
      <w:lvlJc w:val="left"/>
    </w:lvl>
    <w:lvl w:ilvl="3" w:tplc="A80C486A">
      <w:numFmt w:val="decimal"/>
      <w:lvlText w:val=""/>
      <w:lvlJc w:val="left"/>
    </w:lvl>
    <w:lvl w:ilvl="4" w:tplc="89DA0BBE">
      <w:numFmt w:val="decimal"/>
      <w:lvlText w:val=""/>
      <w:lvlJc w:val="left"/>
    </w:lvl>
    <w:lvl w:ilvl="5" w:tplc="C1463A9E">
      <w:numFmt w:val="decimal"/>
      <w:lvlText w:val=""/>
      <w:lvlJc w:val="left"/>
    </w:lvl>
    <w:lvl w:ilvl="6" w:tplc="2A3000C8">
      <w:numFmt w:val="decimal"/>
      <w:lvlText w:val=""/>
      <w:lvlJc w:val="left"/>
    </w:lvl>
    <w:lvl w:ilvl="7" w:tplc="3B4080CA">
      <w:numFmt w:val="decimal"/>
      <w:lvlText w:val=""/>
      <w:lvlJc w:val="left"/>
    </w:lvl>
    <w:lvl w:ilvl="8" w:tplc="281E5F36">
      <w:numFmt w:val="decimal"/>
      <w:lvlText w:val=""/>
      <w:lvlJc w:val="left"/>
    </w:lvl>
  </w:abstractNum>
  <w:abstractNum w:abstractNumId="2" w15:restartNumberingAfterBreak="0">
    <w:nsid w:val="3F3F131E"/>
    <w:multiLevelType w:val="hybridMultilevel"/>
    <w:tmpl w:val="34ECA1C0"/>
    <w:lvl w:ilvl="0" w:tplc="CAE64D34">
      <w:start w:val="1"/>
      <w:numFmt w:val="bullet"/>
      <w:lvlText w:val="•"/>
      <w:lvlJc w:val="left"/>
      <w:pPr>
        <w:ind w:left="720" w:hanging="360"/>
      </w:pPr>
    </w:lvl>
    <w:lvl w:ilvl="1" w:tplc="1C8EB896">
      <w:numFmt w:val="decimal"/>
      <w:lvlText w:val=""/>
      <w:lvlJc w:val="left"/>
    </w:lvl>
    <w:lvl w:ilvl="2" w:tplc="C9C05AEA">
      <w:numFmt w:val="decimal"/>
      <w:lvlText w:val=""/>
      <w:lvlJc w:val="left"/>
    </w:lvl>
    <w:lvl w:ilvl="3" w:tplc="3EFCCDA8">
      <w:numFmt w:val="decimal"/>
      <w:lvlText w:val=""/>
      <w:lvlJc w:val="left"/>
    </w:lvl>
    <w:lvl w:ilvl="4" w:tplc="49E68588">
      <w:numFmt w:val="decimal"/>
      <w:lvlText w:val=""/>
      <w:lvlJc w:val="left"/>
    </w:lvl>
    <w:lvl w:ilvl="5" w:tplc="3FE82D0C">
      <w:numFmt w:val="decimal"/>
      <w:lvlText w:val=""/>
      <w:lvlJc w:val="left"/>
    </w:lvl>
    <w:lvl w:ilvl="6" w:tplc="80C0DF8E">
      <w:numFmt w:val="decimal"/>
      <w:lvlText w:val=""/>
      <w:lvlJc w:val="left"/>
    </w:lvl>
    <w:lvl w:ilvl="7" w:tplc="E5E4FFEE">
      <w:numFmt w:val="decimal"/>
      <w:lvlText w:val=""/>
      <w:lvlJc w:val="left"/>
    </w:lvl>
    <w:lvl w:ilvl="8" w:tplc="F454C2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0F"/>
    <w:rsid w:val="000F7EC5"/>
    <w:rsid w:val="00107AD9"/>
    <w:rsid w:val="002345B2"/>
    <w:rsid w:val="003B412C"/>
    <w:rsid w:val="005F193B"/>
    <w:rsid w:val="0069120F"/>
    <w:rsid w:val="007F1388"/>
    <w:rsid w:val="00877991"/>
    <w:rsid w:val="009F2945"/>
    <w:rsid w:val="00E1431E"/>
    <w:rsid w:val="00E4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838F"/>
  <w15:docId w15:val="{84821F63-EA89-4ABA-AE82-55A68CE4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182C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</w:pPr>
    <w:rPr>
      <w:rFonts w:ascii="Courier New" w:eastAsia="Courier New" w:hAnsi="Courier New" w:cs="Courier New"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2072</TotalTime>
  <Pages>6</Pages>
  <Words>1300</Words>
  <Characters>7414</Characters>
  <Application>Microsoft Office Word</Application>
  <DocSecurity>0</DocSecurity>
  <Lines>61</Lines>
  <Paragraphs>17</Paragraphs>
  <ScaleCrop>false</ScaleCrop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Nader</cp:lastModifiedBy>
  <cp:revision>11</cp:revision>
  <dcterms:created xsi:type="dcterms:W3CDTF">2025-12-06T18:14:00Z</dcterms:created>
  <dcterms:modified xsi:type="dcterms:W3CDTF">2025-12-10T17:19:00Z</dcterms:modified>
</cp:coreProperties>
</file>