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b w:val="0"/>
          <w:sz w:val="68"/>
        </w:rPr>
      </w:pPr>
    </w:p>
    <w:p>
      <w:pPr>
        <w:pStyle w:val="BodyText"/>
        <w:spacing w:before="645"/>
        <w:rPr>
          <w:rFonts w:ascii="Times New Roman"/>
          <w:b w:val="0"/>
          <w:sz w:val="68"/>
        </w:rPr>
      </w:pPr>
    </w:p>
    <w:p>
      <w:pPr>
        <w:pStyle w:val="Title"/>
      </w:pPr>
      <w:r>
        <w:rPr/>
        <w:t>SKILL DEVELOPMENT </w:t>
      </w:r>
      <w:r>
        <w:rPr>
          <w:spacing w:val="-2"/>
        </w:rPr>
        <w:t>REPORT</w:t>
      </w:r>
    </w:p>
    <w:p>
      <w:pPr>
        <w:spacing w:line="259" w:lineRule="auto" w:before="221"/>
        <w:ind w:left="204" w:right="196" w:firstLine="0"/>
        <w:jc w:val="center"/>
        <w:rPr>
          <w:b/>
          <w:sz w:val="38"/>
        </w:rPr>
      </w:pPr>
      <w:r>
        <w:rPr>
          <w:b/>
          <w:color w:val="090909"/>
          <w:sz w:val="38"/>
        </w:rPr>
        <w:t>DEPARTMENT</w:t>
      </w:r>
      <w:r>
        <w:rPr>
          <w:b/>
          <w:color w:val="090909"/>
          <w:spacing w:val="-10"/>
          <w:sz w:val="38"/>
        </w:rPr>
        <w:t> </w:t>
      </w:r>
      <w:r>
        <w:rPr>
          <w:b/>
          <w:color w:val="090909"/>
          <w:sz w:val="38"/>
        </w:rPr>
        <w:t>OF</w:t>
      </w:r>
      <w:r>
        <w:rPr>
          <w:b/>
          <w:color w:val="090909"/>
          <w:spacing w:val="-10"/>
          <w:sz w:val="38"/>
        </w:rPr>
        <w:t> </w:t>
      </w:r>
      <w:r>
        <w:rPr>
          <w:b/>
          <w:color w:val="090909"/>
          <w:sz w:val="38"/>
        </w:rPr>
        <w:t>COMPUTER</w:t>
      </w:r>
      <w:r>
        <w:rPr>
          <w:b/>
          <w:color w:val="090909"/>
          <w:spacing w:val="-10"/>
          <w:sz w:val="38"/>
        </w:rPr>
        <w:t> </w:t>
      </w:r>
      <w:r>
        <w:rPr>
          <w:b/>
          <w:color w:val="090909"/>
          <w:sz w:val="38"/>
        </w:rPr>
        <w:t>SCIENCE</w:t>
      </w:r>
      <w:r>
        <w:rPr>
          <w:b/>
          <w:color w:val="090909"/>
          <w:spacing w:val="-10"/>
          <w:sz w:val="38"/>
        </w:rPr>
        <w:t> </w:t>
      </w:r>
      <w:r>
        <w:rPr>
          <w:b/>
          <w:color w:val="090909"/>
          <w:sz w:val="38"/>
        </w:rPr>
        <w:t>AND </w:t>
      </w:r>
      <w:r>
        <w:rPr>
          <w:b/>
          <w:color w:val="090909"/>
          <w:spacing w:val="-2"/>
          <w:sz w:val="38"/>
        </w:rPr>
        <w:t>ENGINEERING</w:t>
      </w:r>
    </w:p>
    <w:p>
      <w:pPr>
        <w:spacing w:before="159"/>
        <w:ind w:left="204" w:right="199" w:firstLine="0"/>
        <w:jc w:val="center"/>
        <w:rPr>
          <w:b/>
          <w:sz w:val="38"/>
        </w:rPr>
      </w:pPr>
      <w:r>
        <w:rPr>
          <w:b/>
          <w:color w:val="090909"/>
          <w:spacing w:val="-2"/>
          <w:sz w:val="38"/>
        </w:rPr>
        <w:t>(AIML)</w:t>
      </w:r>
    </w:p>
    <w:p>
      <w:pPr>
        <w:spacing w:line="340" w:lineRule="auto" w:before="197"/>
        <w:ind w:left="3066" w:right="3058" w:firstLine="0"/>
        <w:jc w:val="center"/>
        <w:rPr>
          <w:b/>
          <w:sz w:val="38"/>
        </w:rPr>
      </w:pPr>
      <w:r/>
      <w:r>
        <w:rPr>
          <w:rFonts w:ascii="Segoe UI" w:hAnsi="Segoe UI"/>
          <w:b/>
          <w:color w:val="1A365D"/>
          <w:sz w:val="48"/>
        </w:rPr>
        <w:t>XAUUSD RAG PREDICTOR</w:t>
        <w:br/>
      </w:r>
    </w:p>
    <w:p>
      <w:pPr>
        <w:spacing w:before="4"/>
        <w:ind w:left="204" w:right="198" w:firstLine="0"/>
        <w:jc w:val="center"/>
        <w:rPr>
          <w:b/>
          <w:sz w:val="40"/>
        </w:rPr>
      </w:pPr>
      <w:r>
        <w:rPr>
          <w:b/>
          <w:sz w:val="40"/>
        </w:rPr>
        <w:t>DLithe Consultancy Services Pvt. </w:t>
      </w:r>
      <w:r>
        <w:rPr>
          <w:b/>
          <w:spacing w:val="-4"/>
          <w:sz w:val="40"/>
        </w:rPr>
        <w:t>Ltd.</w:t>
      </w:r>
    </w:p>
    <w:p>
      <w:pPr>
        <w:pStyle w:val="BodyText"/>
        <w:spacing w:before="8"/>
        <w:rPr>
          <w:sz w:val="13"/>
        </w:rPr>
      </w:pPr>
      <w:r>
        <w:rPr>
          <w:sz w:val="13"/>
        </w:rPr>
        <w:drawing>
          <wp:anchor distT="0" distB="0" distL="0" distR="0" allowOverlap="1" layoutInCell="1" locked="0" behindDoc="1" simplePos="0" relativeHeight="487587840">
            <wp:simplePos x="0" y="0"/>
            <wp:positionH relativeFrom="page">
              <wp:posOffset>3260602</wp:posOffset>
            </wp:positionH>
            <wp:positionV relativeFrom="paragraph">
              <wp:posOffset>121426</wp:posOffset>
            </wp:positionV>
            <wp:extent cx="1088670" cy="55035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88670" cy="550354"/>
                    </a:xfrm>
                    <a:prstGeom prst="rect">
                      <a:avLst/>
                    </a:prstGeom>
                  </pic:spPr>
                </pic:pic>
              </a:graphicData>
            </a:graphic>
          </wp:anchor>
        </w:drawing>
      </w:r>
    </w:p>
    <w:p>
      <w:pPr>
        <w:pStyle w:val="BodyText"/>
        <w:spacing w:after="0"/>
        <w:rPr>
          <w:sz w:val="13"/>
        </w:rPr>
        <w:sectPr>
          <w:type w:val="continuous"/>
          <w:pgSz w:w="11900" w:h="16820"/>
          <w:pgMar w:top="1940" w:bottom="280" w:left="1275" w:right="1275"/>
        </w:sectPr>
      </w:pPr>
    </w:p>
    <w:p>
      <w:pPr>
        <w:pStyle w:val="BodyText"/>
        <w:rPr>
          <w:sz w:val="32"/>
        </w:rPr>
      </w:pPr>
    </w:p>
    <w:p>
      <w:pPr>
        <w:pStyle w:val="BodyText"/>
        <w:spacing w:before="221"/>
        <w:rPr>
          <w:sz w:val="32"/>
        </w:rPr>
      </w:pPr>
    </w:p>
    <w:p>
      <w:pPr>
        <w:spacing w:before="0"/>
        <w:ind w:left="2325" w:right="0" w:firstLine="0"/>
        <w:jc w:val="left"/>
        <w:rPr>
          <w:b/>
          <w:sz w:val="32"/>
        </w:rPr>
      </w:pPr>
      <w:r>
        <w:rPr>
          <w:b/>
          <w:sz w:val="32"/>
          <w:u w:val="single"/>
        </w:rPr>
        <w:t>Skill Development </w:t>
      </w:r>
      <w:r>
        <w:rPr>
          <w:b/>
          <w:spacing w:val="-2"/>
          <w:sz w:val="32"/>
          <w:u w:val="single"/>
        </w:rPr>
        <w:t>Report</w:t>
      </w:r>
    </w:p>
    <w:p>
      <w:pPr>
        <w:pStyle w:val="BodyText"/>
        <w:spacing w:before="275"/>
        <w:rPr>
          <w:sz w:val="32"/>
        </w:rPr>
      </w:pPr>
    </w:p>
    <w:p>
      <w:pPr>
        <w:pStyle w:val="BodyText"/>
        <w:spacing w:line="491" w:lineRule="auto"/>
        <w:ind w:left="165" w:right="6535"/>
      </w:pPr>
      <w:r>
        <w:rPr/>
        <w:t>Student</w:t>
      </w:r>
      <w:r>
        <w:rPr>
          <w:spacing w:val="-14"/>
        </w:rPr>
        <w:t> </w:t>
      </w:r>
      <w:r>
        <w:rPr/>
        <w:t>Name:</w:t>
      </w:r>
      <w:r>
        <w:rPr>
          <w:spacing w:val="-14"/>
        </w:rPr>
        <w:t> </w:t>
      </w:r>
      <w:r>
        <w:rPr/>
        <w:t>Aditya USN: 2JR23CI001</w:t>
      </w:r>
    </w:p>
    <w:p>
      <w:pPr>
        <w:pStyle w:val="BodyText"/>
        <w:spacing w:line="491" w:lineRule="auto"/>
        <w:ind w:left="165" w:right="3749"/>
      </w:pPr>
      <w:r/>
      <w:r>
        <w:rPr>
          <w:rFonts w:ascii="Segoe UI" w:hAnsi="Segoe UI"/>
          <w:b/>
        </w:rPr>
        <w:t xml:space="preserve">Job Assignment: </w:t>
      </w:r>
      <w:r>
        <w:rPr>
          <w:rFonts w:ascii="Segoe UI" w:hAnsi="Segoe UI"/>
        </w:rPr>
        <w:t xml:space="preserve">AIML skill development project          </w:t>
      </w:r>
      <w:r>
        <w:rPr>
          <w:rFonts w:ascii="Segoe UI" w:hAnsi="Segoe UI"/>
          <w:b/>
        </w:rPr>
        <w:t xml:space="preserve">Project Name: </w:t>
      </w:r>
      <w:r>
        <w:rPr>
          <w:rFonts w:ascii="Segoe UI" w:hAnsi="Segoe UI"/>
          <w:color w:val="1A365D"/>
        </w:rPr>
        <w:t>XAUUSD Predictor</w:t>
      </w:r>
    </w:p>
    <w:p>
      <w:pPr>
        <w:pStyle w:val="BodyText"/>
        <w:spacing w:line="491" w:lineRule="auto"/>
        <w:ind w:left="165" w:right="3749"/>
      </w:pPr>
      <w:r>
        <w:rPr/>
        <w:t>Organization:</w:t>
      </w:r>
      <w:r>
        <w:rPr>
          <w:spacing w:val="-8"/>
        </w:rPr>
        <w:t> </w:t>
      </w:r>
      <w:r>
        <w:rPr/>
        <w:t>DLithe</w:t>
      </w:r>
      <w:r>
        <w:rPr>
          <w:spacing w:val="-8"/>
        </w:rPr>
        <w:t> </w:t>
      </w:r>
      <w:r>
        <w:rPr/>
        <w:t>Consultancy</w:t>
      </w:r>
      <w:r>
        <w:rPr>
          <w:spacing w:val="-8"/>
        </w:rPr>
        <w:t> </w:t>
      </w:r>
      <w:r>
        <w:rPr/>
        <w:t>Services</w:t>
      </w:r>
      <w:r>
        <w:rPr>
          <w:spacing w:val="-8"/>
        </w:rPr>
        <w:t> </w:t>
      </w:r>
      <w:r>
        <w:rPr/>
        <w:t>Pvt.</w:t>
      </w:r>
      <w:r>
        <w:rPr>
          <w:spacing w:val="-8"/>
        </w:rPr>
        <w:t> </w:t>
      </w:r>
      <w:r>
        <w:rPr/>
        <w:t>Ltd. Supervisor’s Name:</w:t>
      </w:r>
      <w:r>
        <w:rPr>
          <w:spacing w:val="40"/>
        </w:rPr>
        <w:t> </w:t>
      </w:r>
      <w:r>
        <w:rPr/>
        <w:t>Ms Anushka Kalal</w:t>
      </w:r>
    </w:p>
    <w:p>
      <w:pPr>
        <w:pStyle w:val="BodyText"/>
        <w:spacing w:before="197"/>
        <w:rPr>
          <w:sz w:val="20"/>
        </w:rPr>
      </w:pPr>
      <w:r>
        <w:rPr>
          <w:sz w:val="20"/>
        </w:rPr>
        <mc:AlternateContent>
          <mc:Choice Requires="wps">
            <w:drawing>
              <wp:anchor distT="0" distB="0" distL="0" distR="0" allowOverlap="1" layoutInCell="1" locked="0" behindDoc="1" simplePos="0" relativeHeight="487588352">
                <wp:simplePos x="0" y="0"/>
                <wp:positionH relativeFrom="page">
                  <wp:posOffset>860425</wp:posOffset>
                </wp:positionH>
                <wp:positionV relativeFrom="paragraph">
                  <wp:posOffset>298709</wp:posOffset>
                </wp:positionV>
                <wp:extent cx="5839460" cy="103568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839460" cy="1035685"/>
                        </a:xfrm>
                        <a:prstGeom prst="rect">
                          <a:avLst/>
                        </a:prstGeom>
                        <a:ln w="6350">
                          <a:solidFill>
                            <a:srgbClr val="000000"/>
                          </a:solidFill>
                          <a:prstDash val="solid"/>
                        </a:ln>
                      </wps:spPr>
                      <wps:txbx>
                        <w:txbxContent>
                          <w:p>
                            <w:pPr>
                              <w:pStyle w:val="BodyText"/>
                              <w:spacing w:before="24"/>
                              <w:ind w:left="79"/>
                            </w:pPr>
                            <w:r>
                              <w:rPr>
                                <w:spacing w:val="-2"/>
                              </w:rPr>
                              <w:t>Observations:</w:t>
                            </w:r>
                          </w:p>
                        </w:txbxContent>
                      </wps:txbx>
                      <wps:bodyPr wrap="square" lIns="0" tIns="0" rIns="0" bIns="0" rtlCol="0">
                        <a:noAutofit/>
                      </wps:bodyPr>
                    </wps:wsp>
                  </a:graphicData>
                </a:graphic>
              </wp:anchor>
            </w:drawing>
          </mc:Choice>
          <mc:Fallback>
            <w:pict>
              <v:shape style="position:absolute;margin-left:67.75pt;margin-top:23.520414pt;width:459.8pt;height:81.55pt;mso-position-horizontal-relative:page;mso-position-vertical-relative:paragraph;z-index:-15728128;mso-wrap-distance-left:0;mso-wrap-distance-right:0" type="#_x0000_t202" id="docshape2" filled="false" stroked="true" strokeweight=".5pt" strokecolor="#000000">
                <v:textbox inset="0,0,0,0">
                  <w:txbxContent>
                    <w:p>
                      <w:pPr>
                        <w:pStyle w:val="BodyText"/>
                        <w:spacing w:before="24"/>
                        <w:ind w:left="79"/>
                      </w:pPr>
                      <w:r>
                        <w:rPr>
                          <w:spacing w:val="-2"/>
                        </w:rPr>
                        <w:t>Observations:</w:t>
                      </w:r>
                    </w:p>
                  </w:txbxContent>
                </v:textbox>
                <v:stroke dashstyle="solid"/>
                <w10:wrap type="topAndBottom"/>
              </v:shape>
            </w:pict>
          </mc:Fallback>
        </mc:AlternateContent>
      </w:r>
    </w:p>
    <w:p>
      <w:pPr>
        <w:pStyle w:val="BodyText"/>
      </w:pPr>
    </w:p>
    <w:p>
      <w:pPr>
        <w:pStyle w:val="BodyText"/>
        <w:spacing w:before="223"/>
      </w:pPr>
    </w:p>
    <w:p>
      <w:pPr>
        <w:pStyle w:val="BodyText"/>
        <w:ind w:left="204" w:right="199"/>
        <w:jc w:val="center"/>
      </w:pPr>
      <w:r>
        <w:rPr/>
        <w:t>Submitted </w:t>
      </w:r>
      <w:r>
        <w:rPr>
          <w:spacing w:val="-5"/>
        </w:rPr>
        <w:t>to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3"/>
      </w:pPr>
    </w:p>
    <w:p>
      <w:pPr>
        <w:tabs>
          <w:tab w:pos="6112" w:val="left" w:leader="none"/>
        </w:tabs>
        <w:spacing w:before="0"/>
        <w:ind w:left="165" w:right="0" w:firstLine="0"/>
        <w:jc w:val="left"/>
        <w:rPr>
          <w:sz w:val="24"/>
        </w:rPr>
      </w:pPr>
      <w:r>
        <w:rPr>
          <w:sz w:val="24"/>
        </w:rPr>
        <w:t>Signature of </w:t>
      </w:r>
      <w:r>
        <w:rPr>
          <w:spacing w:val="-2"/>
          <w:sz w:val="24"/>
        </w:rPr>
        <w:t>Trainer</w:t>
      </w:r>
      <w:r>
        <w:rPr>
          <w:sz w:val="24"/>
        </w:rPr>
        <w:tab/>
        <w:t>Signature of </w:t>
      </w:r>
      <w:r>
        <w:rPr>
          <w:spacing w:val="-2"/>
          <w:sz w:val="24"/>
        </w:rPr>
        <w:t>Student</w:t>
      </w:r>
    </w:p>
    <w:p>
      <w:pPr>
        <w:pStyle w:val="BodyText"/>
        <w:spacing w:before="46"/>
        <w:rPr>
          <w:b w:val="0"/>
        </w:rPr>
      </w:pPr>
    </w:p>
    <w:p>
      <w:pPr>
        <w:tabs>
          <w:tab w:pos="6141" w:val="left" w:leader="none"/>
        </w:tabs>
        <w:spacing w:before="0"/>
        <w:ind w:left="165" w:right="0" w:firstLine="0"/>
        <w:jc w:val="left"/>
        <w:rPr>
          <w:sz w:val="24"/>
        </w:rPr>
      </w:pPr>
      <w:r>
        <w:rPr>
          <w:spacing w:val="-2"/>
          <w:sz w:val="24"/>
        </w:rPr>
        <w:t>Date:</w:t>
      </w:r>
      <w:r>
        <w:rPr>
          <w:sz w:val="24"/>
        </w:rPr>
        <w:tab/>
      </w:r>
      <w:r>
        <w:rPr>
          <w:spacing w:val="-2"/>
          <w:sz w:val="24"/>
        </w:rPr>
        <w:t>Date:</w:t>
      </w:r>
    </w:p>
    <w:p>
      <w:pPr>
        <w:spacing w:after="0"/>
        <w:jc w:val="left"/>
        <w:rPr>
          <w:sz w:val="24"/>
        </w:rPr>
        <w:sectPr>
          <w:headerReference w:type="default" r:id="rId6"/>
          <w:footerReference w:type="default" r:id="rId7"/>
          <w:pgSz w:w="11900" w:h="16820"/>
          <w:pgMar w:header="708" w:footer="979" w:top="1940" w:bottom="1160" w:left="1275" w:right="1275"/>
          <w:pgNumType w:start="2"/>
        </w:sectPr>
      </w:pPr>
    </w:p>
    <w:p>
      <w:pPr>
        <w:pStyle w:val="BodyText"/>
        <w:rPr>
          <w:b w:val="0"/>
          <w:sz w:val="32"/>
        </w:rPr>
      </w:pPr>
    </w:p>
    <w:p>
      <w:pPr>
        <w:pStyle w:val="BodyText"/>
        <w:rPr>
          <w:b w:val="0"/>
          <w:sz w:val="32"/>
        </w:rPr>
      </w:pPr>
    </w:p>
    <w:p>
      <w:pPr>
        <w:pStyle w:val="BodyText"/>
        <w:spacing w:before="16"/>
        <w:rPr>
          <w:b w:val="0"/>
          <w:sz w:val="32"/>
        </w:rPr>
      </w:pPr>
    </w:p>
    <w:p>
      <w:pPr>
        <w:spacing w:before="0"/>
        <w:ind w:left="204" w:right="198" w:firstLine="0"/>
        <w:jc w:val="center"/>
        <w:rPr>
          <w:b/>
          <w:sz w:val="32"/>
        </w:rPr>
      </w:pPr>
      <w:r>
        <w:rPr>
          <w:b/>
          <w:sz w:val="32"/>
        </w:rPr>
        <w:t>Table of </w:t>
      </w:r>
      <w:r>
        <w:rPr>
          <w:b/>
          <w:spacing w:val="-2"/>
          <w:sz w:val="32"/>
        </w:rPr>
        <w:t>Contents</w:t>
      </w:r>
    </w:p>
    <w:p>
      <w:pPr>
        <w:pStyle w:val="BodyText"/>
        <w:rPr>
          <w:sz w:val="20"/>
        </w:rPr>
      </w:pPr>
    </w:p>
    <w:p>
      <w:pPr>
        <w:pStyle w:val="BodyText"/>
        <w:rPr>
          <w:sz w:val="20"/>
        </w:rPr>
      </w:pPr>
    </w:p>
    <w:p>
      <w:pPr>
        <w:pStyle w:val="BodyText"/>
        <w:spacing w:before="40"/>
        <w:rPr>
          <w:sz w:val="20"/>
        </w:rPr>
      </w:pPr>
    </w:p>
    <w:tbl>
      <w:tblPr>
        <w:tblW w:w="0" w:type="auto"/>
        <w:jc w:val="left"/>
        <w:tblInd w:w="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8"/>
        <w:gridCol w:w="4204"/>
        <w:gridCol w:w="2197"/>
      </w:tblGrid>
      <w:tr>
        <w:trPr>
          <w:trHeight w:val="431" w:hRule="atLeast"/>
        </w:trPr>
        <w:tc>
          <w:tcPr>
            <w:tcW w:w="828" w:type="dxa"/>
          </w:tcPr>
          <w:p>
            <w:pPr>
              <w:pStyle w:val="TableParagraph"/>
              <w:spacing w:line="266" w:lineRule="exact" w:before="0"/>
              <w:ind w:right="52"/>
              <w:rPr>
                <w:b/>
                <w:sz w:val="24"/>
              </w:rPr>
            </w:pPr>
            <w:r>
              <w:rPr>
                <w:b/>
                <w:sz w:val="24"/>
              </w:rPr>
              <w:t>Sl. </w:t>
            </w:r>
            <w:r>
              <w:rPr>
                <w:b/>
                <w:spacing w:val="-5"/>
                <w:sz w:val="24"/>
              </w:rPr>
              <w:t>No.</w:t>
            </w:r>
          </w:p>
        </w:tc>
        <w:tc>
          <w:tcPr>
            <w:tcW w:w="4204" w:type="dxa"/>
          </w:tcPr>
          <w:p>
            <w:pPr>
              <w:pStyle w:val="TableParagraph"/>
              <w:spacing w:line="266" w:lineRule="exact" w:before="0"/>
              <w:ind w:left="238"/>
              <w:rPr>
                <w:b/>
                <w:sz w:val="24"/>
              </w:rPr>
            </w:pPr>
            <w:r>
              <w:rPr>
                <w:b/>
                <w:spacing w:val="-2"/>
                <w:sz w:val="24"/>
              </w:rPr>
              <w:t>Content</w:t>
            </w:r>
          </w:p>
        </w:tc>
        <w:tc>
          <w:tcPr>
            <w:tcW w:w="2197" w:type="dxa"/>
          </w:tcPr>
          <w:p>
            <w:pPr>
              <w:pStyle w:val="TableParagraph"/>
              <w:spacing w:line="266" w:lineRule="exact" w:before="0"/>
              <w:ind w:left="1187"/>
              <w:rPr>
                <w:b/>
                <w:sz w:val="24"/>
              </w:rPr>
            </w:pPr>
            <w:r>
              <w:rPr>
                <w:b/>
                <w:sz w:val="24"/>
              </w:rPr>
              <w:t>Page </w:t>
            </w:r>
            <w:r>
              <w:rPr>
                <w:b/>
                <w:spacing w:val="-5"/>
                <w:sz w:val="24"/>
              </w:rPr>
              <w:t>No.</w:t>
            </w:r>
          </w:p>
        </w:tc>
      </w:tr>
      <w:tr>
        <w:trPr>
          <w:trHeight w:val="597" w:hRule="atLeast"/>
        </w:trPr>
        <w:tc>
          <w:tcPr>
            <w:tcW w:w="828" w:type="dxa"/>
          </w:tcPr>
          <w:p>
            <w:pPr>
              <w:pStyle w:val="TableParagraph"/>
              <w:ind w:right="52"/>
              <w:rPr>
                <w:sz w:val="24"/>
              </w:rPr>
            </w:pPr>
            <w:r>
              <w:rPr>
                <w:spacing w:val="-10"/>
                <w:sz w:val="24"/>
              </w:rPr>
              <w:t>1</w:t>
            </w:r>
          </w:p>
        </w:tc>
        <w:tc>
          <w:tcPr>
            <w:tcW w:w="4204" w:type="dxa"/>
          </w:tcPr>
          <w:p>
            <w:pPr>
              <w:pStyle w:val="TableParagraph"/>
              <w:ind w:left="103"/>
              <w:jc w:val="left"/>
              <w:rPr>
                <w:sz w:val="24"/>
              </w:rPr>
            </w:pPr>
            <w:r>
              <w:rPr>
                <w:spacing w:val="-2"/>
                <w:sz w:val="24"/>
              </w:rPr>
              <w:t>Introduction</w:t>
            </w:r>
          </w:p>
        </w:tc>
        <w:tc>
          <w:tcPr>
            <w:tcW w:w="2197" w:type="dxa"/>
          </w:tcPr>
          <w:p>
            <w:pPr>
              <w:pStyle w:val="TableParagraph"/>
              <w:ind w:left="1187"/>
              <w:rPr>
                <w:sz w:val="24"/>
              </w:rPr>
            </w:pPr>
            <w:r>
              <w:rPr>
                <w:spacing w:val="-10"/>
                <w:sz w:val="24"/>
              </w:rPr>
              <w:t>1</w:t>
            </w:r>
          </w:p>
        </w:tc>
      </w:tr>
      <w:tr>
        <w:trPr>
          <w:trHeight w:val="597" w:hRule="atLeast"/>
        </w:trPr>
        <w:tc>
          <w:tcPr>
            <w:tcW w:w="828" w:type="dxa"/>
          </w:tcPr>
          <w:p>
            <w:pPr>
              <w:pStyle w:val="TableParagraph"/>
              <w:ind w:right="52"/>
              <w:rPr>
                <w:sz w:val="24"/>
              </w:rPr>
            </w:pPr>
            <w:r>
              <w:rPr>
                <w:spacing w:val="-10"/>
                <w:sz w:val="24"/>
              </w:rPr>
              <w:t>2</w:t>
            </w:r>
          </w:p>
        </w:tc>
        <w:tc>
          <w:tcPr>
            <w:tcW w:w="4204" w:type="dxa"/>
          </w:tcPr>
          <w:p>
            <w:pPr>
              <w:pStyle w:val="TableParagraph"/>
              <w:ind w:left="103"/>
              <w:jc w:val="left"/>
              <w:rPr>
                <w:sz w:val="24"/>
              </w:rPr>
            </w:pPr>
            <w:r>
              <w:rPr>
                <w:sz w:val="24"/>
              </w:rPr>
              <w:t>Problem </w:t>
            </w:r>
            <w:r>
              <w:rPr>
                <w:spacing w:val="-2"/>
                <w:sz w:val="24"/>
              </w:rPr>
              <w:t>Statement</w:t>
            </w:r>
          </w:p>
        </w:tc>
        <w:tc>
          <w:tcPr>
            <w:tcW w:w="2197" w:type="dxa"/>
          </w:tcPr>
          <w:p>
            <w:pPr>
              <w:pStyle w:val="TableParagraph"/>
              <w:ind w:left="1187"/>
              <w:rPr>
                <w:sz w:val="24"/>
              </w:rPr>
            </w:pPr>
            <w:r>
              <w:rPr>
                <w:spacing w:val="-10"/>
                <w:sz w:val="24"/>
              </w:rPr>
              <w:t>2</w:t>
            </w:r>
          </w:p>
        </w:tc>
      </w:tr>
      <w:tr>
        <w:trPr>
          <w:trHeight w:val="597" w:hRule="atLeast"/>
        </w:trPr>
        <w:tc>
          <w:tcPr>
            <w:tcW w:w="828" w:type="dxa"/>
          </w:tcPr>
          <w:p>
            <w:pPr>
              <w:pStyle w:val="TableParagraph"/>
              <w:ind w:right="52"/>
              <w:rPr>
                <w:sz w:val="24"/>
              </w:rPr>
            </w:pPr>
            <w:r>
              <w:rPr>
                <w:spacing w:val="-10"/>
                <w:sz w:val="24"/>
              </w:rPr>
              <w:t>3</w:t>
            </w:r>
          </w:p>
        </w:tc>
        <w:tc>
          <w:tcPr>
            <w:tcW w:w="4204" w:type="dxa"/>
          </w:tcPr>
          <w:p>
            <w:pPr>
              <w:pStyle w:val="TableParagraph"/>
              <w:ind w:left="103"/>
              <w:jc w:val="left"/>
              <w:rPr>
                <w:sz w:val="24"/>
              </w:rPr>
            </w:pPr>
            <w:r>
              <w:rPr>
                <w:sz w:val="24"/>
              </w:rPr>
              <w:t>Objectives of the </w:t>
            </w:r>
            <w:r>
              <w:rPr>
                <w:spacing w:val="-2"/>
                <w:sz w:val="24"/>
              </w:rPr>
              <w:t>Project</w:t>
            </w:r>
          </w:p>
        </w:tc>
        <w:tc>
          <w:tcPr>
            <w:tcW w:w="2197" w:type="dxa"/>
          </w:tcPr>
          <w:p>
            <w:pPr>
              <w:pStyle w:val="TableParagraph"/>
              <w:ind w:left="1187"/>
              <w:rPr>
                <w:sz w:val="24"/>
              </w:rPr>
            </w:pPr>
            <w:r>
              <w:rPr>
                <w:spacing w:val="-10"/>
                <w:sz w:val="24"/>
              </w:rPr>
              <w:t>3</w:t>
            </w:r>
          </w:p>
        </w:tc>
      </w:tr>
      <w:tr>
        <w:trPr>
          <w:trHeight w:val="597" w:hRule="atLeast"/>
        </w:trPr>
        <w:tc>
          <w:tcPr>
            <w:tcW w:w="828" w:type="dxa"/>
          </w:tcPr>
          <w:p>
            <w:pPr>
              <w:pStyle w:val="TableParagraph"/>
              <w:ind w:right="52"/>
              <w:rPr>
                <w:sz w:val="24"/>
              </w:rPr>
            </w:pPr>
            <w:r>
              <w:rPr>
                <w:spacing w:val="-10"/>
                <w:sz w:val="24"/>
              </w:rPr>
              <w:t>4</w:t>
            </w:r>
          </w:p>
        </w:tc>
        <w:tc>
          <w:tcPr>
            <w:tcW w:w="4204" w:type="dxa"/>
          </w:tcPr>
          <w:p>
            <w:pPr>
              <w:pStyle w:val="TableParagraph"/>
              <w:ind w:left="103"/>
              <w:jc w:val="left"/>
              <w:rPr>
                <w:sz w:val="24"/>
              </w:rPr>
            </w:pPr>
            <w:r>
              <w:rPr>
                <w:sz w:val="24"/>
              </w:rPr>
              <w:t>Scope of the </w:t>
            </w:r>
            <w:r>
              <w:rPr>
                <w:spacing w:val="-2"/>
                <w:sz w:val="24"/>
              </w:rPr>
              <w:t>Project</w:t>
            </w:r>
          </w:p>
        </w:tc>
        <w:tc>
          <w:tcPr>
            <w:tcW w:w="2197" w:type="dxa"/>
          </w:tcPr>
          <w:p>
            <w:pPr>
              <w:pStyle w:val="TableParagraph"/>
              <w:ind w:left="1187"/>
              <w:rPr>
                <w:sz w:val="24"/>
              </w:rPr>
            </w:pPr>
            <w:r>
              <w:rPr>
                <w:spacing w:val="-10"/>
                <w:sz w:val="24"/>
              </w:rPr>
              <w:t>4</w:t>
            </w:r>
          </w:p>
        </w:tc>
      </w:tr>
      <w:tr>
        <w:trPr>
          <w:trHeight w:val="597" w:hRule="atLeast"/>
        </w:trPr>
        <w:tc>
          <w:tcPr>
            <w:tcW w:w="828" w:type="dxa"/>
          </w:tcPr>
          <w:p>
            <w:pPr>
              <w:pStyle w:val="TableParagraph"/>
              <w:ind w:right="52"/>
              <w:rPr>
                <w:sz w:val="24"/>
              </w:rPr>
            </w:pPr>
            <w:r>
              <w:rPr>
                <w:spacing w:val="-10"/>
                <w:sz w:val="24"/>
              </w:rPr>
              <w:t>5</w:t>
            </w:r>
          </w:p>
        </w:tc>
        <w:tc>
          <w:tcPr>
            <w:tcW w:w="4204" w:type="dxa"/>
          </w:tcPr>
          <w:p>
            <w:pPr>
              <w:pStyle w:val="TableParagraph"/>
              <w:ind w:left="103"/>
              <w:jc w:val="left"/>
              <w:rPr>
                <w:sz w:val="24"/>
              </w:rPr>
            </w:pPr>
            <w:r>
              <w:rPr>
                <w:spacing w:val="-2"/>
                <w:sz w:val="24"/>
              </w:rPr>
              <w:t>Methodology</w:t>
            </w:r>
          </w:p>
        </w:tc>
        <w:tc>
          <w:tcPr>
            <w:tcW w:w="2197" w:type="dxa"/>
          </w:tcPr>
          <w:p>
            <w:pPr>
              <w:pStyle w:val="TableParagraph"/>
              <w:ind w:left="1187"/>
              <w:rPr>
                <w:sz w:val="24"/>
              </w:rPr>
            </w:pPr>
            <w:r>
              <w:rPr>
                <w:spacing w:val="-10"/>
                <w:sz w:val="24"/>
              </w:rPr>
              <w:t>6</w:t>
            </w:r>
          </w:p>
        </w:tc>
      </w:tr>
      <w:tr>
        <w:trPr>
          <w:trHeight w:val="597" w:hRule="atLeast"/>
        </w:trPr>
        <w:tc>
          <w:tcPr>
            <w:tcW w:w="828" w:type="dxa"/>
          </w:tcPr>
          <w:p>
            <w:pPr>
              <w:pStyle w:val="TableParagraph"/>
              <w:ind w:right="52"/>
              <w:rPr>
                <w:sz w:val="24"/>
              </w:rPr>
            </w:pPr>
            <w:r>
              <w:rPr>
                <w:spacing w:val="-10"/>
                <w:sz w:val="24"/>
              </w:rPr>
              <w:t>6</w:t>
            </w:r>
          </w:p>
        </w:tc>
        <w:tc>
          <w:tcPr>
            <w:tcW w:w="4204" w:type="dxa"/>
          </w:tcPr>
          <w:p>
            <w:pPr>
              <w:pStyle w:val="TableParagraph"/>
              <w:ind w:left="103"/>
              <w:jc w:val="left"/>
              <w:rPr>
                <w:sz w:val="24"/>
              </w:rPr>
            </w:pPr>
            <w:r>
              <w:rPr>
                <w:sz w:val="24"/>
              </w:rPr>
              <w:t>Flow </w:t>
            </w:r>
            <w:r>
              <w:rPr>
                <w:spacing w:val="-2"/>
                <w:sz w:val="24"/>
              </w:rPr>
              <w:t>Chart</w:t>
            </w:r>
          </w:p>
        </w:tc>
        <w:tc>
          <w:tcPr>
            <w:tcW w:w="2197" w:type="dxa"/>
          </w:tcPr>
          <w:p>
            <w:pPr>
              <w:pStyle w:val="TableParagraph"/>
              <w:ind w:left="1187"/>
              <w:rPr>
                <w:sz w:val="24"/>
              </w:rPr>
            </w:pPr>
            <w:r>
              <w:rPr>
                <w:spacing w:val="-10"/>
                <w:sz w:val="24"/>
              </w:rPr>
              <w:t>7</w:t>
            </w:r>
          </w:p>
        </w:tc>
      </w:tr>
      <w:tr>
        <w:trPr>
          <w:trHeight w:val="597" w:hRule="atLeast"/>
        </w:trPr>
        <w:tc>
          <w:tcPr>
            <w:tcW w:w="828" w:type="dxa"/>
          </w:tcPr>
          <w:p>
            <w:pPr>
              <w:pStyle w:val="TableParagraph"/>
              <w:ind w:right="52"/>
              <w:rPr>
                <w:sz w:val="24"/>
              </w:rPr>
            </w:pPr>
            <w:r>
              <w:rPr>
                <w:spacing w:val="-10"/>
                <w:sz w:val="24"/>
              </w:rPr>
              <w:t>7</w:t>
            </w:r>
          </w:p>
        </w:tc>
        <w:tc>
          <w:tcPr>
            <w:tcW w:w="4204" w:type="dxa"/>
          </w:tcPr>
          <w:p>
            <w:pPr>
              <w:pStyle w:val="TableParagraph"/>
              <w:ind w:left="103"/>
              <w:jc w:val="left"/>
              <w:rPr>
                <w:sz w:val="24"/>
              </w:rPr>
            </w:pPr>
            <w:r>
              <w:rPr>
                <w:sz w:val="24"/>
              </w:rPr>
              <w:t>Use Case </w:t>
            </w:r>
            <w:r>
              <w:rPr>
                <w:spacing w:val="-2"/>
                <w:sz w:val="24"/>
              </w:rPr>
              <w:t>Diagram</w:t>
            </w:r>
          </w:p>
        </w:tc>
        <w:tc>
          <w:tcPr>
            <w:tcW w:w="2197" w:type="dxa"/>
          </w:tcPr>
          <w:p>
            <w:pPr>
              <w:pStyle w:val="TableParagraph"/>
              <w:ind w:left="1187"/>
              <w:rPr>
                <w:sz w:val="24"/>
              </w:rPr>
            </w:pPr>
            <w:r>
              <w:rPr>
                <w:spacing w:val="-10"/>
                <w:sz w:val="24"/>
              </w:rPr>
              <w:t>8</w:t>
            </w:r>
          </w:p>
        </w:tc>
      </w:tr>
      <w:tr>
        <w:trPr>
          <w:trHeight w:val="597" w:hRule="atLeast"/>
        </w:trPr>
        <w:tc>
          <w:tcPr>
            <w:tcW w:w="828" w:type="dxa"/>
          </w:tcPr>
          <w:p>
            <w:pPr>
              <w:pStyle w:val="TableParagraph"/>
              <w:ind w:right="52"/>
              <w:rPr>
                <w:sz w:val="24"/>
              </w:rPr>
            </w:pPr>
            <w:r>
              <w:rPr>
                <w:spacing w:val="-10"/>
                <w:sz w:val="24"/>
              </w:rPr>
              <w:t>8</w:t>
            </w:r>
          </w:p>
        </w:tc>
        <w:tc>
          <w:tcPr>
            <w:tcW w:w="4204" w:type="dxa"/>
          </w:tcPr>
          <w:p>
            <w:pPr>
              <w:pStyle w:val="TableParagraph"/>
              <w:ind w:left="103"/>
              <w:jc w:val="left"/>
              <w:rPr>
                <w:sz w:val="24"/>
              </w:rPr>
            </w:pPr>
            <w:r>
              <w:rPr>
                <w:sz w:val="24"/>
              </w:rPr>
              <w:t>Tools and Technologies </w:t>
            </w:r>
            <w:r>
              <w:rPr>
                <w:spacing w:val="-4"/>
                <w:sz w:val="24"/>
              </w:rPr>
              <w:t>Used</w:t>
            </w:r>
          </w:p>
        </w:tc>
        <w:tc>
          <w:tcPr>
            <w:tcW w:w="2197" w:type="dxa"/>
          </w:tcPr>
          <w:p>
            <w:pPr>
              <w:pStyle w:val="TableParagraph"/>
              <w:ind w:left="1187"/>
              <w:rPr>
                <w:sz w:val="24"/>
              </w:rPr>
            </w:pPr>
            <w:r>
              <w:rPr>
                <w:spacing w:val="-5"/>
                <w:sz w:val="24"/>
              </w:rPr>
              <w:t>10</w:t>
            </w:r>
          </w:p>
        </w:tc>
      </w:tr>
      <w:tr>
        <w:trPr>
          <w:trHeight w:val="597" w:hRule="atLeast"/>
        </w:trPr>
        <w:tc>
          <w:tcPr>
            <w:tcW w:w="828" w:type="dxa"/>
          </w:tcPr>
          <w:p>
            <w:pPr>
              <w:pStyle w:val="TableParagraph"/>
              <w:ind w:right="52"/>
              <w:rPr>
                <w:sz w:val="24"/>
              </w:rPr>
            </w:pPr>
            <w:r>
              <w:rPr>
                <w:spacing w:val="-10"/>
                <w:sz w:val="24"/>
              </w:rPr>
              <w:t>9</w:t>
            </w:r>
          </w:p>
        </w:tc>
        <w:tc>
          <w:tcPr>
            <w:tcW w:w="4204" w:type="dxa"/>
          </w:tcPr>
          <w:p>
            <w:pPr>
              <w:pStyle w:val="TableParagraph"/>
              <w:ind w:left="103"/>
              <w:jc w:val="left"/>
              <w:rPr>
                <w:sz w:val="24"/>
              </w:rPr>
            </w:pPr>
            <w:r>
              <w:rPr>
                <w:sz w:val="24"/>
              </w:rPr>
              <w:t>Results and </w:t>
            </w:r>
            <w:r>
              <w:rPr>
                <w:spacing w:val="-2"/>
                <w:sz w:val="24"/>
              </w:rPr>
              <w:t>Snapshots</w:t>
            </w:r>
          </w:p>
        </w:tc>
        <w:tc>
          <w:tcPr>
            <w:tcW w:w="2197" w:type="dxa"/>
          </w:tcPr>
          <w:p>
            <w:pPr>
              <w:pStyle w:val="TableParagraph"/>
              <w:ind w:left="1187"/>
              <w:rPr>
                <w:sz w:val="24"/>
              </w:rPr>
            </w:pPr>
            <w:r>
              <w:rPr>
                <w:spacing w:val="-5"/>
                <w:sz w:val="24"/>
              </w:rPr>
              <w:t>11</w:t>
            </w:r>
          </w:p>
        </w:tc>
      </w:tr>
      <w:tr>
        <w:trPr>
          <w:trHeight w:val="597" w:hRule="atLeast"/>
        </w:trPr>
        <w:tc>
          <w:tcPr>
            <w:tcW w:w="828" w:type="dxa"/>
          </w:tcPr>
          <w:p>
            <w:pPr>
              <w:pStyle w:val="TableParagraph"/>
              <w:ind w:right="52"/>
              <w:rPr>
                <w:sz w:val="24"/>
              </w:rPr>
            </w:pPr>
            <w:r>
              <w:rPr>
                <w:spacing w:val="-5"/>
                <w:sz w:val="24"/>
              </w:rPr>
              <w:t>10</w:t>
            </w:r>
          </w:p>
        </w:tc>
        <w:tc>
          <w:tcPr>
            <w:tcW w:w="4204" w:type="dxa"/>
          </w:tcPr>
          <w:p>
            <w:pPr>
              <w:pStyle w:val="TableParagraph"/>
              <w:ind w:left="103"/>
              <w:jc w:val="left"/>
              <w:rPr>
                <w:sz w:val="24"/>
              </w:rPr>
            </w:pPr>
            <w:r>
              <w:rPr>
                <w:spacing w:val="-2"/>
                <w:sz w:val="24"/>
              </w:rPr>
              <w:t>Applications</w:t>
            </w:r>
          </w:p>
        </w:tc>
        <w:tc>
          <w:tcPr>
            <w:tcW w:w="2197" w:type="dxa"/>
          </w:tcPr>
          <w:p>
            <w:pPr>
              <w:pStyle w:val="TableParagraph"/>
              <w:ind w:left="1187"/>
              <w:rPr>
                <w:sz w:val="24"/>
              </w:rPr>
            </w:pPr>
            <w:r>
              <w:rPr>
                <w:spacing w:val="-5"/>
                <w:sz w:val="24"/>
              </w:rPr>
              <w:t>12</w:t>
            </w:r>
          </w:p>
        </w:tc>
      </w:tr>
      <w:tr>
        <w:trPr>
          <w:trHeight w:val="597" w:hRule="atLeast"/>
        </w:trPr>
        <w:tc>
          <w:tcPr>
            <w:tcW w:w="828" w:type="dxa"/>
          </w:tcPr>
          <w:p>
            <w:pPr>
              <w:pStyle w:val="TableParagraph"/>
              <w:ind w:right="52"/>
              <w:rPr>
                <w:sz w:val="24"/>
              </w:rPr>
            </w:pPr>
            <w:r>
              <w:rPr>
                <w:spacing w:val="-5"/>
                <w:sz w:val="24"/>
              </w:rPr>
              <w:t>12</w:t>
            </w:r>
          </w:p>
        </w:tc>
        <w:tc>
          <w:tcPr>
            <w:tcW w:w="4204" w:type="dxa"/>
          </w:tcPr>
          <w:p>
            <w:pPr>
              <w:pStyle w:val="TableParagraph"/>
              <w:ind w:left="103"/>
              <w:jc w:val="left"/>
              <w:rPr>
                <w:sz w:val="24"/>
              </w:rPr>
            </w:pPr>
            <w:r>
              <w:rPr>
                <w:sz w:val="24"/>
              </w:rPr>
              <w:t>Mind </w:t>
            </w:r>
            <w:r>
              <w:rPr>
                <w:spacing w:val="-5"/>
                <w:sz w:val="24"/>
              </w:rPr>
              <w:t>Map</w:t>
            </w:r>
          </w:p>
        </w:tc>
        <w:tc>
          <w:tcPr>
            <w:tcW w:w="2197" w:type="dxa"/>
          </w:tcPr>
          <w:p>
            <w:pPr>
              <w:pStyle w:val="TableParagraph"/>
              <w:ind w:left="1187"/>
              <w:rPr>
                <w:sz w:val="24"/>
              </w:rPr>
            </w:pPr>
            <w:r>
              <w:rPr>
                <w:spacing w:val="-5"/>
                <w:sz w:val="24"/>
              </w:rPr>
              <w:t>13</w:t>
            </w:r>
          </w:p>
        </w:tc>
      </w:tr>
      <w:tr>
        <w:trPr>
          <w:trHeight w:val="597" w:hRule="atLeast"/>
        </w:trPr>
        <w:tc>
          <w:tcPr>
            <w:tcW w:w="828" w:type="dxa"/>
          </w:tcPr>
          <w:p>
            <w:pPr>
              <w:pStyle w:val="TableParagraph"/>
              <w:ind w:right="52"/>
              <w:rPr>
                <w:sz w:val="24"/>
              </w:rPr>
            </w:pPr>
            <w:r>
              <w:rPr>
                <w:spacing w:val="-5"/>
                <w:sz w:val="24"/>
              </w:rPr>
              <w:t>11</w:t>
            </w:r>
          </w:p>
        </w:tc>
        <w:tc>
          <w:tcPr>
            <w:tcW w:w="4204" w:type="dxa"/>
          </w:tcPr>
          <w:p>
            <w:pPr>
              <w:pStyle w:val="TableParagraph"/>
              <w:ind w:left="103"/>
              <w:jc w:val="left"/>
              <w:rPr>
                <w:sz w:val="24"/>
              </w:rPr>
            </w:pPr>
            <w:r>
              <w:rPr>
                <w:sz w:val="24"/>
              </w:rPr>
              <w:t>GitHub Repository </w:t>
            </w:r>
            <w:r>
              <w:rPr>
                <w:spacing w:val="-4"/>
                <w:sz w:val="24"/>
              </w:rPr>
              <w:t>Link</w:t>
            </w:r>
          </w:p>
        </w:tc>
        <w:tc>
          <w:tcPr>
            <w:tcW w:w="2197" w:type="dxa"/>
          </w:tcPr>
          <w:p>
            <w:pPr>
              <w:pStyle w:val="TableParagraph"/>
              <w:ind w:left="1187"/>
              <w:rPr>
                <w:sz w:val="24"/>
              </w:rPr>
            </w:pPr>
            <w:r>
              <w:rPr>
                <w:spacing w:val="-5"/>
                <w:sz w:val="24"/>
              </w:rPr>
              <w:t>14</w:t>
            </w:r>
          </w:p>
        </w:tc>
      </w:tr>
      <w:tr>
        <w:trPr>
          <w:trHeight w:val="431" w:hRule="atLeast"/>
        </w:trPr>
        <w:tc>
          <w:tcPr>
            <w:tcW w:w="828" w:type="dxa"/>
          </w:tcPr>
          <w:p>
            <w:pPr>
              <w:pStyle w:val="TableParagraph"/>
              <w:spacing w:line="256" w:lineRule="exact"/>
              <w:ind w:right="52"/>
              <w:rPr>
                <w:sz w:val="24"/>
              </w:rPr>
            </w:pPr>
            <w:r>
              <w:rPr>
                <w:spacing w:val="-5"/>
                <w:sz w:val="24"/>
              </w:rPr>
              <w:t>13</w:t>
            </w:r>
          </w:p>
        </w:tc>
        <w:tc>
          <w:tcPr>
            <w:tcW w:w="4204" w:type="dxa"/>
          </w:tcPr>
          <w:p>
            <w:pPr>
              <w:pStyle w:val="TableParagraph"/>
              <w:spacing w:line="256" w:lineRule="exact"/>
              <w:ind w:left="103"/>
              <w:jc w:val="left"/>
              <w:rPr>
                <w:sz w:val="24"/>
              </w:rPr>
            </w:pPr>
            <w:r>
              <w:rPr>
                <w:spacing w:val="-2"/>
                <w:sz w:val="24"/>
              </w:rPr>
              <w:t>Conclusion</w:t>
            </w:r>
          </w:p>
        </w:tc>
        <w:tc>
          <w:tcPr>
            <w:tcW w:w="2197" w:type="dxa"/>
          </w:tcPr>
          <w:p>
            <w:pPr>
              <w:pStyle w:val="TableParagraph"/>
              <w:spacing w:line="256" w:lineRule="exact"/>
              <w:ind w:left="1187"/>
              <w:rPr>
                <w:sz w:val="24"/>
              </w:rPr>
            </w:pPr>
            <w:r>
              <w:rPr>
                <w:spacing w:val="-5"/>
                <w:sz w:val="24"/>
              </w:rPr>
              <w:t>15</w:t>
            </w:r>
          </w:p>
        </w:tc>
      </w:tr>
    </w:tbl>
    <w:p>
      <w:r>
        <w:br w:type="page"/>
      </w:r>
    </w:p>
    <w:p>
      <w:pPr>
        <w:keepNext/>
        <w:spacing w:before="240" w:after="120"/>
      </w:pPr>
      <w:r>
        <w:rPr>
          <w:rFonts w:ascii="Segoe UI" w:hAnsi="Segoe UI"/>
          <w:b/>
          <w:color w:val="1A365D"/>
          <w:sz w:val="36"/>
        </w:rPr>
        <w:t>1. Introduction</w:t>
      </w:r>
    </w:p>
    <w:p>
      <w:pPr>
        <w:spacing w:line="276" w:lineRule="auto" w:after="160"/>
      </w:pPr>
      <w:r>
        <w:rPr>
          <w:rFonts w:ascii="Segoe UI" w:hAnsi="Segoe UI"/>
          <w:i w:val="0"/>
          <w:color w:val="2D3748"/>
          <w:sz w:val="22"/>
        </w:rPr>
        <w:t>In modern quantitative finance, predicting financial asset prices with high precision is considered the holy grail of market analysis. Gold (XAUUSD) has historically stood as one of the most liquid, volatile, and actively traded commodities, acting as a global safe-haven asset during times of macroeconomic instability. However, day-trading gold on short timeframes, such as the 5-minute interval, is an exceptionally difficult endeavor. High-frequency price action is plagued with market noise, non-stationarity, and sudden trend reversals triggered by global interest rate announcements, geopolitical events, and liquidity shifts.</w:t>
      </w:r>
    </w:p>
    <w:p>
      <w:pPr>
        <w:spacing w:line="276" w:lineRule="auto" w:after="160"/>
      </w:pPr>
      <w:r>
        <w:rPr>
          <w:rFonts w:ascii="Segoe UI" w:hAnsi="Segoe UI"/>
          <w:i w:val="0"/>
          <w:color w:val="2D3748"/>
          <w:sz w:val="22"/>
        </w:rPr>
        <w:t>This project introduces a hybrid framework that merges a Retrieval-Augmented Generation (RAG) 'Market Memory' database with a supervised XGBoost (Extreme Gradient Boosting) classifier to forecast gold spot price direction (UP/DOWN) over short-term holding periods. Unlike standard predictive systems that rely solely on lagging technical indicators, our hybrid framework augments the classifier by recalling the closest historical price regimes from a massive 13-year dataset (2010-2026) encompassing over 1.7 million rows of 5-minute candles. By utilizing dense, multi-dimensional embeddings (via sentence-transformers' all-MiniLM-L6-v2) stored inside a sharded ChromaDB vector store, our system retrieves historical trading analogues to guide the XGBoost supervised learner, making predictions highly robust and explainable.</w:t>
      </w:r>
    </w:p>
    <w:p>
      <w:r>
        <w:br w:type="page"/>
      </w:r>
    </w:p>
    <w:p>
      <w:pPr>
        <w:keepNext/>
        <w:spacing w:before="240" w:after="120"/>
      </w:pPr>
      <w:r>
        <w:rPr>
          <w:rFonts w:ascii="Segoe UI" w:hAnsi="Segoe UI"/>
          <w:b/>
          <w:color w:val="1A365D"/>
          <w:sz w:val="36"/>
        </w:rPr>
        <w:t>2. Problem Statement</w:t>
      </w:r>
    </w:p>
    <w:p>
      <w:pPr>
        <w:spacing w:line="276" w:lineRule="auto" w:after="160"/>
      </w:pPr>
      <w:r>
        <w:rPr>
          <w:rFonts w:ascii="Segoe UI" w:hAnsi="Segoe UI"/>
          <w:b/>
          <w:color w:val="2D3748"/>
          <w:sz w:val="22"/>
        </w:rPr>
        <w:t xml:space="preserve">Market Noise and Lagging Signals: </w:t>
      </w:r>
      <w:r>
        <w:rPr>
          <w:rFonts w:ascii="Segoe UI" w:hAnsi="Segoe UI"/>
          <w:i w:val="0"/>
          <w:color w:val="2D3748"/>
          <w:sz w:val="22"/>
        </w:rPr>
        <w:t>Gold spot price prediction on high-frequency timeframes remains highly complex due to several key factors:</w:t>
      </w:r>
    </w:p>
    <w:p>
      <w:pPr>
        <w:spacing w:line="276" w:lineRule="auto" w:after="160"/>
      </w:pPr>
      <w:r>
        <w:rPr>
          <w:rFonts w:ascii="Segoe UI" w:hAnsi="Segoe UI"/>
          <w:i w:val="0"/>
          <w:color w:val="2D3748"/>
          <w:sz w:val="22"/>
        </w:rPr>
        <w:t>Traditional technical indicators (e.g., Relative Strength Index, Moving Average Convergence Divergence, Bollinger Bands) are lagging oscillators. They represent mathematical summaries of past price actions and fail to adapt to rapid, structural shifts in market regimes, leading to false breakouts and high trading drawdown.</w:t>
      </w:r>
    </w:p>
    <w:p>
      <w:pPr>
        <w:spacing w:line="276" w:lineRule="auto" w:after="160"/>
      </w:pPr>
      <w:r>
        <w:rPr>
          <w:rFonts w:ascii="Segoe UI" w:hAnsi="Segoe UI"/>
          <w:b/>
          <w:color w:val="2D3748"/>
          <w:sz w:val="22"/>
        </w:rPr>
        <w:t xml:space="preserve">Lack of Explainability and Transparency: </w:t>
      </w:r>
      <w:r>
        <w:rPr>
          <w:rFonts w:ascii="Segoe UI" w:hAnsi="Segoe UI"/>
          <w:i w:val="0"/>
          <w:color w:val="2D3748"/>
          <w:sz w:val="22"/>
        </w:rPr>
        <w:t>Hedge funds and institutional desks employ complex, high-dimensional quantitative models. However, standard machine learning pipelines suffer from severe overfitting and act as 'black boxes', failing to explain their trading signals with relevant historical contexts.</w:t>
      </w:r>
    </w:p>
    <w:p>
      <w:pPr>
        <w:spacing w:line="276" w:lineRule="auto" w:after="160"/>
      </w:pPr>
      <w:r>
        <w:rPr>
          <w:rFonts w:ascii="Segoe UI" w:hAnsi="Segoe UI"/>
          <w:b/>
          <w:color w:val="2D3748"/>
          <w:sz w:val="22"/>
        </w:rPr>
        <w:t xml:space="preserve">Computational Scaling and Hardware Safety: </w:t>
      </w:r>
      <w:r>
        <w:rPr>
          <w:rFonts w:ascii="Segoe UI" w:hAnsi="Segoe UI"/>
          <w:i w:val="0"/>
          <w:color w:val="2D3748"/>
          <w:sz w:val="22"/>
        </w:rPr>
        <w:t>Processing, indexing, and querying millions of vectors in a local development environment causes Out-of-Memory (OOM) failures on personal workstations, which are limited by standard 16GB RAM footprints. Additionally, heavy multi-threaded embedding computations generate massive thermal stress on developer machines, causing system thermal shutdowns.</w:t>
      </w:r>
    </w:p>
    <w:p>
      <w:r>
        <w:br w:type="page"/>
      </w:r>
    </w:p>
    <w:p>
      <w:pPr>
        <w:keepNext/>
        <w:spacing w:before="240" w:after="120"/>
      </w:pPr>
      <w:r>
        <w:rPr>
          <w:rFonts w:ascii="Segoe UI" w:hAnsi="Segoe UI"/>
          <w:b/>
          <w:color w:val="1A365D"/>
          <w:sz w:val="36"/>
        </w:rPr>
        <w:t>3. Objectives of the Project</w:t>
      </w:r>
    </w:p>
    <w:p>
      <w:pPr>
        <w:spacing w:line="276" w:lineRule="auto" w:after="160"/>
      </w:pPr>
      <w:r>
        <w:rPr>
          <w:rFonts w:ascii="Segoe UI" w:hAnsi="Segoe UI"/>
          <w:i w:val="0"/>
          <w:color w:val="2D3748"/>
          <w:sz w:val="22"/>
        </w:rPr>
        <w:t>The key objectives of this project are:</w:t>
      </w:r>
    </w:p>
    <w:p>
      <w:pPr>
        <w:spacing w:line="276" w:lineRule="auto" w:after="160"/>
      </w:pPr>
      <w:r>
        <w:rPr>
          <w:rFonts w:ascii="Segoe UI" w:hAnsi="Segoe UI"/>
          <w:b/>
          <w:color w:val="2D3748"/>
          <w:sz w:val="22"/>
        </w:rPr>
        <w:t xml:space="preserve">1. Hybrid Machine Learning Architecture: </w:t>
      </w:r>
      <w:r>
        <w:rPr>
          <w:rFonts w:ascii="Segoe UI" w:hAnsi="Segoe UI"/>
          <w:i w:val="0"/>
          <w:color w:val="2D3748"/>
          <w:sz w:val="22"/>
        </w:rPr>
        <w:t>Design a modular system that combines similarity search vector databases (RAG) with supervised tree-based GBDTs (XGBoost) for financial signal generation.</w:t>
      </w:r>
    </w:p>
    <w:p>
      <w:pPr>
        <w:spacing w:line="276" w:lineRule="auto" w:after="160"/>
      </w:pPr>
      <w:r>
        <w:rPr>
          <w:rFonts w:ascii="Segoe UI" w:hAnsi="Segoe UI"/>
          <w:b/>
          <w:color w:val="2D3748"/>
          <w:sz w:val="22"/>
        </w:rPr>
        <w:t xml:space="preserve">2. Memory-Safe Database Sharding: </w:t>
      </w:r>
      <w:r>
        <w:rPr>
          <w:rFonts w:ascii="Segoe UI" w:hAnsi="Segoe UI"/>
          <w:i w:val="0"/>
          <w:color w:val="2D3748"/>
          <w:sz w:val="22"/>
        </w:rPr>
        <w:t>Index over 1.7 million rows (13 years) of high-frequency XAUUSD 5-minute data into a custom 3-shard database structure (gold_legacy, gold_mid, gold_recent) to bypass memory constraints and prevent OOM errors under 16GB RAM limits.</w:t>
      </w:r>
    </w:p>
    <w:p>
      <w:pPr>
        <w:spacing w:line="276" w:lineRule="auto" w:after="160"/>
      </w:pPr>
      <w:r>
        <w:rPr>
          <w:rFonts w:ascii="Segoe UI" w:hAnsi="Segoe UI"/>
          <w:b/>
          <w:color w:val="2D3748"/>
          <w:sz w:val="22"/>
        </w:rPr>
        <w:t xml:space="preserve">3. Precision-Focused Directional Prediction: </w:t>
      </w:r>
      <w:r>
        <w:rPr>
          <w:rFonts w:ascii="Segoe UI" w:hAnsi="Segoe UI"/>
          <w:i w:val="0"/>
          <w:color w:val="2D3748"/>
          <w:sz w:val="22"/>
        </w:rPr>
        <w:t>Utilize Hist-based gradient boosted decision trees to output directional probability signals, using confidence filtering to isolate high-probability trades (&gt;65% confidence).</w:t>
      </w:r>
    </w:p>
    <w:p>
      <w:pPr>
        <w:spacing w:line="276" w:lineRule="auto" w:after="160"/>
      </w:pPr>
      <w:r>
        <w:rPr>
          <w:rFonts w:ascii="Segoe UI" w:hAnsi="Segoe UI"/>
          <w:b/>
          <w:color w:val="2D3748"/>
          <w:sz w:val="22"/>
        </w:rPr>
        <w:t xml:space="preserve">4. Hardware Safety &amp; Thermal Control: </w:t>
      </w:r>
      <w:r>
        <w:rPr>
          <w:rFonts w:ascii="Segoe UI" w:hAnsi="Segoe UI"/>
          <w:i w:val="0"/>
          <w:color w:val="2D3748"/>
          <w:sz w:val="22"/>
        </w:rPr>
        <w:t>Incorporate CPU/GPU thread limiting (in PyTorch) and batch pauses (cooldown delays) to ensure the system is physically stable during high-stress vector database builds.</w:t>
      </w:r>
    </w:p>
    <w:p>
      <w:pPr>
        <w:spacing w:line="276" w:lineRule="auto" w:after="160"/>
      </w:pPr>
      <w:r>
        <w:rPr>
          <w:rFonts w:ascii="Segoe UI" w:hAnsi="Segoe UI"/>
          <w:b/>
          <w:color w:val="2D3748"/>
          <w:sz w:val="22"/>
        </w:rPr>
        <w:t xml:space="preserve">5. Live Monitoring &amp; Deployment: </w:t>
      </w:r>
      <w:r>
        <w:rPr>
          <w:rFonts w:ascii="Segoe UI" w:hAnsi="Segoe UI"/>
          <w:i w:val="0"/>
          <w:color w:val="2D3748"/>
          <w:sz w:val="22"/>
        </w:rPr>
        <w:t>Design and serve a FastAPI backend for low-latency (/predict in &lt;100ms) signal routing and an interactive Streamlit GUI to display historical analogues.</w:t>
      </w:r>
    </w:p>
    <w:p>
      <w:r>
        <w:br w:type="page"/>
      </w:r>
    </w:p>
    <w:p>
      <w:pPr>
        <w:keepNext/>
        <w:spacing w:before="240" w:after="120"/>
      </w:pPr>
      <w:r>
        <w:rPr>
          <w:rFonts w:ascii="Segoe UI" w:hAnsi="Segoe UI"/>
          <w:b/>
          <w:color w:val="1A365D"/>
          <w:sz w:val="36"/>
        </w:rPr>
        <w:t>4. Scope of the Project</w:t>
      </w:r>
    </w:p>
    <w:p>
      <w:pPr>
        <w:spacing w:line="276" w:lineRule="auto" w:after="160"/>
      </w:pPr>
      <w:r>
        <w:rPr>
          <w:rFonts w:ascii="Segoe UI" w:hAnsi="Segoe UI"/>
          <w:i w:val="0"/>
          <w:color w:val="2D3748"/>
          <w:sz w:val="22"/>
        </w:rPr>
        <w:t>The scope of this project covers the entire machine learning pipeline, from data raw ingestion to deployment:</w:t>
      </w:r>
    </w:p>
    <w:p>
      <w:pPr>
        <w:spacing w:line="276" w:lineRule="auto" w:after="160"/>
      </w:pPr>
      <w:r>
        <w:rPr>
          <w:rFonts w:ascii="Segoe UI" w:hAnsi="Segoe UI"/>
          <w:b/>
          <w:color w:val="2D3748"/>
          <w:sz w:val="22"/>
        </w:rPr>
        <w:t xml:space="preserve">• Data Ingestion and Timezone Alignment: </w:t>
      </w:r>
      <w:r>
        <w:rPr>
          <w:rFonts w:ascii="Segoe UI" w:hAnsi="Segoe UI"/>
          <w:i w:val="0"/>
          <w:color w:val="2D3748"/>
          <w:sz w:val="22"/>
        </w:rPr>
        <w:t>Developing a script to merge separate historical Kaggle sets into a single 135 MB master dataset (1.7M rows, 2010-2026), resampling all candles to a standardized 5-minute OHLC format in UTC time.</w:t>
      </w:r>
    </w:p>
    <w:p>
      <w:pPr>
        <w:spacing w:line="276" w:lineRule="auto" w:after="160"/>
      </w:pPr>
      <w:r>
        <w:rPr>
          <w:rFonts w:ascii="Segoe UI" w:hAnsi="Segoe UI"/>
          <w:b/>
          <w:color w:val="2D3748"/>
          <w:sz w:val="22"/>
        </w:rPr>
        <w:t xml:space="preserve">• Engineered Volatility and Momentum Space: </w:t>
      </w:r>
      <w:r>
        <w:rPr>
          <w:rFonts w:ascii="Segoe UI" w:hAnsi="Segoe UI"/>
          <w:i w:val="0"/>
          <w:color w:val="2D3748"/>
          <w:sz w:val="22"/>
        </w:rPr>
        <w:t>Calculating 14 base technical analysis indicators representing volatility, trend, momentum, and custom candlestick geometry (such as wick-to-body ratios).</w:t>
      </w:r>
    </w:p>
    <w:p>
      <w:pPr>
        <w:spacing w:line="276" w:lineRule="auto" w:after="160"/>
      </w:pPr>
      <w:r>
        <w:rPr>
          <w:rFonts w:ascii="Segoe UI" w:hAnsi="Segoe UI"/>
          <w:b/>
          <w:color w:val="2D3748"/>
          <w:sz w:val="22"/>
        </w:rPr>
        <w:t xml:space="preserve">• Past-Only Sharded Pattern Memory: </w:t>
      </w:r>
      <w:r>
        <w:rPr>
          <w:rFonts w:ascii="Segoe UI" w:hAnsi="Segoe UI"/>
          <w:i w:val="0"/>
          <w:color w:val="2D3748"/>
          <w:sz w:val="22"/>
        </w:rPr>
        <w:t>Creating a sharding utility to embed features in chunks using the SentenceTransformers all-MiniLM-L6-v2 model and storing them in ChromaDB. Lookup query relies on lookahead protection ($lt strict timestamp boundary) to prevent data leakage.</w:t>
      </w:r>
    </w:p>
    <w:p>
      <w:pPr>
        <w:spacing w:line="276" w:lineRule="auto" w:after="160"/>
      </w:pPr>
      <w:r>
        <w:rPr>
          <w:rFonts w:ascii="Segoe UI" w:hAnsi="Segoe UI"/>
          <w:b/>
          <w:color w:val="2D3748"/>
          <w:sz w:val="22"/>
        </w:rPr>
        <w:t xml:space="preserve">• Walk-Forward Classifier Optimization: </w:t>
      </w:r>
      <w:r>
        <w:rPr>
          <w:rFonts w:ascii="Segoe UI" w:hAnsi="Segoe UI"/>
          <w:i w:val="0"/>
          <w:color w:val="2D3748"/>
          <w:sz w:val="22"/>
        </w:rPr>
        <w:t>Training a robust Hist-based XGBoost model over 1.3 million historical samples using Purged Walk-Forward Cross-Validation, ensuring zero lookahead leakage.</w:t>
      </w:r>
    </w:p>
    <w:p>
      <w:pPr>
        <w:spacing w:line="276" w:lineRule="auto" w:after="160"/>
      </w:pPr>
      <w:r>
        <w:rPr>
          <w:rFonts w:ascii="Segoe UI" w:hAnsi="Segoe UI"/>
          <w:b/>
          <w:color w:val="2D3748"/>
          <w:sz w:val="22"/>
        </w:rPr>
        <w:t xml:space="preserve">• Enterprise REST and Dashboard Layer: </w:t>
      </w:r>
      <w:r>
        <w:rPr>
          <w:rFonts w:ascii="Segoe UI" w:hAnsi="Segoe UI"/>
          <w:i w:val="0"/>
          <w:color w:val="2D3748"/>
          <w:sz w:val="22"/>
        </w:rPr>
        <w:t>Creating high-speed web services utilizing FastAPI and Streamlit to serve traders with instant predictions and matching price-chart regimes.</w:t>
      </w:r>
    </w:p>
    <w:p>
      <w:r>
        <w:br w:type="page"/>
      </w:r>
    </w:p>
    <w:p>
      <w:pPr>
        <w:keepNext/>
        <w:spacing w:before="240" w:after="120"/>
      </w:pPr>
      <w:r>
        <w:rPr>
          <w:rFonts w:ascii="Segoe UI" w:hAnsi="Segoe UI"/>
          <w:b/>
          <w:color w:val="1A365D"/>
          <w:sz w:val="36"/>
        </w:rPr>
        <w:t>5. Methodology</w:t>
      </w:r>
    </w:p>
    <w:p>
      <w:pPr>
        <w:spacing w:line="276" w:lineRule="auto" w:after="160"/>
      </w:pPr>
      <w:r>
        <w:rPr>
          <w:rFonts w:ascii="Segoe UI" w:hAnsi="Segoe UI"/>
          <w:i w:val="0"/>
          <w:color w:val="2D3748"/>
          <w:sz w:val="22"/>
        </w:rPr>
        <w:t>The project methodology is structured into distinct, systematic phases to ensure a robust quantitative setup:</w:t>
      </w:r>
    </w:p>
    <w:p>
      <w:pPr>
        <w:spacing w:line="276" w:lineRule="auto" w:after="160"/>
      </w:pPr>
      <w:r>
        <w:rPr>
          <w:rFonts w:ascii="Segoe UI" w:hAnsi="Segoe UI"/>
          <w:b/>
          <w:color w:val="2D3748"/>
          <w:sz w:val="22"/>
        </w:rPr>
        <w:t xml:space="preserve">Phase 1: Ingestion &amp; Standardization. </w:t>
      </w:r>
      <w:r>
        <w:rPr>
          <w:rFonts w:ascii="Segoe UI" w:hAnsi="Segoe UI"/>
          <w:i w:val="0"/>
          <w:color w:val="2D3748"/>
          <w:sz w:val="22"/>
        </w:rPr>
        <w:t>Historical Kaggle datasets (XAUUSD 1-minute and 5-minute CSVs) are combined. Timestamps are parsed and standardized into naive UTC representations (removing broker and regional offset differences) to ensure uniform historical indexes. We resample all data to a uniform 5-minute interval.</w:t>
      </w:r>
    </w:p>
    <w:p>
      <w:pPr>
        <w:spacing w:line="276" w:lineRule="auto" w:after="160"/>
      </w:pPr>
      <w:r>
        <w:rPr>
          <w:rFonts w:ascii="Segoe UI" w:hAnsi="Segoe UI"/>
          <w:b/>
          <w:color w:val="2D3748"/>
          <w:sz w:val="22"/>
        </w:rPr>
        <w:t xml:space="preserve">Phase 2: High-Dimensional Feature Engineering. </w:t>
      </w:r>
      <w:r>
        <w:rPr>
          <w:rFonts w:ascii="Segoe UI" w:hAnsi="Segoe UI"/>
          <w:i w:val="0"/>
          <w:color w:val="2D3748"/>
          <w:sz w:val="22"/>
        </w:rPr>
        <w:t>We build a 22-dimensional feature vector. This features momentum indicators (RSI, MACD, MACD Histogram), trend indicators (Exponential Moving Averages), volatility indicators (Bollinger Bands, Bollinger Width, Average True Range), and candlestick geometries (body ratio, upper wick ratio, lower wick ratio) to represent current price structures.</w:t>
      </w:r>
    </w:p>
    <w:p>
      <w:pPr>
        <w:spacing w:line="276" w:lineRule="auto" w:after="160"/>
      </w:pPr>
      <w:r>
        <w:rPr>
          <w:rFonts w:ascii="Segoe UI" w:hAnsi="Segoe UI"/>
          <w:b/>
          <w:color w:val="2D3748"/>
          <w:sz w:val="22"/>
        </w:rPr>
        <w:t xml:space="preserve">Phase 3: Sharded Memory DB &amp; Safe RAG. </w:t>
      </w:r>
      <w:r>
        <w:rPr>
          <w:rFonts w:ascii="Segoe UI" w:hAnsi="Segoe UI"/>
          <w:i w:val="0"/>
          <w:color w:val="2D3748"/>
          <w:sz w:val="22"/>
        </w:rPr>
        <w:t>Due to local memory limits, the 1.7M rows of feature vectors are sharded into three databases: 'gold_legacy' (earliest data), 'gold_mid' (intermediate data), and 'gold_recent' (recent data). We map these vectors to 384-dimensional dense vectors using sentence-transformers, applying a PyTorch thread throttle and cooldowns to maintain workstation CPU temperatures under 85°C. At query time, we perform a cosine similarity search across these shards, filtering for historical twins that occurred strictly before the query's timestamp to prevent lookahead bias.</w:t>
      </w:r>
    </w:p>
    <w:p>
      <w:pPr>
        <w:spacing w:line="276" w:lineRule="auto" w:after="160"/>
      </w:pPr>
      <w:r>
        <w:rPr>
          <w:rFonts w:ascii="Segoe UI" w:hAnsi="Segoe UI"/>
          <w:b/>
          <w:color w:val="2D3748"/>
          <w:sz w:val="22"/>
        </w:rPr>
        <w:t xml:space="preserve">Phase 4: Walk-Forward Classifier Training. </w:t>
      </w:r>
      <w:r>
        <w:rPr>
          <w:rFonts w:ascii="Segoe UI" w:hAnsi="Segoe UI"/>
          <w:i w:val="0"/>
          <w:color w:val="2D3748"/>
          <w:sz w:val="22"/>
        </w:rPr>
        <w:t>An XGBoost classifier using a Hist-based histogram split finder is trained on over 1.3 million samples. The training inputs include our engineered features combined with RAG-retrieved historical regimes similarity indexes. Purged walk-forward validation splits are leveraged to prevent overfitting and measure generalization accurately.</w:t>
      </w:r>
    </w:p>
    <w:p>
      <w:pPr>
        <w:spacing w:line="276" w:lineRule="auto" w:after="160"/>
      </w:pPr>
      <w:r>
        <w:rPr>
          <w:rFonts w:ascii="Segoe UI" w:hAnsi="Segoe UI"/>
          <w:b/>
          <w:color w:val="2D3748"/>
          <w:sz w:val="22"/>
        </w:rPr>
        <w:t xml:space="preserve">Phase 5: Dual Interface Deployment. </w:t>
      </w:r>
      <w:r>
        <w:rPr>
          <w:rFonts w:ascii="Segoe UI" w:hAnsi="Segoe UI"/>
          <w:i w:val="0"/>
          <w:color w:val="2D3748"/>
          <w:sz w:val="22"/>
        </w:rPr>
        <w:t>The trained model is exported to an optimized 'models/xgb_model.json' file. We create a FastAPI application exposing a '/predict' endpoint that processes OHLC inputs, corrects incoming timezones, queries the vector databases, and yields directional predictions. An interactive Streamlit dashboard queries this API to show live signals, model probabilities, and top-5 past analogues on a Plotly candlestick chart.</w:t>
      </w:r>
    </w:p>
    <w:p>
      <w:r>
        <w:br w:type="page"/>
      </w:r>
    </w:p>
    <w:p>
      <w:pPr>
        <w:keepNext/>
        <w:spacing w:before="240" w:after="120"/>
      </w:pPr>
      <w:r>
        <w:rPr>
          <w:rFonts w:ascii="Segoe UI" w:hAnsi="Segoe UI"/>
          <w:b/>
          <w:color w:val="1A365D"/>
          <w:sz w:val="36"/>
        </w:rPr>
        <w:t>6. Flow Chart</w:t>
      </w:r>
    </w:p>
    <w:p>
      <w:pPr>
        <w:spacing w:line="276" w:lineRule="auto" w:after="160"/>
      </w:pPr>
      <w:r>
        <w:rPr>
          <w:rFonts w:ascii="Segoe UI" w:hAnsi="Segoe UI"/>
          <w:i w:val="0"/>
          <w:color w:val="2D3748"/>
          <w:sz w:val="22"/>
        </w:rPr>
        <w:t>The Flow Chart below illustrates the path of market data as it moves through ingestion, timezone normalization, feature calculations, sharded vector indexing in ChromaDB, training in XGBoost, and delivery through endpoints to Streamlit:</w:t>
      </w:r>
    </w:p>
    <w:p>
      <w:r>
        <w:drawing>
          <wp:inline>
            <wp:extent cx="5486400" cy="3269673"/>
            <wp:docPr id="5" name="Picture 5"/>
            <wp:cNvGraphicFramePr>
              <a:graphicFrameLocks noChangeAspect="1"/>
            </wp:cNvGraphicFramePr>
            <a:graphic>
              <a:graphicData uri="http://schemas.openxmlformats.org/drawingml/2006/picture">
                <pic:pic>
                  <pic:nvPicPr>
                    <pic:cNvPr id="0" name="flowchart.png"/>
                    <pic:cNvPicPr/>
                  </pic:nvPicPr>
                  <pic:blipFill>
                    <a:blip r:embed="rId8"/>
                    <a:stretch>
                      <a:fillRect/>
                    </a:stretch>
                  </pic:blipFill>
                  <pic:spPr>
                    <a:xfrm>
                      <a:off x="0" y="0"/>
                      <a:ext cx="5486400" cy="3269673"/>
                    </a:xfrm>
                    <a:prstGeom prst="rect"/>
                  </pic:spPr>
                </pic:pic>
              </a:graphicData>
            </a:graphic>
          </wp:inline>
        </w:drawing>
      </w:r>
    </w:p>
    <w:p>
      <w:pPr>
        <w:jc w:val="center"/>
      </w:pPr>
      <w:r>
        <w:rPr>
          <w:i/>
          <w:sz w:val="20"/>
        </w:rPr>
        <w:t>Figure 6.1: XAUUSD Predictor System Architecture &amp; Data Flow</w:t>
      </w:r>
    </w:p>
    <w:p>
      <w:r>
        <w:br w:type="page"/>
      </w:r>
    </w:p>
    <w:p>
      <w:pPr>
        <w:keepNext/>
        <w:spacing w:before="240" w:after="120"/>
      </w:pPr>
      <w:r>
        <w:rPr>
          <w:rFonts w:ascii="Segoe UI" w:hAnsi="Segoe UI"/>
          <w:b/>
          <w:color w:val="1A365D"/>
          <w:sz w:val="36"/>
        </w:rPr>
        <w:t>7. Use Case Diagram</w:t>
      </w:r>
    </w:p>
    <w:p>
      <w:pPr>
        <w:spacing w:line="276" w:lineRule="auto" w:after="160"/>
      </w:pPr>
      <w:r>
        <w:rPr>
          <w:rFonts w:ascii="Segoe UI" w:hAnsi="Segoe UI"/>
          <w:i w:val="0"/>
          <w:color w:val="2D3748"/>
          <w:sz w:val="22"/>
        </w:rPr>
        <w:t>The Use Case Diagram displays user and automated actor operations. The Quantitative Trader queries signals and views charts, while the System Administrator handles vector DB builds, model training, and performance reviews:</w:t>
      </w:r>
    </w:p>
    <w:p>
      <w:r>
        <w:drawing>
          <wp:inline>
            <wp:extent cx="5029200" cy="3755985"/>
            <wp:docPr id="6" name="Picture 6"/>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029200" cy="3755985"/>
                    </a:xfrm>
                    <a:prstGeom prst="rect"/>
                  </pic:spPr>
                </pic:pic>
              </a:graphicData>
            </a:graphic>
          </wp:inline>
        </w:drawing>
      </w:r>
    </w:p>
    <w:p>
      <w:pPr>
        <w:jc w:val="center"/>
      </w:pPr>
      <w:r>
        <w:rPr>
          <w:i/>
          <w:sz w:val="20"/>
        </w:rPr>
        <w:t>Figure 7.1: XAUUSD Predictor Use Case Diagram</w:t>
      </w:r>
    </w:p>
    <w:p>
      <w:r>
        <w:br w:type="page"/>
      </w:r>
    </w:p>
    <w:p>
      <w:pPr>
        <w:keepNext/>
        <w:spacing w:before="240" w:after="120"/>
      </w:pPr>
      <w:r>
        <w:rPr>
          <w:rFonts w:ascii="Segoe UI" w:hAnsi="Segoe UI"/>
          <w:b/>
          <w:color w:val="1A365D"/>
          <w:sz w:val="36"/>
        </w:rPr>
        <w:t>8. Tools and Technologies Used</w:t>
      </w:r>
    </w:p>
    <w:p>
      <w:pPr>
        <w:spacing w:line="276" w:lineRule="auto" w:after="160"/>
      </w:pPr>
      <w:r>
        <w:rPr>
          <w:rFonts w:ascii="Segoe UI" w:hAnsi="Segoe UI"/>
          <w:i w:val="0"/>
          <w:color w:val="2D3748"/>
          <w:sz w:val="22"/>
        </w:rPr>
        <w:t>The system was developed completely within the Python ecosystem, utilizing libraries chosen for performance, reliability, and compatibility. The main technologies are summarized in Table 8.1:</w:t>
      </w:r>
    </w:p>
    <w:tbl>
      <w:tblPr>
        <w:tblW w:type="auto" w:w="0"/>
        <w:tblLook w:firstColumn="1" w:firstRow="1" w:lastColumn="0" w:lastRow="0" w:noHBand="0" w:noVBand="1" w:val="04A0"/>
      </w:tblPr>
      <w:tblGrid>
        <w:gridCol w:w="3117"/>
        <w:gridCol w:w="3117"/>
        <w:gridCol w:w="3117"/>
      </w:tblGrid>
      <w:tr>
        <w:tc>
          <w:tcPr>
            <w:tcW w:type="dxa" w:w="3117"/>
            <w:shd w:fill="1A365D"/>
          </w:tcPr>
          <w:p>
            <w:r>
              <w:rPr>
                <w:b/>
                <w:color w:val="FFFFFF"/>
                <w:sz w:val="20"/>
              </w:rPr>
              <w:t>Category</w:t>
            </w:r>
          </w:p>
        </w:tc>
        <w:tc>
          <w:tcPr>
            <w:tcW w:type="dxa" w:w="3117"/>
            <w:shd w:fill="1A365D"/>
          </w:tcPr>
          <w:p>
            <w:r>
              <w:rPr>
                <w:b/>
                <w:color w:val="FFFFFF"/>
                <w:sz w:val="20"/>
              </w:rPr>
              <w:t>Tool / Library Name</w:t>
            </w:r>
          </w:p>
        </w:tc>
        <w:tc>
          <w:tcPr>
            <w:tcW w:type="dxa" w:w="3117"/>
            <w:shd w:fill="1A365D"/>
          </w:tcPr>
          <w:p>
            <w:r>
              <w:rPr>
                <w:b/>
                <w:color w:val="FFFFFF"/>
                <w:sz w:val="20"/>
              </w:rPr>
              <w:t>Primary Purpose in System</w:t>
            </w:r>
          </w:p>
        </w:tc>
      </w:tr>
      <w:tr>
        <w:tc>
          <w:tcPr>
            <w:tcW w:type="dxa" w:w="3117"/>
          </w:tcPr>
          <w:p>
            <w:r>
              <w:rPr>
                <w:color w:val="2D3748"/>
                <w:sz w:val="19"/>
              </w:rPr>
              <w:t>Language</w:t>
            </w:r>
          </w:p>
        </w:tc>
        <w:tc>
          <w:tcPr>
            <w:tcW w:type="dxa" w:w="3117"/>
          </w:tcPr>
          <w:p>
            <w:r>
              <w:rPr>
                <w:color w:val="2D3748"/>
                <w:sz w:val="19"/>
              </w:rPr>
              <w:t>Python 3.11</w:t>
            </w:r>
          </w:p>
        </w:tc>
        <w:tc>
          <w:tcPr>
            <w:tcW w:type="dxa" w:w="3117"/>
          </w:tcPr>
          <w:p>
            <w:r>
              <w:rPr>
                <w:color w:val="2D3748"/>
                <w:sz w:val="19"/>
              </w:rPr>
              <w:t>Central codebase, scripts, and library execution.</w:t>
            </w:r>
          </w:p>
        </w:tc>
      </w:tr>
      <w:tr>
        <w:tc>
          <w:tcPr>
            <w:tcW w:type="dxa" w:w="3117"/>
          </w:tcPr>
          <w:p>
            <w:r>
              <w:rPr>
                <w:color w:val="2D3748"/>
                <w:sz w:val="19"/>
              </w:rPr>
              <w:t>Data Processing</w:t>
            </w:r>
          </w:p>
        </w:tc>
        <w:tc>
          <w:tcPr>
            <w:tcW w:type="dxa" w:w="3117"/>
          </w:tcPr>
          <w:p>
            <w:r>
              <w:rPr>
                <w:color w:val="2D3748"/>
                <w:sz w:val="19"/>
              </w:rPr>
              <w:t>Pandas, NumPy, yfinance</w:t>
            </w:r>
          </w:p>
        </w:tc>
        <w:tc>
          <w:tcPr>
            <w:tcW w:type="dxa" w:w="3117"/>
          </w:tcPr>
          <w:p>
            <w:r>
              <w:rPr>
                <w:color w:val="2D3748"/>
                <w:sz w:val="19"/>
              </w:rPr>
              <w:t>High-frequency time-series ingestion, resampling, and OHLC handling.</w:t>
            </w:r>
          </w:p>
        </w:tc>
      </w:tr>
      <w:tr>
        <w:tc>
          <w:tcPr>
            <w:tcW w:type="dxa" w:w="3117"/>
          </w:tcPr>
          <w:p>
            <w:r>
              <w:rPr>
                <w:color w:val="2D3748"/>
                <w:sz w:val="19"/>
              </w:rPr>
              <w:t>Technical Analysis</w:t>
            </w:r>
          </w:p>
        </w:tc>
        <w:tc>
          <w:tcPr>
            <w:tcW w:type="dxa" w:w="3117"/>
          </w:tcPr>
          <w:p>
            <w:r>
              <w:rPr>
                <w:color w:val="2D3748"/>
                <w:sz w:val="19"/>
              </w:rPr>
              <w:t>ta library</w:t>
            </w:r>
          </w:p>
        </w:tc>
        <w:tc>
          <w:tcPr>
            <w:tcW w:type="dxa" w:w="3117"/>
          </w:tcPr>
          <w:p>
            <w:r>
              <w:rPr>
                <w:color w:val="2D3748"/>
                <w:sz w:val="19"/>
              </w:rPr>
              <w:t>Custom feature engineering (RSI, MACD, BB, ATR indicators).</w:t>
            </w:r>
          </w:p>
        </w:tc>
      </w:tr>
      <w:tr>
        <w:tc>
          <w:tcPr>
            <w:tcW w:type="dxa" w:w="3117"/>
          </w:tcPr>
          <w:p>
            <w:r>
              <w:rPr>
                <w:color w:val="2D3748"/>
                <w:sz w:val="19"/>
              </w:rPr>
              <w:t>Vector database (RAG)</w:t>
            </w:r>
          </w:p>
        </w:tc>
        <w:tc>
          <w:tcPr>
            <w:tcW w:type="dxa" w:w="3117"/>
          </w:tcPr>
          <w:p>
            <w:r>
              <w:rPr>
                <w:color w:val="2D3748"/>
                <w:sz w:val="19"/>
              </w:rPr>
              <w:t>ChromaDB, SentenceTransformers</w:t>
            </w:r>
          </w:p>
        </w:tc>
        <w:tc>
          <w:tcPr>
            <w:tcW w:type="dxa" w:w="3117"/>
          </w:tcPr>
          <w:p>
            <w:r>
              <w:rPr>
                <w:color w:val="2D3748"/>
                <w:sz w:val="19"/>
              </w:rPr>
              <w:t>Storing and retrieving 1.7M+ historical market regime vectors via cosine similarity.</w:t>
            </w:r>
          </w:p>
        </w:tc>
      </w:tr>
      <w:tr>
        <w:tc>
          <w:tcPr>
            <w:tcW w:type="dxa" w:w="3117"/>
          </w:tcPr>
          <w:p>
            <w:r>
              <w:rPr>
                <w:color w:val="2D3748"/>
                <w:sz w:val="19"/>
              </w:rPr>
              <w:t>Machine Learning</w:t>
            </w:r>
          </w:p>
        </w:tc>
        <w:tc>
          <w:tcPr>
            <w:tcW w:type="dxa" w:w="3117"/>
          </w:tcPr>
          <w:p>
            <w:r>
              <w:rPr>
                <w:color w:val="2D3748"/>
                <w:sz w:val="19"/>
              </w:rPr>
              <w:t>XGBoost, Scikit-learn</w:t>
            </w:r>
          </w:p>
        </w:tc>
        <w:tc>
          <w:tcPr>
            <w:tcW w:type="dxa" w:w="3117"/>
          </w:tcPr>
          <w:p>
            <w:r>
              <w:rPr>
                <w:color w:val="2D3748"/>
                <w:sz w:val="19"/>
              </w:rPr>
              <w:t>Building and training Hist-based supervised classifier trees with Walk-Forward splits.</w:t>
            </w:r>
          </w:p>
        </w:tc>
      </w:tr>
      <w:tr>
        <w:tc>
          <w:tcPr>
            <w:tcW w:type="dxa" w:w="3117"/>
          </w:tcPr>
          <w:p>
            <w:r>
              <w:rPr>
                <w:color w:val="2D3748"/>
                <w:sz w:val="19"/>
              </w:rPr>
              <w:t>API Framework</w:t>
            </w:r>
          </w:p>
        </w:tc>
        <w:tc>
          <w:tcPr>
            <w:tcW w:type="dxa" w:w="3117"/>
          </w:tcPr>
          <w:p>
            <w:r>
              <w:rPr>
                <w:color w:val="2D3748"/>
                <w:sz w:val="19"/>
              </w:rPr>
              <w:t>FastAPI, Uvicorn, Pydantic</w:t>
            </w:r>
          </w:p>
        </w:tc>
        <w:tc>
          <w:tcPr>
            <w:tcW w:type="dxa" w:w="3117"/>
          </w:tcPr>
          <w:p>
            <w:r>
              <w:rPr>
                <w:color w:val="2D3748"/>
                <w:sz w:val="19"/>
              </w:rPr>
              <w:t>Sub-100ms prediction hosting, timezone auto-fix, and input model checks.</w:t>
            </w:r>
          </w:p>
        </w:tc>
      </w:tr>
      <w:tr>
        <w:tc>
          <w:tcPr>
            <w:tcW w:type="dxa" w:w="3117"/>
          </w:tcPr>
          <w:p>
            <w:r>
              <w:rPr>
                <w:color w:val="2D3748"/>
                <w:sz w:val="19"/>
              </w:rPr>
              <w:t>Dashboard GUI</w:t>
            </w:r>
          </w:p>
        </w:tc>
        <w:tc>
          <w:tcPr>
            <w:tcW w:type="dxa" w:w="3117"/>
          </w:tcPr>
          <w:p>
            <w:r>
              <w:rPr>
                <w:color w:val="2D3748"/>
                <w:sz w:val="19"/>
              </w:rPr>
              <w:t>Streamlit, Plotly</w:t>
            </w:r>
          </w:p>
        </w:tc>
        <w:tc>
          <w:tcPr>
            <w:tcW w:type="dxa" w:w="3117"/>
          </w:tcPr>
          <w:p>
            <w:r>
              <w:rPr>
                <w:color w:val="2D3748"/>
                <w:sz w:val="19"/>
              </w:rPr>
              <w:t>Interactive charting, system metrics monitor, and analogous past twin views.</w:t>
            </w:r>
          </w:p>
        </w:tc>
      </w:tr>
    </w:tbl>
    <w:p>
      <w:r>
        <w:br w:type="page"/>
      </w:r>
    </w:p>
    <w:p>
      <w:pPr>
        <w:keepNext/>
        <w:spacing w:before="240" w:after="120"/>
      </w:pPr>
      <w:r>
        <w:rPr>
          <w:rFonts w:ascii="Segoe UI" w:hAnsi="Segoe UI"/>
          <w:b/>
          <w:color w:val="1A365D"/>
          <w:sz w:val="36"/>
        </w:rPr>
        <w:t>9. Results and Snapshots</w:t>
      </w:r>
    </w:p>
    <w:p>
      <w:pPr>
        <w:spacing w:line="276" w:lineRule="auto" w:after="160"/>
      </w:pPr>
      <w:r>
        <w:rPr>
          <w:rFonts w:ascii="Segoe UI" w:hAnsi="Segoe UI"/>
          <w:i w:val="0"/>
          <w:color w:val="2D3748"/>
          <w:sz w:val="22"/>
        </w:rPr>
        <w:t>Model training on the final consolidated 1.7 million row dataset yielded highly robust validation results. To minimize false signals, we implemented a Confidence Filter. Rather than taking every trade, the system only logs a trade when the model probability exceeds a designated threshold. The validation metrics are shown in Table 9.1:</w:t>
      </w:r>
    </w:p>
    <w:tbl>
      <w:tblPr>
        <w:tblW w:type="auto" w:w="0"/>
        <w:tblLook w:firstColumn="1" w:firstRow="1" w:lastColumn="0" w:lastRow="0" w:noHBand="0" w:noVBand="1" w:val="04A0"/>
      </w:tblPr>
      <w:tblGrid>
        <w:gridCol w:w="3117"/>
        <w:gridCol w:w="3117"/>
        <w:gridCol w:w="3117"/>
      </w:tblGrid>
      <w:tr>
        <w:tc>
          <w:tcPr>
            <w:tcW w:type="dxa" w:w="3117"/>
            <w:shd w:fill="234E52"/>
          </w:tcPr>
          <w:p>
            <w:r>
              <w:rPr>
                <w:b/>
                <w:color w:val="FFFFFF"/>
                <w:sz w:val="20"/>
              </w:rPr>
              <w:t>Confidence Threshold</w:t>
            </w:r>
          </w:p>
        </w:tc>
        <w:tc>
          <w:tcPr>
            <w:tcW w:type="dxa" w:w="3117"/>
            <w:shd w:fill="234E52"/>
          </w:tcPr>
          <w:p>
            <w:r>
              <w:rPr>
                <w:b/>
                <w:color w:val="FFFFFF"/>
                <w:sz w:val="20"/>
              </w:rPr>
              <w:t>Directional Accuracy</w:t>
            </w:r>
          </w:p>
        </w:tc>
        <w:tc>
          <w:tcPr>
            <w:tcW w:type="dxa" w:w="3117"/>
            <w:shd w:fill="234E52"/>
          </w:tcPr>
          <w:p>
            <w:r>
              <w:rPr>
                <w:b/>
                <w:color w:val="FFFFFF"/>
                <w:sz w:val="20"/>
              </w:rPr>
              <w:t>Total Trades Logged (Test Set)</w:t>
            </w:r>
          </w:p>
        </w:tc>
      </w:tr>
      <w:tr>
        <w:tc>
          <w:tcPr>
            <w:tcW w:type="dxa" w:w="3117"/>
          </w:tcPr>
          <w:p>
            <w:r>
              <w:rPr>
                <w:color w:val="2D3748"/>
                <w:sz w:val="19"/>
              </w:rPr>
              <w:t>Standard (All Trades)</w:t>
            </w:r>
          </w:p>
        </w:tc>
        <w:tc>
          <w:tcPr>
            <w:tcW w:type="dxa" w:w="3117"/>
          </w:tcPr>
          <w:p>
            <w:r>
              <w:rPr>
                <w:color w:val="2D3748"/>
                <w:sz w:val="19"/>
              </w:rPr>
              <w:t>52.80%</w:t>
            </w:r>
          </w:p>
        </w:tc>
        <w:tc>
          <w:tcPr>
            <w:tcW w:type="dxa" w:w="3117"/>
          </w:tcPr>
          <w:p>
            <w:r>
              <w:rPr>
                <w:color w:val="2D3748"/>
                <w:sz w:val="19"/>
              </w:rPr>
              <w:t>336,147</w:t>
            </w:r>
          </w:p>
        </w:tc>
      </w:tr>
      <w:tr>
        <w:tc>
          <w:tcPr>
            <w:tcW w:type="dxa" w:w="3117"/>
          </w:tcPr>
          <w:p>
            <w:r>
              <w:rPr>
                <w:color w:val="2D3748"/>
                <w:sz w:val="19"/>
              </w:rPr>
              <w:t>55% Confidence</w:t>
            </w:r>
          </w:p>
        </w:tc>
        <w:tc>
          <w:tcPr>
            <w:tcW w:type="dxa" w:w="3117"/>
          </w:tcPr>
          <w:p>
            <w:r>
              <w:rPr>
                <w:color w:val="2D3748"/>
                <w:sz w:val="19"/>
              </w:rPr>
              <w:t>55.75%</w:t>
            </w:r>
          </w:p>
        </w:tc>
        <w:tc>
          <w:tcPr>
            <w:tcW w:type="dxa" w:w="3117"/>
          </w:tcPr>
          <w:p>
            <w:r>
              <w:rPr>
                <w:color w:val="2D3748"/>
                <w:sz w:val="19"/>
              </w:rPr>
              <w:t>132,805</w:t>
            </w:r>
          </w:p>
        </w:tc>
      </w:tr>
      <w:tr>
        <w:tc>
          <w:tcPr>
            <w:tcW w:type="dxa" w:w="3117"/>
          </w:tcPr>
          <w:p>
            <w:r>
              <w:rPr>
                <w:color w:val="2D3748"/>
                <w:sz w:val="19"/>
              </w:rPr>
              <w:t>60% Confidence</w:t>
            </w:r>
          </w:p>
        </w:tc>
        <w:tc>
          <w:tcPr>
            <w:tcW w:type="dxa" w:w="3117"/>
          </w:tcPr>
          <w:p>
            <w:r>
              <w:rPr>
                <w:color w:val="2D3748"/>
                <w:sz w:val="19"/>
              </w:rPr>
              <w:t>66.28%</w:t>
            </w:r>
          </w:p>
        </w:tc>
        <w:tc>
          <w:tcPr>
            <w:tcW w:type="dxa" w:w="3117"/>
          </w:tcPr>
          <w:p>
            <w:r>
              <w:rPr>
                <w:color w:val="2D3748"/>
                <w:sz w:val="19"/>
              </w:rPr>
              <w:t>26,488</w:t>
            </w:r>
          </w:p>
        </w:tc>
      </w:tr>
      <w:tr>
        <w:tc>
          <w:tcPr>
            <w:tcW w:type="dxa" w:w="3117"/>
          </w:tcPr>
          <w:p>
            <w:r>
              <w:rPr>
                <w:b/>
                <w:color w:val="2F855A"/>
                <w:sz w:val="19"/>
              </w:rPr>
              <w:t>65% Confidence</w:t>
            </w:r>
          </w:p>
        </w:tc>
        <w:tc>
          <w:tcPr>
            <w:tcW w:type="dxa" w:w="3117"/>
          </w:tcPr>
          <w:p>
            <w:r>
              <w:rPr>
                <w:b/>
                <w:color w:val="2F855A"/>
                <w:sz w:val="19"/>
              </w:rPr>
              <w:t>83.92%</w:t>
            </w:r>
          </w:p>
        </w:tc>
        <w:tc>
          <w:tcPr>
            <w:tcW w:type="dxa" w:w="3117"/>
          </w:tcPr>
          <w:p>
            <w:r>
              <w:rPr>
                <w:b/>
                <w:color w:val="2F855A"/>
                <w:sz w:val="19"/>
              </w:rPr>
              <w:t>10,589</w:t>
            </w:r>
          </w:p>
        </w:tc>
      </w:tr>
      <w:tr>
        <w:tc>
          <w:tcPr>
            <w:tcW w:type="dxa" w:w="3117"/>
          </w:tcPr>
          <w:p>
            <w:r>
              <w:rPr>
                <w:b/>
                <w:color w:val="2F855A"/>
                <w:sz w:val="19"/>
              </w:rPr>
              <w:t>70% Confidence</w:t>
            </w:r>
          </w:p>
        </w:tc>
        <w:tc>
          <w:tcPr>
            <w:tcW w:type="dxa" w:w="3117"/>
          </w:tcPr>
          <w:p>
            <w:r>
              <w:rPr>
                <w:b/>
                <w:color w:val="2F855A"/>
                <w:sz w:val="19"/>
              </w:rPr>
              <w:t>88.54%</w:t>
            </w:r>
          </w:p>
        </w:tc>
        <w:tc>
          <w:tcPr>
            <w:tcW w:type="dxa" w:w="3117"/>
          </w:tcPr>
          <w:p>
            <w:r>
              <w:rPr>
                <w:b/>
                <w:color w:val="2F855A"/>
                <w:sz w:val="19"/>
              </w:rPr>
              <w:t>8,462</w:t>
            </w:r>
          </w:p>
        </w:tc>
      </w:tr>
    </w:tbl>
    <w:p>
      <w:pPr>
        <w:spacing w:line="276" w:lineRule="auto" w:after="160"/>
      </w:pPr>
      <w:r>
        <w:rPr>
          <w:rFonts w:ascii="Segoe UI" w:hAnsi="Segoe UI"/>
          <w:b/>
          <w:color w:val="2D3748"/>
          <w:sz w:val="22"/>
        </w:rPr>
        <w:t xml:space="preserve">Key Finding on Confidence Filtering: </w:t>
      </w:r>
      <w:r>
        <w:rPr>
          <w:rFonts w:ascii="Segoe UI" w:hAnsi="Segoe UI"/>
          <w:i w:val="0"/>
          <w:color w:val="2D3748"/>
          <w:sz w:val="22"/>
        </w:rPr>
        <w:t>By enforcing a 65% confidence filter, we achieve a phenomenal 83.92% directional accuracy (over 10,589 trades on the test set), which is extremely high in high-frequency trading. Feature importance calculations revealed that the top technical factors determining gold spot movements are:</w:t>
      </w:r>
    </w:p>
    <w:p>
      <w:pPr>
        <w:spacing w:line="276" w:lineRule="auto" w:after="160"/>
      </w:pPr>
      <w:r>
        <w:rPr>
          <w:rFonts w:ascii="Segoe UI" w:hAnsi="Segoe UI"/>
          <w:i w:val="0"/>
          <w:color w:val="2D3748"/>
          <w:sz w:val="22"/>
        </w:rPr>
        <w:t>Bollinger Band Position (bb_position at 12.82% importance): Captures if gold is overbought/oversold relative to recent volatility ranges.</w:t>
      </w:r>
    </w:p>
    <w:p>
      <w:pPr>
        <w:spacing w:line="276" w:lineRule="auto" w:after="160"/>
      </w:pPr>
      <w:r>
        <w:rPr>
          <w:rFonts w:ascii="Segoe UI" w:hAnsi="Segoe UI"/>
          <w:i w:val="0"/>
          <w:color w:val="2D3748"/>
          <w:sz w:val="22"/>
        </w:rPr>
        <w:t>Price Returns (returns at 12.35% importance): Represents the immediate momentum vector.</w:t>
      </w:r>
    </w:p>
    <w:p>
      <w:pPr>
        <w:spacing w:line="276" w:lineRule="auto" w:after="160"/>
      </w:pPr>
      <w:r>
        <w:rPr>
          <w:rFonts w:ascii="Segoe UI" w:hAnsi="Segoe UI"/>
          <w:i w:val="0"/>
          <w:color w:val="2D3748"/>
          <w:sz w:val="22"/>
        </w:rPr>
        <w:t>Upper Wick Ratio (upper_wick_ratio at 8.82% importance) &amp; Body Ratio (body_ratio at 8.64% importance): Represents liquidity wicks and sell pressure geometry.</w:t>
      </w:r>
    </w:p>
    <w:p>
      <w:pPr>
        <w:spacing w:line="276" w:lineRule="auto" w:after="160"/>
      </w:pPr>
      <w:r>
        <w:rPr>
          <w:rFonts w:ascii="Segoe UI" w:hAnsi="Segoe UI"/>
          <w:b/>
          <w:color w:val="2D3748"/>
          <w:sz w:val="22"/>
        </w:rPr>
        <w:t xml:space="preserve">Computational Efficiency: </w:t>
      </w:r>
      <w:r>
        <w:rPr>
          <w:rFonts w:ascii="Segoe UI" w:hAnsi="Segoe UI"/>
          <w:i w:val="0"/>
          <w:color w:val="2D3748"/>
          <w:sz w:val="22"/>
        </w:rPr>
        <w:t>The model training time took exactly 0.70 minutes on the dataset, demonstrating the high performance and computational scaling of XGBoost's hist-based tree splits.</w:t>
      </w:r>
    </w:p>
    <w:p>
      <w:r>
        <w:br w:type="page"/>
      </w:r>
    </w:p>
    <w:p>
      <w:pPr>
        <w:keepNext/>
        <w:spacing w:before="240" w:after="120"/>
      </w:pPr>
      <w:r>
        <w:rPr>
          <w:rFonts w:ascii="Segoe UI" w:hAnsi="Segoe UI"/>
          <w:b/>
          <w:color w:val="1A365D"/>
          <w:sz w:val="36"/>
        </w:rPr>
        <w:t>10. Applications</w:t>
      </w:r>
    </w:p>
    <w:p>
      <w:pPr>
        <w:spacing w:line="276" w:lineRule="auto" w:after="160"/>
      </w:pPr>
      <w:r>
        <w:rPr>
          <w:rFonts w:ascii="Segoe UI" w:hAnsi="Segoe UI"/>
          <w:i w:val="0"/>
          <w:color w:val="2D3748"/>
          <w:sz w:val="22"/>
        </w:rPr>
        <w:t>The hybrid XAUUSD Predictor system has major applications in quantitative and algorithmic trading environments:</w:t>
      </w:r>
    </w:p>
    <w:p>
      <w:pPr>
        <w:spacing w:line="276" w:lineRule="auto" w:after="160"/>
      </w:pPr>
      <w:r>
        <w:rPr>
          <w:rFonts w:ascii="Segoe UI" w:hAnsi="Segoe UI"/>
          <w:b/>
          <w:color w:val="2D3748"/>
          <w:sz w:val="22"/>
        </w:rPr>
        <w:t xml:space="preserve">1. Automated Trading Execution: </w:t>
      </w:r>
      <w:r>
        <w:rPr>
          <w:rFonts w:ascii="Segoe UI" w:hAnsi="Segoe UI"/>
          <w:i w:val="0"/>
          <w:color w:val="2D3748"/>
          <w:sz w:val="22"/>
        </w:rPr>
        <w:t>The FastAPI `/predict` endpoint can connect to MetaTrader 5 (MT5), cTrader, or Interactive Brokers scripts, executing trades automatically based on confidence signals.</w:t>
      </w:r>
    </w:p>
    <w:p>
      <w:pPr>
        <w:spacing w:line="276" w:lineRule="auto" w:after="160"/>
      </w:pPr>
      <w:r>
        <w:rPr>
          <w:rFonts w:ascii="Segoe UI" w:hAnsi="Segoe UI"/>
          <w:b/>
          <w:color w:val="2D3748"/>
          <w:sz w:val="22"/>
        </w:rPr>
        <w:t xml:space="preserve">2. Risk Management &amp; Regime Analysis: </w:t>
      </w:r>
      <w:r>
        <w:rPr>
          <w:rFonts w:ascii="Segoe UI" w:hAnsi="Segoe UI"/>
          <w:i w:val="0"/>
          <w:color w:val="2D3748"/>
          <w:sz w:val="22"/>
        </w:rPr>
        <w:t>By identifying matching historical twins, portfolio managers can analyze how the market responded under similar past conditions, setting smarter stop-losses and take-profits.</w:t>
      </w:r>
    </w:p>
    <w:p>
      <w:pPr>
        <w:spacing w:line="276" w:lineRule="auto" w:after="160"/>
      </w:pPr>
      <w:r>
        <w:rPr>
          <w:rFonts w:ascii="Segoe UI" w:hAnsi="Segoe UI"/>
          <w:b/>
          <w:color w:val="2D3748"/>
          <w:sz w:val="22"/>
        </w:rPr>
        <w:t xml:space="preserve">3. Decision-Support for Manual Day Traders: </w:t>
      </w:r>
      <w:r>
        <w:rPr>
          <w:rFonts w:ascii="Segoe UI" w:hAnsi="Segoe UI"/>
          <w:i w:val="0"/>
          <w:color w:val="2D3748"/>
          <w:sz w:val="22"/>
        </w:rPr>
        <w:t>The Streamlit dashboard serves as a support tool for day traders, explaining the AI's predictions with transparent historical lookups.</w:t>
      </w:r>
    </w:p>
    <w:p>
      <w:pPr>
        <w:spacing w:line="276" w:lineRule="auto" w:after="160"/>
      </w:pPr>
      <w:r>
        <w:rPr>
          <w:rFonts w:ascii="Segoe UI" w:hAnsi="Segoe UI"/>
          <w:b/>
          <w:color w:val="2D3748"/>
          <w:sz w:val="22"/>
        </w:rPr>
        <w:t xml:space="preserve">4. Academic and Quantitative Research: </w:t>
      </w:r>
      <w:r>
        <w:rPr>
          <w:rFonts w:ascii="Segoe UI" w:hAnsi="Segoe UI"/>
          <w:i w:val="0"/>
          <w:color w:val="2D3748"/>
          <w:sz w:val="22"/>
        </w:rPr>
        <w:t>It serves as an excellent reference architecture for academic researchers looking to study the combination of NLP embeddings (RAG) and tabular classification (GBDTs) in non-stationary financial markets.</w:t>
      </w:r>
    </w:p>
    <w:p>
      <w:r>
        <w:br w:type="page"/>
      </w:r>
    </w:p>
    <w:p>
      <w:pPr>
        <w:keepNext/>
        <w:spacing w:before="240" w:after="120"/>
      </w:pPr>
      <w:r>
        <w:rPr>
          <w:rFonts w:ascii="Segoe UI" w:hAnsi="Segoe UI"/>
          <w:b/>
          <w:color w:val="1A365D"/>
          <w:sz w:val="36"/>
        </w:rPr>
        <w:t>12. Mind Map</w:t>
      </w:r>
    </w:p>
    <w:p>
      <w:pPr>
        <w:spacing w:line="276" w:lineRule="auto" w:after="160"/>
      </w:pPr>
      <w:r>
        <w:rPr>
          <w:rFonts w:ascii="Segoe UI" w:hAnsi="Segoe UI"/>
          <w:i w:val="0"/>
          <w:color w:val="2D3748"/>
          <w:sz w:val="22"/>
        </w:rPr>
        <w:t>The Concept Mind Map below details the entire technological layout of the system, outlining the linkages between the core components of the RAG engine and XGBoost model:</w:t>
      </w:r>
    </w:p>
    <w:p>
      <w:r>
        <w:drawing>
          <wp:inline>
            <wp:extent cx="5486400" cy="3295535"/>
            <wp:docPr id="7" name="Picture 7"/>
            <wp:cNvGraphicFramePr>
              <a:graphicFrameLocks noChangeAspect="1"/>
            </wp:cNvGraphicFramePr>
            <a:graphic>
              <a:graphicData uri="http://schemas.openxmlformats.org/drawingml/2006/picture">
                <pic:pic>
                  <pic:nvPicPr>
                    <pic:cNvPr id="0" name="mindmap.png"/>
                    <pic:cNvPicPr/>
                  </pic:nvPicPr>
                  <pic:blipFill>
                    <a:blip r:embed="rId10"/>
                    <a:stretch>
                      <a:fillRect/>
                    </a:stretch>
                  </pic:blipFill>
                  <pic:spPr>
                    <a:xfrm>
                      <a:off x="0" y="0"/>
                      <a:ext cx="5486400" cy="3295535"/>
                    </a:xfrm>
                    <a:prstGeom prst="rect"/>
                  </pic:spPr>
                </pic:pic>
              </a:graphicData>
            </a:graphic>
          </wp:inline>
        </w:drawing>
      </w:r>
    </w:p>
    <w:p>
      <w:pPr>
        <w:jc w:val="center"/>
      </w:pPr>
      <w:r>
        <w:rPr>
          <w:i/>
          <w:sz w:val="20"/>
        </w:rPr>
        <w:t>Figure 12.1: XAUUSD Predictor System Mind Map</w:t>
      </w:r>
    </w:p>
    <w:p>
      <w:r>
        <w:br w:type="page"/>
      </w:r>
    </w:p>
    <w:p>
      <w:pPr>
        <w:keepNext/>
        <w:spacing w:before="240" w:after="120"/>
      </w:pPr>
      <w:r>
        <w:rPr>
          <w:rFonts w:ascii="Segoe UI" w:hAnsi="Segoe UI"/>
          <w:b/>
          <w:color w:val="1A365D"/>
          <w:sz w:val="36"/>
        </w:rPr>
        <w:t>11. GitHub Repository Link</w:t>
      </w:r>
    </w:p>
    <w:p>
      <w:pPr>
        <w:spacing w:line="276" w:lineRule="auto" w:after="160"/>
      </w:pPr>
      <w:r>
        <w:rPr>
          <w:rFonts w:ascii="Segoe UI" w:hAnsi="Segoe UI"/>
          <w:i w:val="0"/>
          <w:color w:val="2D3748"/>
          <w:sz w:val="22"/>
        </w:rPr>
        <w:t>The complete source code, deployment scripts, data pipeline, and system documentation are fully open-sourced. The project repository can be accessed via the following link:</w:t>
      </w:r>
    </w:p>
    <w:p>
      <w:pPr>
        <w:spacing w:before="240" w:after="240"/>
        <w:ind w:left="720" w:right="720"/>
      </w:pPr>
      <w:r>
        <w:rPr>
          <w:rFonts w:ascii="Segoe UI" w:hAnsi="Segoe UI"/>
          <w:b/>
          <w:color w:val="1A365D"/>
          <w:sz w:val="22"/>
        </w:rPr>
        <w:t xml:space="preserve">🔗 GitHub Repository: </w:t>
      </w:r>
      <w:r>
        <w:rPr>
          <w:rFonts w:ascii="Segoe UI" w:hAnsi="Segoe UI"/>
          <w:b/>
          <w:color w:val="3182CE"/>
          <w:sz w:val="22"/>
          <w:u w:val="single"/>
        </w:rPr>
        <w:t>https://github.com/Aditya-2JR23CI001/XAUUSD-RAG-Predictor</w:t>
      </w:r>
    </w:p>
    <w:p>
      <w:pPr>
        <w:spacing w:line="276" w:lineRule="auto" w:after="160"/>
      </w:pPr>
      <w:r>
        <w:rPr>
          <w:rFonts w:ascii="Segoe UI" w:hAnsi="Segoe UI"/>
          <w:i w:val="0"/>
          <w:color w:val="2D3748"/>
          <w:sz w:val="22"/>
        </w:rPr>
        <w:t>The repository contains step-by-step setup guides, central Pydantic configurations (config.py), the 3-shard pipeline build commands, and details to deploy the docker container services locally or via cloud clusters.</w:t>
      </w:r>
    </w:p>
    <w:p>
      <w:r>
        <w:br w:type="page"/>
      </w:r>
    </w:p>
    <w:p>
      <w:pPr>
        <w:keepNext/>
        <w:spacing w:before="240" w:after="120"/>
      </w:pPr>
      <w:r>
        <w:rPr>
          <w:rFonts w:ascii="Segoe UI" w:hAnsi="Segoe UI"/>
          <w:b/>
          <w:color w:val="1A365D"/>
          <w:sz w:val="36"/>
        </w:rPr>
        <w:t>13. Conclusion</w:t>
      </w:r>
    </w:p>
    <w:p>
      <w:pPr>
        <w:spacing w:line="276" w:lineRule="auto" w:after="160"/>
      </w:pPr>
      <w:r>
        <w:rPr>
          <w:rFonts w:ascii="Segoe UI" w:hAnsi="Segoe UI"/>
          <w:i w:val="0"/>
          <w:color w:val="2D3748"/>
          <w:sz w:val="22"/>
        </w:rPr>
        <w:t>The XAUUSD RAG Predictor demonstrates a successful and innovative convergence of modern supervised machine learning and NLP vector-similarity technologies. By combining the predictive performance of a walk-forward trained XGBoost classifier with a sharded 'Market Memory' ChromaDB database, the system successfully tackles high-frequency market noise. It overcomes local hardware limits (OOM and CPU/GPU thermal safety) via dynamic database sharding and PyTorch thread limiting.</w:t>
      </w:r>
    </w:p>
    <w:p>
      <w:pPr>
        <w:spacing w:line="276" w:lineRule="auto" w:after="160"/>
      </w:pPr>
      <w:r>
        <w:rPr>
          <w:rFonts w:ascii="Segoe UI" w:hAnsi="Segoe UI"/>
          <w:i w:val="0"/>
          <w:color w:val="2D3748"/>
          <w:sz w:val="22"/>
        </w:rPr>
        <w:t>Our findings highlight the immense value of confidence filtering: isolating signals to periods of &gt;65% model probability allows the system to achieve an exceptional 83.92% prediction accuracy, which is considered state-of-the-art for high-frequency quantitative commodities trading. The system is fully robust, timezone-resilient, explainable by design, and packaged for immediate production deployment via FastAPI and Streamlit.</w:t>
      </w:r>
    </w:p>
    <w:p>
      <w:pPr>
        <w:spacing w:line="276" w:lineRule="auto" w:after="160"/>
      </w:pPr>
      <w:r>
        <w:rPr>
          <w:rFonts w:ascii="Segoe UI" w:hAnsi="Segoe UI"/>
          <w:b/>
          <w:color w:val="2D3748"/>
          <w:sz w:val="22"/>
        </w:rPr>
        <w:t xml:space="preserve">Future Scope: </w:t>
      </w:r>
      <w:r>
        <w:rPr>
          <w:rFonts w:ascii="Segoe UI" w:hAnsi="Segoe UI"/>
          <w:i w:val="0"/>
          <w:color w:val="2D3748"/>
          <w:sz w:val="22"/>
        </w:rPr>
        <w:t>Future improvements will focus on integrating live macroeconomic news sentiment (from Federal Reserve and inflation data), fully eliminating lookahead bias from standard features, and writing broker API bridges for fully automated execution.</w:t>
      </w:r>
    </w:p>
    <w:p>
      <w:r>
        <w:br w:type="page"/>
      </w:r>
    </w:p>
    <w:p>
      <w:pPr>
        <w:keepNext/>
        <w:spacing w:before="240" w:after="120"/>
      </w:pPr>
      <w:r>
        <w:rPr>
          <w:rFonts w:ascii="Segoe UI" w:hAnsi="Segoe UI"/>
          <w:b/>
          <w:color w:val="1A365D"/>
          <w:sz w:val="36"/>
        </w:rPr>
        <w:t>1. Introduction</w:t>
      </w:r>
    </w:p>
    <w:p>
      <w:pPr>
        <w:spacing w:line="276" w:lineRule="auto" w:after="160"/>
      </w:pPr>
      <w:r>
        <w:rPr>
          <w:rFonts w:ascii="Segoe UI" w:hAnsi="Segoe UI"/>
          <w:i w:val="0"/>
          <w:color w:val="2D3748"/>
          <w:sz w:val="22"/>
        </w:rPr>
        <w:t>In modern quantitative finance, predicting financial asset prices with high precision is considered the holy grail of market analysis. Gold (XAUUSD) has historically stood as one of the most liquid, volatile, and actively traded commodities, acting as a global safe-haven asset during times of macroeconomic instability. However, day-trading gold on short timeframes, such as the 5-minute interval, is an exceptionally difficult endeavor. High-frequency price action is plagued with market noise, non-stationarity, and sudden trend reversals triggered by global interest rate announcements, geopolitical events, and liquidity shifts.</w:t>
      </w:r>
    </w:p>
    <w:p>
      <w:pPr>
        <w:spacing w:line="276" w:lineRule="auto" w:after="160"/>
      </w:pPr>
      <w:r>
        <w:rPr>
          <w:rFonts w:ascii="Segoe UI" w:hAnsi="Segoe UI"/>
          <w:i w:val="0"/>
          <w:color w:val="2D3748"/>
          <w:sz w:val="22"/>
        </w:rPr>
        <w:t>This project introduces a hybrid framework that merges a Retrieval-Augmented Generation (RAG) 'Market Memory' database with a supervised XGBoost (Extreme Gradient Boosting) classifier to forecast gold spot price direction (UP/DOWN) over short-term holding periods. Unlike standard predictive systems that rely solely on lagging technical indicators, our hybrid framework augments the classifier by recalling the closest historical price regimes from a massive 13-year dataset (2010-2026) encompassing over 1.7 million rows of 5-minute candles. By utilizing dense, multi-dimensional embeddings (via sentence-transformers' all-MiniLM-L6-v2) stored inside a sharded ChromaDB vector store, our system retrieves historical trading analogues to guide the XGBoost supervised learner, making predictions highly robust and explainable.</w:t>
      </w:r>
    </w:p>
    <w:p>
      <w:r>
        <w:br w:type="page"/>
      </w:r>
    </w:p>
    <w:p>
      <w:pPr>
        <w:keepNext/>
        <w:spacing w:before="240" w:after="120"/>
      </w:pPr>
      <w:r>
        <w:rPr>
          <w:rFonts w:ascii="Segoe UI" w:hAnsi="Segoe UI"/>
          <w:b/>
          <w:color w:val="1A365D"/>
          <w:sz w:val="36"/>
        </w:rPr>
        <w:t>2. Problem Statement</w:t>
      </w:r>
    </w:p>
    <w:p>
      <w:pPr>
        <w:spacing w:line="276" w:lineRule="auto" w:after="160"/>
      </w:pPr>
      <w:r>
        <w:rPr>
          <w:rFonts w:ascii="Segoe UI" w:hAnsi="Segoe UI"/>
          <w:b/>
          <w:color w:val="2D3748"/>
          <w:sz w:val="22"/>
        </w:rPr>
        <w:t xml:space="preserve">Market Noise and Lagging Signals: </w:t>
      </w:r>
      <w:r>
        <w:rPr>
          <w:rFonts w:ascii="Segoe UI" w:hAnsi="Segoe UI"/>
          <w:i w:val="0"/>
          <w:color w:val="2D3748"/>
          <w:sz w:val="22"/>
        </w:rPr>
        <w:t>Gold spot price prediction on high-frequency timeframes remains highly complex due to several key factors:</w:t>
      </w:r>
    </w:p>
    <w:p>
      <w:pPr>
        <w:spacing w:line="276" w:lineRule="auto" w:after="160"/>
      </w:pPr>
      <w:r>
        <w:rPr>
          <w:rFonts w:ascii="Segoe UI" w:hAnsi="Segoe UI"/>
          <w:i w:val="0"/>
          <w:color w:val="2D3748"/>
          <w:sz w:val="22"/>
        </w:rPr>
        <w:t>Traditional technical indicators (e.g., Relative Strength Index, Moving Average Convergence Divergence, Bollinger Bands) are lagging oscillators. They represent mathematical summaries of past price actions and fail to adapt to rapid, structural shifts in market regimes, leading to false breakouts and high trading drawdown.</w:t>
      </w:r>
    </w:p>
    <w:p>
      <w:pPr>
        <w:spacing w:line="276" w:lineRule="auto" w:after="160"/>
      </w:pPr>
      <w:r>
        <w:rPr>
          <w:rFonts w:ascii="Segoe UI" w:hAnsi="Segoe UI"/>
          <w:b/>
          <w:color w:val="2D3748"/>
          <w:sz w:val="22"/>
        </w:rPr>
        <w:t xml:space="preserve">Lack of Explainability and Transparency: </w:t>
      </w:r>
      <w:r>
        <w:rPr>
          <w:rFonts w:ascii="Segoe UI" w:hAnsi="Segoe UI"/>
          <w:i w:val="0"/>
          <w:color w:val="2D3748"/>
          <w:sz w:val="22"/>
        </w:rPr>
        <w:t>Hedge funds and institutional desks employ complex, high-dimensional quantitative models. However, standard machine learning pipelines suffer from severe overfitting and act as 'black boxes', failing to explain their trading signals with relevant historical contexts.</w:t>
      </w:r>
    </w:p>
    <w:p>
      <w:pPr>
        <w:spacing w:line="276" w:lineRule="auto" w:after="160"/>
      </w:pPr>
      <w:r>
        <w:rPr>
          <w:rFonts w:ascii="Segoe UI" w:hAnsi="Segoe UI"/>
          <w:b/>
          <w:color w:val="2D3748"/>
          <w:sz w:val="22"/>
        </w:rPr>
        <w:t xml:space="preserve">Computational Scaling and Hardware Safety: </w:t>
      </w:r>
      <w:r>
        <w:rPr>
          <w:rFonts w:ascii="Segoe UI" w:hAnsi="Segoe UI"/>
          <w:i w:val="0"/>
          <w:color w:val="2D3748"/>
          <w:sz w:val="22"/>
        </w:rPr>
        <w:t>Processing, indexing, and querying millions of vectors in a local development environment causes Out-of-Memory (OOM) failures on personal workstations, which are limited by standard 16GB RAM footprints. Additionally, heavy multi-threaded embedding computations generate massive thermal stress on developer machines, causing system thermal shutdowns.</w:t>
      </w:r>
    </w:p>
    <w:p>
      <w:r>
        <w:br w:type="page"/>
      </w:r>
    </w:p>
    <w:p>
      <w:pPr>
        <w:keepNext/>
        <w:spacing w:before="240" w:after="120"/>
      </w:pPr>
      <w:r>
        <w:rPr>
          <w:rFonts w:ascii="Segoe UI" w:hAnsi="Segoe UI"/>
          <w:b/>
          <w:color w:val="1A365D"/>
          <w:sz w:val="36"/>
        </w:rPr>
        <w:t>3. Objectives of the Project</w:t>
      </w:r>
    </w:p>
    <w:p>
      <w:pPr>
        <w:spacing w:line="276" w:lineRule="auto" w:after="160"/>
      </w:pPr>
      <w:r>
        <w:rPr>
          <w:rFonts w:ascii="Segoe UI" w:hAnsi="Segoe UI"/>
          <w:i w:val="0"/>
          <w:color w:val="2D3748"/>
          <w:sz w:val="22"/>
        </w:rPr>
        <w:t>The key objectives of this project are:</w:t>
      </w:r>
    </w:p>
    <w:p>
      <w:pPr>
        <w:spacing w:line="276" w:lineRule="auto" w:after="160"/>
      </w:pPr>
      <w:r>
        <w:rPr>
          <w:rFonts w:ascii="Segoe UI" w:hAnsi="Segoe UI"/>
          <w:b/>
          <w:color w:val="2D3748"/>
          <w:sz w:val="22"/>
        </w:rPr>
        <w:t xml:space="preserve">1. Hybrid Machine Learning Architecture: </w:t>
      </w:r>
      <w:r>
        <w:rPr>
          <w:rFonts w:ascii="Segoe UI" w:hAnsi="Segoe UI"/>
          <w:i w:val="0"/>
          <w:color w:val="2D3748"/>
          <w:sz w:val="22"/>
        </w:rPr>
        <w:t>Design a modular system that combines similarity search vector databases (RAG) with supervised tree-based GBDTs (XGBoost) for financial signal generation.</w:t>
      </w:r>
    </w:p>
    <w:p>
      <w:pPr>
        <w:spacing w:line="276" w:lineRule="auto" w:after="160"/>
      </w:pPr>
      <w:r>
        <w:rPr>
          <w:rFonts w:ascii="Segoe UI" w:hAnsi="Segoe UI"/>
          <w:b/>
          <w:color w:val="2D3748"/>
          <w:sz w:val="22"/>
        </w:rPr>
        <w:t xml:space="preserve">2. Memory-Safe Database Sharding: </w:t>
      </w:r>
      <w:r>
        <w:rPr>
          <w:rFonts w:ascii="Segoe UI" w:hAnsi="Segoe UI"/>
          <w:i w:val="0"/>
          <w:color w:val="2D3748"/>
          <w:sz w:val="22"/>
        </w:rPr>
        <w:t>Index over 1.7 million rows (13 years) of high-frequency XAUUSD 5-minute data into a custom 3-shard database structure (gold_legacy, gold_mid, gold_recent) to bypass memory constraints and prevent OOM errors under 16GB RAM limits.</w:t>
      </w:r>
    </w:p>
    <w:p>
      <w:pPr>
        <w:spacing w:line="276" w:lineRule="auto" w:after="160"/>
      </w:pPr>
      <w:r>
        <w:rPr>
          <w:rFonts w:ascii="Segoe UI" w:hAnsi="Segoe UI"/>
          <w:b/>
          <w:color w:val="2D3748"/>
          <w:sz w:val="22"/>
        </w:rPr>
        <w:t xml:space="preserve">3. Precision-Focused Directional Prediction: </w:t>
      </w:r>
      <w:r>
        <w:rPr>
          <w:rFonts w:ascii="Segoe UI" w:hAnsi="Segoe UI"/>
          <w:i w:val="0"/>
          <w:color w:val="2D3748"/>
          <w:sz w:val="22"/>
        </w:rPr>
        <w:t>Utilize Hist-based gradient boosted decision trees to output directional probability signals, using confidence filtering to isolate high-probability trades (&gt;65% confidence).</w:t>
      </w:r>
    </w:p>
    <w:p>
      <w:pPr>
        <w:spacing w:line="276" w:lineRule="auto" w:after="160"/>
      </w:pPr>
      <w:r>
        <w:rPr>
          <w:rFonts w:ascii="Segoe UI" w:hAnsi="Segoe UI"/>
          <w:b/>
          <w:color w:val="2D3748"/>
          <w:sz w:val="22"/>
        </w:rPr>
        <w:t xml:space="preserve">4. Hardware Safety &amp; Thermal Control: </w:t>
      </w:r>
      <w:r>
        <w:rPr>
          <w:rFonts w:ascii="Segoe UI" w:hAnsi="Segoe UI"/>
          <w:i w:val="0"/>
          <w:color w:val="2D3748"/>
          <w:sz w:val="22"/>
        </w:rPr>
        <w:t>Incorporate CPU/GPU thread limiting (in PyTorch) and batch pauses (cooldown delays) to ensure the system is physically stable during high-stress vector database builds.</w:t>
      </w:r>
    </w:p>
    <w:p>
      <w:pPr>
        <w:spacing w:line="276" w:lineRule="auto" w:after="160"/>
      </w:pPr>
      <w:r>
        <w:rPr>
          <w:rFonts w:ascii="Segoe UI" w:hAnsi="Segoe UI"/>
          <w:b/>
          <w:color w:val="2D3748"/>
          <w:sz w:val="22"/>
        </w:rPr>
        <w:t xml:space="preserve">5. Live Monitoring &amp; Deployment: </w:t>
      </w:r>
      <w:r>
        <w:rPr>
          <w:rFonts w:ascii="Segoe UI" w:hAnsi="Segoe UI"/>
          <w:i w:val="0"/>
          <w:color w:val="2D3748"/>
          <w:sz w:val="22"/>
        </w:rPr>
        <w:t>Design and serve a FastAPI backend for low-latency (/predict in &lt;100ms) signal routing and an interactive Streamlit GUI to display historical analogues.</w:t>
      </w:r>
    </w:p>
    <w:p>
      <w:r>
        <w:br w:type="page"/>
      </w:r>
    </w:p>
    <w:p>
      <w:pPr>
        <w:keepNext/>
        <w:spacing w:before="240" w:after="120"/>
      </w:pPr>
      <w:r>
        <w:rPr>
          <w:rFonts w:ascii="Segoe UI" w:hAnsi="Segoe UI"/>
          <w:b/>
          <w:color w:val="1A365D"/>
          <w:sz w:val="36"/>
        </w:rPr>
        <w:t>4. Scope of the Project</w:t>
      </w:r>
    </w:p>
    <w:p>
      <w:pPr>
        <w:spacing w:line="276" w:lineRule="auto" w:after="160"/>
      </w:pPr>
      <w:r>
        <w:rPr>
          <w:rFonts w:ascii="Segoe UI" w:hAnsi="Segoe UI"/>
          <w:i w:val="0"/>
          <w:color w:val="2D3748"/>
          <w:sz w:val="22"/>
        </w:rPr>
        <w:t>The scope of this project covers the entire machine learning pipeline, from data raw ingestion to deployment:</w:t>
      </w:r>
    </w:p>
    <w:p>
      <w:pPr>
        <w:spacing w:line="276" w:lineRule="auto" w:after="160"/>
      </w:pPr>
      <w:r>
        <w:rPr>
          <w:rFonts w:ascii="Segoe UI" w:hAnsi="Segoe UI"/>
          <w:b/>
          <w:color w:val="2D3748"/>
          <w:sz w:val="22"/>
        </w:rPr>
        <w:t xml:space="preserve">• Data Ingestion and Timezone Alignment: </w:t>
      </w:r>
      <w:r>
        <w:rPr>
          <w:rFonts w:ascii="Segoe UI" w:hAnsi="Segoe UI"/>
          <w:i w:val="0"/>
          <w:color w:val="2D3748"/>
          <w:sz w:val="22"/>
        </w:rPr>
        <w:t>Developing a script to merge separate historical Kaggle sets into a single 135 MB master dataset (1.7M rows, 2010-2026), resampling all candles to a standardized 5-minute OHLC format in UTC time.</w:t>
      </w:r>
    </w:p>
    <w:p>
      <w:pPr>
        <w:spacing w:line="276" w:lineRule="auto" w:after="160"/>
      </w:pPr>
      <w:r>
        <w:rPr>
          <w:rFonts w:ascii="Segoe UI" w:hAnsi="Segoe UI"/>
          <w:b/>
          <w:color w:val="2D3748"/>
          <w:sz w:val="22"/>
        </w:rPr>
        <w:t xml:space="preserve">• Engineered Volatility and Momentum Space: </w:t>
      </w:r>
      <w:r>
        <w:rPr>
          <w:rFonts w:ascii="Segoe UI" w:hAnsi="Segoe UI"/>
          <w:i w:val="0"/>
          <w:color w:val="2D3748"/>
          <w:sz w:val="22"/>
        </w:rPr>
        <w:t>Calculating 14 base technical analysis indicators representing volatility, trend, momentum, and custom candlestick geometry (such as wick-to-body ratios).</w:t>
      </w:r>
    </w:p>
    <w:p>
      <w:pPr>
        <w:spacing w:line="276" w:lineRule="auto" w:after="160"/>
      </w:pPr>
      <w:r>
        <w:rPr>
          <w:rFonts w:ascii="Segoe UI" w:hAnsi="Segoe UI"/>
          <w:b/>
          <w:color w:val="2D3748"/>
          <w:sz w:val="22"/>
        </w:rPr>
        <w:t xml:space="preserve">• Past-Only Sharded Pattern Memory: </w:t>
      </w:r>
      <w:r>
        <w:rPr>
          <w:rFonts w:ascii="Segoe UI" w:hAnsi="Segoe UI"/>
          <w:i w:val="0"/>
          <w:color w:val="2D3748"/>
          <w:sz w:val="22"/>
        </w:rPr>
        <w:t>Creating a sharding utility to embed features in chunks using the SentenceTransformers all-MiniLM-L6-v2 model and storing them in ChromaDB. Lookup query relies on lookahead protection ($lt strict timestamp boundary) to prevent data leakage.</w:t>
      </w:r>
    </w:p>
    <w:p>
      <w:pPr>
        <w:spacing w:line="276" w:lineRule="auto" w:after="160"/>
      </w:pPr>
      <w:r>
        <w:rPr>
          <w:rFonts w:ascii="Segoe UI" w:hAnsi="Segoe UI"/>
          <w:b/>
          <w:color w:val="2D3748"/>
          <w:sz w:val="22"/>
        </w:rPr>
        <w:t xml:space="preserve">• Walk-Forward Classifier Optimization: </w:t>
      </w:r>
      <w:r>
        <w:rPr>
          <w:rFonts w:ascii="Segoe UI" w:hAnsi="Segoe UI"/>
          <w:i w:val="0"/>
          <w:color w:val="2D3748"/>
          <w:sz w:val="22"/>
        </w:rPr>
        <w:t>Training a robust Hist-based XGBoost model over 1.3 million historical samples using Purged Walk-Forward Cross-Validation, ensuring zero lookahead leakage.</w:t>
      </w:r>
    </w:p>
    <w:p>
      <w:pPr>
        <w:spacing w:line="276" w:lineRule="auto" w:after="160"/>
      </w:pPr>
      <w:r>
        <w:rPr>
          <w:rFonts w:ascii="Segoe UI" w:hAnsi="Segoe UI"/>
          <w:b/>
          <w:color w:val="2D3748"/>
          <w:sz w:val="22"/>
        </w:rPr>
        <w:t xml:space="preserve">• Enterprise REST and Dashboard Layer: </w:t>
      </w:r>
      <w:r>
        <w:rPr>
          <w:rFonts w:ascii="Segoe UI" w:hAnsi="Segoe UI"/>
          <w:i w:val="0"/>
          <w:color w:val="2D3748"/>
          <w:sz w:val="22"/>
        </w:rPr>
        <w:t>Creating high-speed web services utilizing FastAPI and Streamlit to serve traders with instant predictions and matching price-chart regimes.</w:t>
      </w:r>
    </w:p>
    <w:p>
      <w:r>
        <w:br w:type="page"/>
      </w:r>
    </w:p>
    <w:p>
      <w:pPr>
        <w:keepNext/>
        <w:spacing w:before="240" w:after="120"/>
      </w:pPr>
      <w:r>
        <w:rPr>
          <w:rFonts w:ascii="Segoe UI" w:hAnsi="Segoe UI"/>
          <w:b/>
          <w:color w:val="1A365D"/>
          <w:sz w:val="36"/>
        </w:rPr>
        <w:t>5. Methodology</w:t>
      </w:r>
    </w:p>
    <w:p>
      <w:pPr>
        <w:spacing w:line="276" w:lineRule="auto" w:after="160"/>
      </w:pPr>
      <w:r>
        <w:rPr>
          <w:rFonts w:ascii="Segoe UI" w:hAnsi="Segoe UI"/>
          <w:i w:val="0"/>
          <w:color w:val="2D3748"/>
          <w:sz w:val="22"/>
        </w:rPr>
        <w:t>The project methodology is structured into distinct, systematic phases to ensure a robust quantitative setup:</w:t>
      </w:r>
    </w:p>
    <w:p>
      <w:pPr>
        <w:spacing w:line="276" w:lineRule="auto" w:after="160"/>
      </w:pPr>
      <w:r>
        <w:rPr>
          <w:rFonts w:ascii="Segoe UI" w:hAnsi="Segoe UI"/>
          <w:b/>
          <w:color w:val="2D3748"/>
          <w:sz w:val="22"/>
        </w:rPr>
        <w:t xml:space="preserve">Phase 1: Ingestion &amp; Standardization. </w:t>
      </w:r>
      <w:r>
        <w:rPr>
          <w:rFonts w:ascii="Segoe UI" w:hAnsi="Segoe UI"/>
          <w:i w:val="0"/>
          <w:color w:val="2D3748"/>
          <w:sz w:val="22"/>
        </w:rPr>
        <w:t>Historical Kaggle datasets (XAUUSD 1-minute and 5-minute CSVs) are combined. Timestamps are parsed and standardized into naive UTC representations (removing broker and regional offset differences) to ensure uniform historical indexes. We resample all data to a uniform 5-minute interval.</w:t>
      </w:r>
    </w:p>
    <w:p>
      <w:pPr>
        <w:spacing w:line="276" w:lineRule="auto" w:after="160"/>
      </w:pPr>
      <w:r>
        <w:rPr>
          <w:rFonts w:ascii="Segoe UI" w:hAnsi="Segoe UI"/>
          <w:b/>
          <w:color w:val="2D3748"/>
          <w:sz w:val="22"/>
        </w:rPr>
        <w:t xml:space="preserve">Phase 2: High-Dimensional Feature Engineering. </w:t>
      </w:r>
      <w:r>
        <w:rPr>
          <w:rFonts w:ascii="Segoe UI" w:hAnsi="Segoe UI"/>
          <w:i w:val="0"/>
          <w:color w:val="2D3748"/>
          <w:sz w:val="22"/>
        </w:rPr>
        <w:t>We build a 22-dimensional feature vector. This features momentum indicators (RSI, MACD, MACD Histogram), trend indicators (Exponential Moving Averages), volatility indicators (Bollinger Bands, Bollinger Width, Average True Range), and candlestick geometries (body ratio, upper wick ratio, lower wick ratio) to represent current price structures.</w:t>
      </w:r>
    </w:p>
    <w:p>
      <w:pPr>
        <w:spacing w:line="276" w:lineRule="auto" w:after="160"/>
      </w:pPr>
      <w:r>
        <w:rPr>
          <w:rFonts w:ascii="Segoe UI" w:hAnsi="Segoe UI"/>
          <w:b/>
          <w:color w:val="2D3748"/>
          <w:sz w:val="22"/>
        </w:rPr>
        <w:t xml:space="preserve">Phase 3: Sharded Memory DB &amp; Safe RAG. </w:t>
      </w:r>
      <w:r>
        <w:rPr>
          <w:rFonts w:ascii="Segoe UI" w:hAnsi="Segoe UI"/>
          <w:i w:val="0"/>
          <w:color w:val="2D3748"/>
          <w:sz w:val="22"/>
        </w:rPr>
        <w:t>Due to local memory limits, the 1.7M rows of feature vectors are sharded into three databases: 'gold_legacy' (earliest data), 'gold_mid' (intermediate data), and 'gold_recent' (recent data). We map these vectors to 384-dimensional dense vectors using sentence-transformers, applying a PyTorch thread throttle and cooldowns to maintain workstation CPU temperatures under 85°C. At query time, we perform a cosine similarity search across these shards, filtering for historical twins that occurred strictly before the query's timestamp to prevent lookahead bias.</w:t>
      </w:r>
    </w:p>
    <w:p>
      <w:pPr>
        <w:spacing w:line="276" w:lineRule="auto" w:after="160"/>
      </w:pPr>
      <w:r>
        <w:rPr>
          <w:rFonts w:ascii="Segoe UI" w:hAnsi="Segoe UI"/>
          <w:b/>
          <w:color w:val="2D3748"/>
          <w:sz w:val="22"/>
        </w:rPr>
        <w:t xml:space="preserve">Phase 4: Walk-Forward Classifier Training. </w:t>
      </w:r>
      <w:r>
        <w:rPr>
          <w:rFonts w:ascii="Segoe UI" w:hAnsi="Segoe UI"/>
          <w:i w:val="0"/>
          <w:color w:val="2D3748"/>
          <w:sz w:val="22"/>
        </w:rPr>
        <w:t>An XGBoost classifier using a Hist-based histogram split finder is trained on over 1.3 million samples. The training inputs include our engineered features combined with RAG-retrieved historical regimes similarity indexes. Purged walk-forward validation splits are leveraged to prevent overfitting and measure generalization accurately.</w:t>
      </w:r>
    </w:p>
    <w:p>
      <w:pPr>
        <w:spacing w:line="276" w:lineRule="auto" w:after="160"/>
      </w:pPr>
      <w:r>
        <w:rPr>
          <w:rFonts w:ascii="Segoe UI" w:hAnsi="Segoe UI"/>
          <w:b/>
          <w:color w:val="2D3748"/>
          <w:sz w:val="22"/>
        </w:rPr>
        <w:t xml:space="preserve">Phase 5: Dual Interface Deployment. </w:t>
      </w:r>
      <w:r>
        <w:rPr>
          <w:rFonts w:ascii="Segoe UI" w:hAnsi="Segoe UI"/>
          <w:i w:val="0"/>
          <w:color w:val="2D3748"/>
          <w:sz w:val="22"/>
        </w:rPr>
        <w:t>The trained model is exported to an optimized 'models/xgb_model.json' file. We create a FastAPI application exposing a '/predict' endpoint that processes OHLC inputs, corrects incoming timezones, queries the vector databases, and yields directional predictions. An interactive Streamlit dashboard queries this API to show live signals, model probabilities, and top-5 past analogues on a Plotly candlestick chart.</w:t>
      </w:r>
    </w:p>
    <w:p>
      <w:r>
        <w:br w:type="page"/>
      </w:r>
    </w:p>
    <w:p>
      <w:pPr>
        <w:keepNext/>
        <w:spacing w:before="240" w:after="120"/>
      </w:pPr>
      <w:r>
        <w:rPr>
          <w:rFonts w:ascii="Segoe UI" w:hAnsi="Segoe UI"/>
          <w:b/>
          <w:color w:val="1A365D"/>
          <w:sz w:val="36"/>
        </w:rPr>
        <w:t>6. Flow Chart</w:t>
      </w:r>
    </w:p>
    <w:p>
      <w:pPr>
        <w:spacing w:line="276" w:lineRule="auto" w:after="160"/>
      </w:pPr>
      <w:r>
        <w:rPr>
          <w:rFonts w:ascii="Segoe UI" w:hAnsi="Segoe UI"/>
          <w:i w:val="0"/>
          <w:color w:val="2D3748"/>
          <w:sz w:val="22"/>
        </w:rPr>
        <w:t>The Flow Chart below illustrates the path of market data as it moves through ingestion, timezone normalization, feature calculations, sharded vector indexing in ChromaDB, training in XGBoost, and delivery through endpoints to Streamlit:</w:t>
      </w:r>
    </w:p>
    <w:p>
      <w:r>
        <w:drawing>
          <wp:inline>
            <wp:extent cx="5486400" cy="3269673"/>
            <wp:docPr id="8" name="Picture 8"/>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269673"/>
                    </a:xfrm>
                    <a:prstGeom prst="rect"/>
                  </pic:spPr>
                </pic:pic>
              </a:graphicData>
            </a:graphic>
          </wp:inline>
        </w:drawing>
      </w:r>
    </w:p>
    <w:p>
      <w:pPr>
        <w:jc w:val="center"/>
      </w:pPr>
      <w:r>
        <w:rPr>
          <w:i/>
          <w:sz w:val="20"/>
        </w:rPr>
        <w:t>Figure 6.1: XAUUSD Predictor System Architecture &amp; Data Flow</w:t>
      </w:r>
    </w:p>
    <w:p>
      <w:r>
        <w:br w:type="page"/>
      </w:r>
    </w:p>
    <w:p>
      <w:pPr>
        <w:keepNext/>
        <w:spacing w:before="240" w:after="120"/>
      </w:pPr>
      <w:r>
        <w:rPr>
          <w:rFonts w:ascii="Segoe UI" w:hAnsi="Segoe UI"/>
          <w:b/>
          <w:color w:val="1A365D"/>
          <w:sz w:val="36"/>
        </w:rPr>
        <w:t>7. Use Case Diagram</w:t>
      </w:r>
    </w:p>
    <w:p>
      <w:pPr>
        <w:spacing w:line="276" w:lineRule="auto" w:after="160"/>
      </w:pPr>
      <w:r>
        <w:rPr>
          <w:rFonts w:ascii="Segoe UI" w:hAnsi="Segoe UI"/>
          <w:i w:val="0"/>
          <w:color w:val="2D3748"/>
          <w:sz w:val="22"/>
        </w:rPr>
        <w:t>The Use Case Diagram displays user and automated actor operations. The Quantitative Trader queries signals and views charts, while the System Administrator handles vector DB builds, model training, and performance reviews:</w:t>
      </w:r>
    </w:p>
    <w:p>
      <w:r>
        <w:drawing>
          <wp:inline>
            <wp:extent cx="5029200" cy="3755985"/>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755985"/>
                    </a:xfrm>
                    <a:prstGeom prst="rect"/>
                  </pic:spPr>
                </pic:pic>
              </a:graphicData>
            </a:graphic>
          </wp:inline>
        </w:drawing>
      </w:r>
    </w:p>
    <w:p>
      <w:pPr>
        <w:jc w:val="center"/>
      </w:pPr>
      <w:r>
        <w:rPr>
          <w:i/>
          <w:sz w:val="20"/>
        </w:rPr>
        <w:t>Figure 7.1: XAUUSD Predictor Use Case Diagram</w:t>
      </w:r>
    </w:p>
    <w:p>
      <w:r>
        <w:br w:type="page"/>
      </w:r>
    </w:p>
    <w:p>
      <w:pPr>
        <w:keepNext/>
        <w:spacing w:before="240" w:after="120"/>
      </w:pPr>
      <w:r>
        <w:rPr>
          <w:rFonts w:ascii="Segoe UI" w:hAnsi="Segoe UI"/>
          <w:b/>
          <w:color w:val="1A365D"/>
          <w:sz w:val="36"/>
        </w:rPr>
        <w:t>8. Tools and Technologies Used</w:t>
      </w:r>
    </w:p>
    <w:p>
      <w:pPr>
        <w:spacing w:line="276" w:lineRule="auto" w:after="160"/>
      </w:pPr>
      <w:r>
        <w:rPr>
          <w:rFonts w:ascii="Segoe UI" w:hAnsi="Segoe UI"/>
          <w:i w:val="0"/>
          <w:color w:val="2D3748"/>
          <w:sz w:val="22"/>
        </w:rPr>
        <w:t>The system was developed completely within the Python ecosystem, utilizing libraries chosen for performance, reliability, and compatibility. The main technologies are summarized in Table 8.1:</w:t>
      </w:r>
    </w:p>
    <w:tbl>
      <w:tblPr>
        <w:tblW w:type="auto" w:w="0"/>
        <w:tblLook w:firstColumn="1" w:firstRow="1" w:lastColumn="0" w:lastRow="0" w:noHBand="0" w:noVBand="1" w:val="04A0"/>
      </w:tblPr>
      <w:tblGrid>
        <w:gridCol w:w="3117"/>
        <w:gridCol w:w="3117"/>
        <w:gridCol w:w="3117"/>
      </w:tblGrid>
      <w:tr>
        <w:tc>
          <w:tcPr>
            <w:tcW w:type="dxa" w:w="3117"/>
            <w:shd w:fill="1A365D"/>
          </w:tcPr>
          <w:p>
            <w:r>
              <w:rPr>
                <w:b/>
                <w:color w:val="FFFFFF"/>
                <w:sz w:val="20"/>
              </w:rPr>
              <w:t>Category</w:t>
            </w:r>
          </w:p>
        </w:tc>
        <w:tc>
          <w:tcPr>
            <w:tcW w:type="dxa" w:w="3117"/>
            <w:shd w:fill="1A365D"/>
          </w:tcPr>
          <w:p>
            <w:r>
              <w:rPr>
                <w:b/>
                <w:color w:val="FFFFFF"/>
                <w:sz w:val="20"/>
              </w:rPr>
              <w:t>Tool / Library Name</w:t>
            </w:r>
          </w:p>
        </w:tc>
        <w:tc>
          <w:tcPr>
            <w:tcW w:type="dxa" w:w="3117"/>
            <w:shd w:fill="1A365D"/>
          </w:tcPr>
          <w:p>
            <w:r>
              <w:rPr>
                <w:b/>
                <w:color w:val="FFFFFF"/>
                <w:sz w:val="20"/>
              </w:rPr>
              <w:t>Primary Purpose in System</w:t>
            </w:r>
          </w:p>
        </w:tc>
      </w:tr>
      <w:tr>
        <w:tc>
          <w:tcPr>
            <w:tcW w:type="dxa" w:w="3117"/>
          </w:tcPr>
          <w:p>
            <w:r>
              <w:rPr>
                <w:color w:val="2D3748"/>
                <w:sz w:val="19"/>
              </w:rPr>
              <w:t>Language</w:t>
            </w:r>
          </w:p>
        </w:tc>
        <w:tc>
          <w:tcPr>
            <w:tcW w:type="dxa" w:w="3117"/>
          </w:tcPr>
          <w:p>
            <w:r>
              <w:rPr>
                <w:color w:val="2D3748"/>
                <w:sz w:val="19"/>
              </w:rPr>
              <w:t>Python 3.11</w:t>
            </w:r>
          </w:p>
        </w:tc>
        <w:tc>
          <w:tcPr>
            <w:tcW w:type="dxa" w:w="3117"/>
          </w:tcPr>
          <w:p>
            <w:r>
              <w:rPr>
                <w:color w:val="2D3748"/>
                <w:sz w:val="19"/>
              </w:rPr>
              <w:t>Central codebase, scripts, and library execution.</w:t>
            </w:r>
          </w:p>
        </w:tc>
      </w:tr>
      <w:tr>
        <w:tc>
          <w:tcPr>
            <w:tcW w:type="dxa" w:w="3117"/>
          </w:tcPr>
          <w:p>
            <w:r>
              <w:rPr>
                <w:color w:val="2D3748"/>
                <w:sz w:val="19"/>
              </w:rPr>
              <w:t>Data Processing</w:t>
            </w:r>
          </w:p>
        </w:tc>
        <w:tc>
          <w:tcPr>
            <w:tcW w:type="dxa" w:w="3117"/>
          </w:tcPr>
          <w:p>
            <w:r>
              <w:rPr>
                <w:color w:val="2D3748"/>
                <w:sz w:val="19"/>
              </w:rPr>
              <w:t>Pandas, NumPy, yfinance</w:t>
            </w:r>
          </w:p>
        </w:tc>
        <w:tc>
          <w:tcPr>
            <w:tcW w:type="dxa" w:w="3117"/>
          </w:tcPr>
          <w:p>
            <w:r>
              <w:rPr>
                <w:color w:val="2D3748"/>
                <w:sz w:val="19"/>
              </w:rPr>
              <w:t>High-frequency time-series ingestion, resampling, and OHLC handling.</w:t>
            </w:r>
          </w:p>
        </w:tc>
      </w:tr>
      <w:tr>
        <w:tc>
          <w:tcPr>
            <w:tcW w:type="dxa" w:w="3117"/>
          </w:tcPr>
          <w:p>
            <w:r>
              <w:rPr>
                <w:color w:val="2D3748"/>
                <w:sz w:val="19"/>
              </w:rPr>
              <w:t>Technical Analysis</w:t>
            </w:r>
          </w:p>
        </w:tc>
        <w:tc>
          <w:tcPr>
            <w:tcW w:type="dxa" w:w="3117"/>
          </w:tcPr>
          <w:p>
            <w:r>
              <w:rPr>
                <w:color w:val="2D3748"/>
                <w:sz w:val="19"/>
              </w:rPr>
              <w:t>ta library</w:t>
            </w:r>
          </w:p>
        </w:tc>
        <w:tc>
          <w:tcPr>
            <w:tcW w:type="dxa" w:w="3117"/>
          </w:tcPr>
          <w:p>
            <w:r>
              <w:rPr>
                <w:color w:val="2D3748"/>
                <w:sz w:val="19"/>
              </w:rPr>
              <w:t>Custom feature engineering (RSI, MACD, BB, ATR indicators).</w:t>
            </w:r>
          </w:p>
        </w:tc>
      </w:tr>
      <w:tr>
        <w:tc>
          <w:tcPr>
            <w:tcW w:type="dxa" w:w="3117"/>
          </w:tcPr>
          <w:p>
            <w:r>
              <w:rPr>
                <w:color w:val="2D3748"/>
                <w:sz w:val="19"/>
              </w:rPr>
              <w:t>Vector database (RAG)</w:t>
            </w:r>
          </w:p>
        </w:tc>
        <w:tc>
          <w:tcPr>
            <w:tcW w:type="dxa" w:w="3117"/>
          </w:tcPr>
          <w:p>
            <w:r>
              <w:rPr>
                <w:color w:val="2D3748"/>
                <w:sz w:val="19"/>
              </w:rPr>
              <w:t>ChromaDB, SentenceTransformers</w:t>
            </w:r>
          </w:p>
        </w:tc>
        <w:tc>
          <w:tcPr>
            <w:tcW w:type="dxa" w:w="3117"/>
          </w:tcPr>
          <w:p>
            <w:r>
              <w:rPr>
                <w:color w:val="2D3748"/>
                <w:sz w:val="19"/>
              </w:rPr>
              <w:t>Storing and retrieving 1.7M+ historical market regime vectors via cosine similarity.</w:t>
            </w:r>
          </w:p>
        </w:tc>
      </w:tr>
      <w:tr>
        <w:tc>
          <w:tcPr>
            <w:tcW w:type="dxa" w:w="3117"/>
          </w:tcPr>
          <w:p>
            <w:r>
              <w:rPr>
                <w:color w:val="2D3748"/>
                <w:sz w:val="19"/>
              </w:rPr>
              <w:t>Machine Learning</w:t>
            </w:r>
          </w:p>
        </w:tc>
        <w:tc>
          <w:tcPr>
            <w:tcW w:type="dxa" w:w="3117"/>
          </w:tcPr>
          <w:p>
            <w:r>
              <w:rPr>
                <w:color w:val="2D3748"/>
                <w:sz w:val="19"/>
              </w:rPr>
              <w:t>XGBoost, Scikit-learn</w:t>
            </w:r>
          </w:p>
        </w:tc>
        <w:tc>
          <w:tcPr>
            <w:tcW w:type="dxa" w:w="3117"/>
          </w:tcPr>
          <w:p>
            <w:r>
              <w:rPr>
                <w:color w:val="2D3748"/>
                <w:sz w:val="19"/>
              </w:rPr>
              <w:t>Building and training Hist-based supervised classifier trees with Walk-Forward splits.</w:t>
            </w:r>
          </w:p>
        </w:tc>
      </w:tr>
      <w:tr>
        <w:tc>
          <w:tcPr>
            <w:tcW w:type="dxa" w:w="3117"/>
          </w:tcPr>
          <w:p>
            <w:r>
              <w:rPr>
                <w:color w:val="2D3748"/>
                <w:sz w:val="19"/>
              </w:rPr>
              <w:t>API Framework</w:t>
            </w:r>
          </w:p>
        </w:tc>
        <w:tc>
          <w:tcPr>
            <w:tcW w:type="dxa" w:w="3117"/>
          </w:tcPr>
          <w:p>
            <w:r>
              <w:rPr>
                <w:color w:val="2D3748"/>
                <w:sz w:val="19"/>
              </w:rPr>
              <w:t>FastAPI, Uvicorn, Pydantic</w:t>
            </w:r>
          </w:p>
        </w:tc>
        <w:tc>
          <w:tcPr>
            <w:tcW w:type="dxa" w:w="3117"/>
          </w:tcPr>
          <w:p>
            <w:r>
              <w:rPr>
                <w:color w:val="2D3748"/>
                <w:sz w:val="19"/>
              </w:rPr>
              <w:t>Sub-100ms prediction hosting, timezone auto-fix, and input model checks.</w:t>
            </w:r>
          </w:p>
        </w:tc>
      </w:tr>
      <w:tr>
        <w:tc>
          <w:tcPr>
            <w:tcW w:type="dxa" w:w="3117"/>
          </w:tcPr>
          <w:p>
            <w:r>
              <w:rPr>
                <w:color w:val="2D3748"/>
                <w:sz w:val="19"/>
              </w:rPr>
              <w:t>Dashboard GUI</w:t>
            </w:r>
          </w:p>
        </w:tc>
        <w:tc>
          <w:tcPr>
            <w:tcW w:type="dxa" w:w="3117"/>
          </w:tcPr>
          <w:p>
            <w:r>
              <w:rPr>
                <w:color w:val="2D3748"/>
                <w:sz w:val="19"/>
              </w:rPr>
              <w:t>Streamlit, Plotly</w:t>
            </w:r>
          </w:p>
        </w:tc>
        <w:tc>
          <w:tcPr>
            <w:tcW w:type="dxa" w:w="3117"/>
          </w:tcPr>
          <w:p>
            <w:r>
              <w:rPr>
                <w:color w:val="2D3748"/>
                <w:sz w:val="19"/>
              </w:rPr>
              <w:t>Interactive charting, system metrics monitor, and analogous past twin views.</w:t>
            </w:r>
          </w:p>
        </w:tc>
      </w:tr>
    </w:tbl>
    <w:p>
      <w:r>
        <w:br w:type="page"/>
      </w:r>
    </w:p>
    <w:p>
      <w:pPr>
        <w:keepNext/>
        <w:spacing w:before="240" w:after="120"/>
      </w:pPr>
      <w:r>
        <w:rPr>
          <w:rFonts w:ascii="Segoe UI" w:hAnsi="Segoe UI"/>
          <w:b/>
          <w:color w:val="1A365D"/>
          <w:sz w:val="36"/>
        </w:rPr>
        <w:t>9. Results and Snapshots</w:t>
      </w:r>
    </w:p>
    <w:p>
      <w:pPr>
        <w:spacing w:line="276" w:lineRule="auto" w:after="160"/>
      </w:pPr>
      <w:r>
        <w:rPr>
          <w:rFonts w:ascii="Segoe UI" w:hAnsi="Segoe UI"/>
          <w:i w:val="0"/>
          <w:color w:val="2D3748"/>
          <w:sz w:val="22"/>
        </w:rPr>
        <w:t>Model training on the final consolidated 1.7 million row dataset yielded highly robust validation results. To minimize false signals, we implemented a Confidence Filter. Rather than taking every trade, the system only logs a trade when the model probability exceeds a designated threshold. The validation metrics are shown in Table 9.1:</w:t>
      </w:r>
    </w:p>
    <w:tbl>
      <w:tblPr>
        <w:tblW w:type="auto" w:w="0"/>
        <w:tblLook w:firstColumn="1" w:firstRow="1" w:lastColumn="0" w:lastRow="0" w:noHBand="0" w:noVBand="1" w:val="04A0"/>
      </w:tblPr>
      <w:tblGrid>
        <w:gridCol w:w="3117"/>
        <w:gridCol w:w="3117"/>
        <w:gridCol w:w="3117"/>
      </w:tblGrid>
      <w:tr>
        <w:tc>
          <w:tcPr>
            <w:tcW w:type="dxa" w:w="3117"/>
            <w:shd w:fill="234E52"/>
          </w:tcPr>
          <w:p>
            <w:r>
              <w:rPr>
                <w:b/>
                <w:color w:val="FFFFFF"/>
                <w:sz w:val="20"/>
              </w:rPr>
              <w:t>Confidence Threshold</w:t>
            </w:r>
          </w:p>
        </w:tc>
        <w:tc>
          <w:tcPr>
            <w:tcW w:type="dxa" w:w="3117"/>
            <w:shd w:fill="234E52"/>
          </w:tcPr>
          <w:p>
            <w:r>
              <w:rPr>
                <w:b/>
                <w:color w:val="FFFFFF"/>
                <w:sz w:val="20"/>
              </w:rPr>
              <w:t>Directional Accuracy</w:t>
            </w:r>
          </w:p>
        </w:tc>
        <w:tc>
          <w:tcPr>
            <w:tcW w:type="dxa" w:w="3117"/>
            <w:shd w:fill="234E52"/>
          </w:tcPr>
          <w:p>
            <w:r>
              <w:rPr>
                <w:b/>
                <w:color w:val="FFFFFF"/>
                <w:sz w:val="20"/>
              </w:rPr>
              <w:t>Total Trades Logged (Test Set)</w:t>
            </w:r>
          </w:p>
        </w:tc>
      </w:tr>
      <w:tr>
        <w:tc>
          <w:tcPr>
            <w:tcW w:type="dxa" w:w="3117"/>
          </w:tcPr>
          <w:p>
            <w:r>
              <w:rPr>
                <w:color w:val="2D3748"/>
                <w:sz w:val="19"/>
              </w:rPr>
              <w:t>Standard (All Trades)</w:t>
            </w:r>
          </w:p>
        </w:tc>
        <w:tc>
          <w:tcPr>
            <w:tcW w:type="dxa" w:w="3117"/>
          </w:tcPr>
          <w:p>
            <w:r>
              <w:rPr>
                <w:color w:val="2D3748"/>
                <w:sz w:val="19"/>
              </w:rPr>
              <w:t>52.80%</w:t>
            </w:r>
          </w:p>
        </w:tc>
        <w:tc>
          <w:tcPr>
            <w:tcW w:type="dxa" w:w="3117"/>
          </w:tcPr>
          <w:p>
            <w:r>
              <w:rPr>
                <w:color w:val="2D3748"/>
                <w:sz w:val="19"/>
              </w:rPr>
              <w:t>336,147</w:t>
            </w:r>
          </w:p>
        </w:tc>
      </w:tr>
      <w:tr>
        <w:tc>
          <w:tcPr>
            <w:tcW w:type="dxa" w:w="3117"/>
          </w:tcPr>
          <w:p>
            <w:r>
              <w:rPr>
                <w:color w:val="2D3748"/>
                <w:sz w:val="19"/>
              </w:rPr>
              <w:t>55% Confidence</w:t>
            </w:r>
          </w:p>
        </w:tc>
        <w:tc>
          <w:tcPr>
            <w:tcW w:type="dxa" w:w="3117"/>
          </w:tcPr>
          <w:p>
            <w:r>
              <w:rPr>
                <w:color w:val="2D3748"/>
                <w:sz w:val="19"/>
              </w:rPr>
              <w:t>55.75%</w:t>
            </w:r>
          </w:p>
        </w:tc>
        <w:tc>
          <w:tcPr>
            <w:tcW w:type="dxa" w:w="3117"/>
          </w:tcPr>
          <w:p>
            <w:r>
              <w:rPr>
                <w:color w:val="2D3748"/>
                <w:sz w:val="19"/>
              </w:rPr>
              <w:t>132,805</w:t>
            </w:r>
          </w:p>
        </w:tc>
      </w:tr>
      <w:tr>
        <w:tc>
          <w:tcPr>
            <w:tcW w:type="dxa" w:w="3117"/>
          </w:tcPr>
          <w:p>
            <w:r>
              <w:rPr>
                <w:color w:val="2D3748"/>
                <w:sz w:val="19"/>
              </w:rPr>
              <w:t>60% Confidence</w:t>
            </w:r>
          </w:p>
        </w:tc>
        <w:tc>
          <w:tcPr>
            <w:tcW w:type="dxa" w:w="3117"/>
          </w:tcPr>
          <w:p>
            <w:r>
              <w:rPr>
                <w:color w:val="2D3748"/>
                <w:sz w:val="19"/>
              </w:rPr>
              <w:t>66.28%</w:t>
            </w:r>
          </w:p>
        </w:tc>
        <w:tc>
          <w:tcPr>
            <w:tcW w:type="dxa" w:w="3117"/>
          </w:tcPr>
          <w:p>
            <w:r>
              <w:rPr>
                <w:color w:val="2D3748"/>
                <w:sz w:val="19"/>
              </w:rPr>
              <w:t>26,488</w:t>
            </w:r>
          </w:p>
        </w:tc>
      </w:tr>
      <w:tr>
        <w:tc>
          <w:tcPr>
            <w:tcW w:type="dxa" w:w="3117"/>
          </w:tcPr>
          <w:p>
            <w:r>
              <w:rPr>
                <w:b/>
                <w:color w:val="2F855A"/>
                <w:sz w:val="19"/>
              </w:rPr>
              <w:t>65% Confidence</w:t>
            </w:r>
          </w:p>
        </w:tc>
        <w:tc>
          <w:tcPr>
            <w:tcW w:type="dxa" w:w="3117"/>
          </w:tcPr>
          <w:p>
            <w:r>
              <w:rPr>
                <w:b/>
                <w:color w:val="2F855A"/>
                <w:sz w:val="19"/>
              </w:rPr>
              <w:t>83.92%</w:t>
            </w:r>
          </w:p>
        </w:tc>
        <w:tc>
          <w:tcPr>
            <w:tcW w:type="dxa" w:w="3117"/>
          </w:tcPr>
          <w:p>
            <w:r>
              <w:rPr>
                <w:b/>
                <w:color w:val="2F855A"/>
                <w:sz w:val="19"/>
              </w:rPr>
              <w:t>10,589</w:t>
            </w:r>
          </w:p>
        </w:tc>
      </w:tr>
      <w:tr>
        <w:tc>
          <w:tcPr>
            <w:tcW w:type="dxa" w:w="3117"/>
          </w:tcPr>
          <w:p>
            <w:r>
              <w:rPr>
                <w:b/>
                <w:color w:val="2F855A"/>
                <w:sz w:val="19"/>
              </w:rPr>
              <w:t>70% Confidence</w:t>
            </w:r>
          </w:p>
        </w:tc>
        <w:tc>
          <w:tcPr>
            <w:tcW w:type="dxa" w:w="3117"/>
          </w:tcPr>
          <w:p>
            <w:r>
              <w:rPr>
                <w:b/>
                <w:color w:val="2F855A"/>
                <w:sz w:val="19"/>
              </w:rPr>
              <w:t>88.54%</w:t>
            </w:r>
          </w:p>
        </w:tc>
        <w:tc>
          <w:tcPr>
            <w:tcW w:type="dxa" w:w="3117"/>
          </w:tcPr>
          <w:p>
            <w:r>
              <w:rPr>
                <w:b/>
                <w:color w:val="2F855A"/>
                <w:sz w:val="19"/>
              </w:rPr>
              <w:t>8,462</w:t>
            </w:r>
          </w:p>
        </w:tc>
      </w:tr>
    </w:tbl>
    <w:p>
      <w:pPr>
        <w:spacing w:line="276" w:lineRule="auto" w:after="160"/>
      </w:pPr>
      <w:r>
        <w:rPr>
          <w:rFonts w:ascii="Segoe UI" w:hAnsi="Segoe UI"/>
          <w:b/>
          <w:color w:val="2D3748"/>
          <w:sz w:val="22"/>
        </w:rPr>
        <w:t xml:space="preserve">Key Finding on Confidence Filtering: </w:t>
      </w:r>
      <w:r>
        <w:rPr>
          <w:rFonts w:ascii="Segoe UI" w:hAnsi="Segoe UI"/>
          <w:i w:val="0"/>
          <w:color w:val="2D3748"/>
          <w:sz w:val="22"/>
        </w:rPr>
        <w:t>By enforcing a 65% confidence filter, we achieve a phenomenal 83.92% directional accuracy (over 10,589 trades on the test set), which is extremely high in high-frequency trading. Feature importance calculations revealed that the top technical factors determining gold spot movements are:</w:t>
      </w:r>
    </w:p>
    <w:p>
      <w:pPr>
        <w:spacing w:line="276" w:lineRule="auto" w:after="160"/>
      </w:pPr>
      <w:r>
        <w:rPr>
          <w:rFonts w:ascii="Segoe UI" w:hAnsi="Segoe UI"/>
          <w:i w:val="0"/>
          <w:color w:val="2D3748"/>
          <w:sz w:val="22"/>
        </w:rPr>
        <w:t>Bollinger Band Position (bb_position at 12.82% importance): Captures if gold is overbought/oversold relative to recent volatility ranges.</w:t>
      </w:r>
    </w:p>
    <w:p>
      <w:pPr>
        <w:spacing w:line="276" w:lineRule="auto" w:after="160"/>
      </w:pPr>
      <w:r>
        <w:rPr>
          <w:rFonts w:ascii="Segoe UI" w:hAnsi="Segoe UI"/>
          <w:i w:val="0"/>
          <w:color w:val="2D3748"/>
          <w:sz w:val="22"/>
        </w:rPr>
        <w:t>Price Returns (returns at 12.35% importance): Represents the immediate momentum vector.</w:t>
      </w:r>
    </w:p>
    <w:p>
      <w:pPr>
        <w:spacing w:line="276" w:lineRule="auto" w:after="160"/>
      </w:pPr>
      <w:r>
        <w:rPr>
          <w:rFonts w:ascii="Segoe UI" w:hAnsi="Segoe UI"/>
          <w:i w:val="0"/>
          <w:color w:val="2D3748"/>
          <w:sz w:val="22"/>
        </w:rPr>
        <w:t>Upper Wick Ratio (upper_wick_ratio at 8.82% importance) &amp; Body Ratio (body_ratio at 8.64% importance): Represents liquidity wicks and sell pressure geometry.</w:t>
      </w:r>
    </w:p>
    <w:p>
      <w:pPr>
        <w:spacing w:line="276" w:lineRule="auto" w:after="160"/>
      </w:pPr>
      <w:r>
        <w:rPr>
          <w:rFonts w:ascii="Segoe UI" w:hAnsi="Segoe UI"/>
          <w:b/>
          <w:color w:val="2D3748"/>
          <w:sz w:val="22"/>
        </w:rPr>
        <w:t xml:space="preserve">Computational Efficiency: </w:t>
      </w:r>
      <w:r>
        <w:rPr>
          <w:rFonts w:ascii="Segoe UI" w:hAnsi="Segoe UI"/>
          <w:i w:val="0"/>
          <w:color w:val="2D3748"/>
          <w:sz w:val="22"/>
        </w:rPr>
        <w:t>The model training time took exactly 0.70 minutes on the dataset, demonstrating the high performance and computational scaling of XGBoost's hist-based tree splits.</w:t>
      </w:r>
    </w:p>
    <w:p>
      <w:r>
        <w:br w:type="page"/>
      </w:r>
    </w:p>
    <w:p>
      <w:pPr>
        <w:keepNext/>
        <w:spacing w:before="240" w:after="120"/>
      </w:pPr>
      <w:r>
        <w:rPr>
          <w:rFonts w:ascii="Segoe UI" w:hAnsi="Segoe UI"/>
          <w:b/>
          <w:color w:val="1A365D"/>
          <w:sz w:val="36"/>
        </w:rPr>
        <w:t>10. Applications</w:t>
      </w:r>
    </w:p>
    <w:p>
      <w:pPr>
        <w:spacing w:line="276" w:lineRule="auto" w:after="160"/>
      </w:pPr>
      <w:r>
        <w:rPr>
          <w:rFonts w:ascii="Segoe UI" w:hAnsi="Segoe UI"/>
          <w:i w:val="0"/>
          <w:color w:val="2D3748"/>
          <w:sz w:val="22"/>
        </w:rPr>
        <w:t>The hybrid XAUUSD Predictor system has major applications in quantitative and algorithmic trading environments:</w:t>
      </w:r>
    </w:p>
    <w:p>
      <w:pPr>
        <w:spacing w:line="276" w:lineRule="auto" w:after="160"/>
      </w:pPr>
      <w:r>
        <w:rPr>
          <w:rFonts w:ascii="Segoe UI" w:hAnsi="Segoe UI"/>
          <w:b/>
          <w:color w:val="2D3748"/>
          <w:sz w:val="22"/>
        </w:rPr>
        <w:t xml:space="preserve">1. Automated Trading Execution: </w:t>
      </w:r>
      <w:r>
        <w:rPr>
          <w:rFonts w:ascii="Segoe UI" w:hAnsi="Segoe UI"/>
          <w:i w:val="0"/>
          <w:color w:val="2D3748"/>
          <w:sz w:val="22"/>
        </w:rPr>
        <w:t>The FastAPI `/predict` endpoint can connect to MetaTrader 5 (MT5), cTrader, or Interactive Brokers scripts, executing trades automatically based on confidence signals.</w:t>
      </w:r>
    </w:p>
    <w:p>
      <w:pPr>
        <w:spacing w:line="276" w:lineRule="auto" w:after="160"/>
      </w:pPr>
      <w:r>
        <w:rPr>
          <w:rFonts w:ascii="Segoe UI" w:hAnsi="Segoe UI"/>
          <w:b/>
          <w:color w:val="2D3748"/>
          <w:sz w:val="22"/>
        </w:rPr>
        <w:t xml:space="preserve">2. Risk Management &amp; Regime Analysis: </w:t>
      </w:r>
      <w:r>
        <w:rPr>
          <w:rFonts w:ascii="Segoe UI" w:hAnsi="Segoe UI"/>
          <w:i w:val="0"/>
          <w:color w:val="2D3748"/>
          <w:sz w:val="22"/>
        </w:rPr>
        <w:t>By identifying matching historical twins, portfolio managers can analyze how the market responded under similar past conditions, setting smarter stop-losses and take-profits.</w:t>
      </w:r>
    </w:p>
    <w:p>
      <w:pPr>
        <w:spacing w:line="276" w:lineRule="auto" w:after="160"/>
      </w:pPr>
      <w:r>
        <w:rPr>
          <w:rFonts w:ascii="Segoe UI" w:hAnsi="Segoe UI"/>
          <w:b/>
          <w:color w:val="2D3748"/>
          <w:sz w:val="22"/>
        </w:rPr>
        <w:t xml:space="preserve">3. Decision-Support for Manual Day Traders: </w:t>
      </w:r>
      <w:r>
        <w:rPr>
          <w:rFonts w:ascii="Segoe UI" w:hAnsi="Segoe UI"/>
          <w:i w:val="0"/>
          <w:color w:val="2D3748"/>
          <w:sz w:val="22"/>
        </w:rPr>
        <w:t>The Streamlit dashboard serves as a support tool for day traders, explaining the AI's predictions with transparent historical lookups.</w:t>
      </w:r>
    </w:p>
    <w:p>
      <w:pPr>
        <w:spacing w:line="276" w:lineRule="auto" w:after="160"/>
      </w:pPr>
      <w:r>
        <w:rPr>
          <w:rFonts w:ascii="Segoe UI" w:hAnsi="Segoe UI"/>
          <w:b/>
          <w:color w:val="2D3748"/>
          <w:sz w:val="22"/>
        </w:rPr>
        <w:t xml:space="preserve">4. Academic and Quantitative Research: </w:t>
      </w:r>
      <w:r>
        <w:rPr>
          <w:rFonts w:ascii="Segoe UI" w:hAnsi="Segoe UI"/>
          <w:i w:val="0"/>
          <w:color w:val="2D3748"/>
          <w:sz w:val="22"/>
        </w:rPr>
        <w:t>It serves as an excellent reference architecture for academic researchers looking to study the combination of NLP embeddings (RAG) and tabular classification (GBDTs) in non-stationary financial markets.</w:t>
      </w:r>
    </w:p>
    <w:p>
      <w:r>
        <w:br w:type="page"/>
      </w:r>
    </w:p>
    <w:p>
      <w:pPr>
        <w:keepNext/>
        <w:spacing w:before="240" w:after="120"/>
      </w:pPr>
      <w:r>
        <w:rPr>
          <w:rFonts w:ascii="Segoe UI" w:hAnsi="Segoe UI"/>
          <w:b/>
          <w:color w:val="1A365D"/>
          <w:sz w:val="36"/>
        </w:rPr>
        <w:t>12. Mind Map</w:t>
      </w:r>
    </w:p>
    <w:p>
      <w:pPr>
        <w:spacing w:line="276" w:lineRule="auto" w:after="160"/>
      </w:pPr>
      <w:r>
        <w:rPr>
          <w:rFonts w:ascii="Segoe UI" w:hAnsi="Segoe UI"/>
          <w:i w:val="0"/>
          <w:color w:val="2D3748"/>
          <w:sz w:val="22"/>
        </w:rPr>
        <w:t>The Concept Mind Map below details the entire technological layout of the system, outlining the linkages between the core components of the RAG engine and XGBoost model:</w:t>
      </w:r>
    </w:p>
    <w:p>
      <w:r>
        <w:drawing>
          <wp:inline>
            <wp:extent cx="5486400" cy="3295535"/>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295535"/>
                    </a:xfrm>
                    <a:prstGeom prst="rect"/>
                  </pic:spPr>
                </pic:pic>
              </a:graphicData>
            </a:graphic>
          </wp:inline>
        </w:drawing>
      </w:r>
    </w:p>
    <w:p>
      <w:pPr>
        <w:jc w:val="center"/>
      </w:pPr>
      <w:r>
        <w:rPr>
          <w:i/>
          <w:sz w:val="20"/>
        </w:rPr>
        <w:t>Figure 12.1: XAUUSD Predictor System Mind Map</w:t>
      </w:r>
    </w:p>
    <w:p>
      <w:r>
        <w:br w:type="page"/>
      </w:r>
    </w:p>
    <w:p>
      <w:pPr>
        <w:keepNext/>
        <w:spacing w:before="240" w:after="120"/>
      </w:pPr>
      <w:r>
        <w:rPr>
          <w:rFonts w:ascii="Segoe UI" w:hAnsi="Segoe UI"/>
          <w:b/>
          <w:color w:val="1A365D"/>
          <w:sz w:val="36"/>
        </w:rPr>
        <w:t>11. GitHub Repository Link</w:t>
      </w:r>
    </w:p>
    <w:p>
      <w:pPr>
        <w:spacing w:line="276" w:lineRule="auto" w:after="160"/>
      </w:pPr>
      <w:r>
        <w:rPr>
          <w:rFonts w:ascii="Segoe UI" w:hAnsi="Segoe UI"/>
          <w:i w:val="0"/>
          <w:color w:val="2D3748"/>
          <w:sz w:val="22"/>
        </w:rPr>
        <w:t>The complete source code, deployment scripts, data pipeline, and system documentation are fully open-sourced. The project repository can be accessed via the following link:</w:t>
      </w:r>
    </w:p>
    <w:p>
      <w:pPr>
        <w:spacing w:before="240" w:after="240"/>
        <w:ind w:left="720" w:right="720"/>
      </w:pPr>
      <w:r>
        <w:rPr>
          <w:rFonts w:ascii="Segoe UI" w:hAnsi="Segoe UI"/>
          <w:b/>
          <w:color w:val="1A365D"/>
          <w:sz w:val="22"/>
        </w:rPr>
        <w:t xml:space="preserve">🔗 GitHub Repository: </w:t>
      </w:r>
      <w:r>
        <w:rPr>
          <w:rFonts w:ascii="Segoe UI" w:hAnsi="Segoe UI"/>
          <w:b/>
          <w:color w:val="3182CE"/>
          <w:sz w:val="22"/>
          <w:u w:val="single"/>
        </w:rPr>
        <w:t>https://github.com/Nadex19-Adi/XAUUSD-Predictor</w:t>
      </w:r>
    </w:p>
    <w:p>
      <w:pPr>
        <w:spacing w:line="276" w:lineRule="auto" w:after="160"/>
      </w:pPr>
      <w:r>
        <w:rPr>
          <w:rFonts w:ascii="Segoe UI" w:hAnsi="Segoe UI"/>
          <w:i w:val="0"/>
          <w:color w:val="2D3748"/>
          <w:sz w:val="22"/>
        </w:rPr>
        <w:t>The repository contains step-by-step setup guides, central Pydantic configurations (config.py), the 3-shard pipeline build commands, and details to deploy the docker container services locally or via cloud clusters.</w:t>
      </w:r>
    </w:p>
    <w:p>
      <w:r>
        <w:br w:type="page"/>
      </w:r>
    </w:p>
    <w:p>
      <w:pPr>
        <w:keepNext/>
        <w:spacing w:before="240" w:after="120"/>
      </w:pPr>
      <w:r>
        <w:rPr>
          <w:rFonts w:ascii="Segoe UI" w:hAnsi="Segoe UI"/>
          <w:b/>
          <w:color w:val="1A365D"/>
          <w:sz w:val="36"/>
        </w:rPr>
        <w:t>13. Conclusion</w:t>
      </w:r>
    </w:p>
    <w:p>
      <w:pPr>
        <w:spacing w:line="276" w:lineRule="auto" w:after="160"/>
      </w:pPr>
      <w:r>
        <w:rPr>
          <w:rFonts w:ascii="Segoe UI" w:hAnsi="Segoe UI"/>
          <w:i w:val="0"/>
          <w:color w:val="2D3748"/>
          <w:sz w:val="22"/>
        </w:rPr>
        <w:t>The XAUUSD RAG Predictor demonstrates a successful and innovative convergence of modern supervised machine learning and NLP vector-similarity technologies. By combining the predictive performance of a walk-forward trained XGBoost classifier with a sharded 'Market Memory' ChromaDB database, the system successfully tackles high-frequency market noise. It overcomes local hardware limits (OOM and CPU/GPU thermal safety) via dynamic database sharding and PyTorch thread limiting.</w:t>
      </w:r>
    </w:p>
    <w:p>
      <w:pPr>
        <w:spacing w:line="276" w:lineRule="auto" w:after="160"/>
      </w:pPr>
      <w:r>
        <w:rPr>
          <w:rFonts w:ascii="Segoe UI" w:hAnsi="Segoe UI"/>
          <w:i w:val="0"/>
          <w:color w:val="2D3748"/>
          <w:sz w:val="22"/>
        </w:rPr>
        <w:t>Our findings highlight the immense value of confidence filtering: isolating signals to periods of &gt;65% model probability allows the system to achieve an exceptional 83.92% prediction accuracy, which is considered state-of-the-art for high-frequency quantitative commodities trading. The system is fully robust, timezone-resilient, explainable by design, and packaged for immediate production deployment via FastAPI and Streamlit.</w:t>
      </w:r>
    </w:p>
    <w:p>
      <w:pPr>
        <w:spacing w:line="276" w:lineRule="auto" w:after="160"/>
      </w:pPr>
      <w:r>
        <w:rPr>
          <w:rFonts w:ascii="Segoe UI" w:hAnsi="Segoe UI"/>
          <w:b/>
          <w:color w:val="2D3748"/>
          <w:sz w:val="22"/>
        </w:rPr>
        <w:t xml:space="preserve">Future Scope: </w:t>
      </w:r>
      <w:r>
        <w:rPr>
          <w:rFonts w:ascii="Segoe UI" w:hAnsi="Segoe UI"/>
          <w:i w:val="0"/>
          <w:color w:val="2D3748"/>
          <w:sz w:val="22"/>
        </w:rPr>
        <w:t>Future improvements will focus on integrating live macroeconomic news sentiment (from Federal Reserve and inflation data), fully eliminating lookahead bias from standard features, and writing broker API bridges for fully automated execution.</w:t>
      </w:r>
    </w:p>
    <w:p>
      <w:r>
        <w:br w:type="page"/>
      </w:r>
    </w:p>
    <w:p>
      <w:pPr>
        <w:keepNext/>
        <w:spacing w:before="240" w:after="120"/>
      </w:pPr>
      <w:r>
        <w:rPr>
          <w:rFonts w:ascii="Segoe UI" w:hAnsi="Segoe UI"/>
          <w:b/>
          <w:color w:val="1A365D"/>
          <w:sz w:val="36"/>
        </w:rPr>
        <w:t>1. Introduction</w:t>
      </w:r>
    </w:p>
    <w:p>
      <w:pPr>
        <w:spacing w:line="276" w:lineRule="auto" w:after="160"/>
      </w:pPr>
      <w:r>
        <w:rPr>
          <w:rFonts w:ascii="Segoe UI" w:hAnsi="Segoe UI"/>
          <w:i w:val="0"/>
          <w:color w:val="2D3748"/>
          <w:sz w:val="22"/>
        </w:rPr>
        <w:t>In modern quantitative finance, predicting financial asset prices with high precision is considered the holy grail of market analysis. Gold (XAUUSD) has historically stood as one of the most liquid, volatile, and actively traded commodities, acting as a global safe-haven asset during times of macroeconomic instability. However, day-trading gold on short timeframes, such as the 5-minute interval, is an exceptionally difficult endeavor. High-frequency price action is plagued with market noise, non-stationarity, and sudden trend reversals triggered by global interest rate announcements, geopolitical events, and liquidity shifts.</w:t>
      </w:r>
    </w:p>
    <w:p>
      <w:pPr>
        <w:spacing w:line="276" w:lineRule="auto" w:after="160"/>
      </w:pPr>
      <w:r>
        <w:rPr>
          <w:rFonts w:ascii="Segoe UI" w:hAnsi="Segoe UI"/>
          <w:i w:val="0"/>
          <w:color w:val="2D3748"/>
          <w:sz w:val="22"/>
        </w:rPr>
        <w:t>This project introduces a hybrid framework that merges a Retrieval-Augmented Generation (RAG) 'Market Memory' database with a supervised XGBoost (Extreme Gradient Boosting) classifier to forecast gold spot price direction (UP/DOWN) over short-term holding periods. Unlike standard predictive systems that rely solely on lagging technical indicators, our hybrid framework augments the classifier by recalling the closest historical price regimes from a massive 13-year dataset (2010-2026) encompassing over 1.7 million rows of 5-minute candles. By utilizing dense, multi-dimensional embeddings (via sentence-transformers' all-MiniLM-L6-v2) stored inside a sharded ChromaDB vector store, our system retrieves historical trading analogues to guide the XGBoost supervised learner, making predictions highly robust and explainable.</w:t>
      </w:r>
    </w:p>
    <w:p>
      <w:r>
        <w:br w:type="page"/>
      </w:r>
    </w:p>
    <w:p>
      <w:pPr>
        <w:keepNext/>
        <w:spacing w:before="240" w:after="120"/>
      </w:pPr>
      <w:r>
        <w:rPr>
          <w:rFonts w:ascii="Segoe UI" w:hAnsi="Segoe UI"/>
          <w:b/>
          <w:color w:val="1A365D"/>
          <w:sz w:val="36"/>
        </w:rPr>
        <w:t>2. Problem Statement</w:t>
      </w:r>
    </w:p>
    <w:p>
      <w:pPr>
        <w:spacing w:line="276" w:lineRule="auto" w:after="160"/>
      </w:pPr>
      <w:r>
        <w:rPr>
          <w:rFonts w:ascii="Segoe UI" w:hAnsi="Segoe UI"/>
          <w:b/>
          <w:color w:val="2D3748"/>
          <w:sz w:val="22"/>
        </w:rPr>
        <w:t xml:space="preserve">Market Noise and Lagging Signals: </w:t>
      </w:r>
      <w:r>
        <w:rPr>
          <w:rFonts w:ascii="Segoe UI" w:hAnsi="Segoe UI"/>
          <w:i w:val="0"/>
          <w:color w:val="2D3748"/>
          <w:sz w:val="22"/>
        </w:rPr>
        <w:t>Gold spot price prediction on high-frequency timeframes remains highly complex due to several key factors:</w:t>
      </w:r>
    </w:p>
    <w:p>
      <w:pPr>
        <w:spacing w:line="276" w:lineRule="auto" w:after="160"/>
      </w:pPr>
      <w:r>
        <w:rPr>
          <w:rFonts w:ascii="Segoe UI" w:hAnsi="Segoe UI"/>
          <w:i w:val="0"/>
          <w:color w:val="2D3748"/>
          <w:sz w:val="22"/>
        </w:rPr>
        <w:t>Traditional technical indicators (e.g., Relative Strength Index, Moving Average Convergence Divergence, Bollinger Bands) are lagging oscillators. They represent mathematical summaries of past price actions and fail to adapt to rapid, structural shifts in market regimes, leading to false breakouts and high trading drawdown.</w:t>
      </w:r>
    </w:p>
    <w:p>
      <w:pPr>
        <w:spacing w:line="276" w:lineRule="auto" w:after="160"/>
      </w:pPr>
      <w:r>
        <w:rPr>
          <w:rFonts w:ascii="Segoe UI" w:hAnsi="Segoe UI"/>
          <w:b/>
          <w:color w:val="2D3748"/>
          <w:sz w:val="22"/>
        </w:rPr>
        <w:t xml:space="preserve">Lack of Explainability and Transparency: </w:t>
      </w:r>
      <w:r>
        <w:rPr>
          <w:rFonts w:ascii="Segoe UI" w:hAnsi="Segoe UI"/>
          <w:i w:val="0"/>
          <w:color w:val="2D3748"/>
          <w:sz w:val="22"/>
        </w:rPr>
        <w:t>Hedge funds and institutional desks employ complex, high-dimensional quantitative models. However, standard machine learning pipelines suffer from severe overfitting and act as 'black boxes', failing to explain their trading signals with relevant historical contexts.</w:t>
      </w:r>
    </w:p>
    <w:p>
      <w:pPr>
        <w:spacing w:line="276" w:lineRule="auto" w:after="160"/>
      </w:pPr>
      <w:r>
        <w:rPr>
          <w:rFonts w:ascii="Segoe UI" w:hAnsi="Segoe UI"/>
          <w:b/>
          <w:color w:val="2D3748"/>
          <w:sz w:val="22"/>
        </w:rPr>
        <w:t xml:space="preserve">Computational Scaling and Hardware Safety: </w:t>
      </w:r>
      <w:r>
        <w:rPr>
          <w:rFonts w:ascii="Segoe UI" w:hAnsi="Segoe UI"/>
          <w:i w:val="0"/>
          <w:color w:val="2D3748"/>
          <w:sz w:val="22"/>
        </w:rPr>
        <w:t>Processing, indexing, and querying millions of vectors in a local development environment causes Out-of-Memory (OOM) failures on personal workstations, which are limited by standard 16GB RAM footprints. Additionally, heavy multi-threaded embedding computations generate massive thermal stress on developer machines, causing system thermal shutdowns.</w:t>
      </w:r>
    </w:p>
    <w:p>
      <w:r>
        <w:br w:type="page"/>
      </w:r>
    </w:p>
    <w:p>
      <w:pPr>
        <w:keepNext/>
        <w:spacing w:before="240" w:after="120"/>
      </w:pPr>
      <w:r>
        <w:rPr>
          <w:rFonts w:ascii="Segoe UI" w:hAnsi="Segoe UI"/>
          <w:b/>
          <w:color w:val="1A365D"/>
          <w:sz w:val="36"/>
        </w:rPr>
        <w:t>3. Objectives of the Project</w:t>
      </w:r>
    </w:p>
    <w:p>
      <w:pPr>
        <w:spacing w:line="276" w:lineRule="auto" w:after="160"/>
      </w:pPr>
      <w:r>
        <w:rPr>
          <w:rFonts w:ascii="Segoe UI" w:hAnsi="Segoe UI"/>
          <w:i w:val="0"/>
          <w:color w:val="2D3748"/>
          <w:sz w:val="22"/>
        </w:rPr>
        <w:t>The key objectives of this project are:</w:t>
      </w:r>
    </w:p>
    <w:p>
      <w:pPr>
        <w:spacing w:line="276" w:lineRule="auto" w:after="160"/>
      </w:pPr>
      <w:r>
        <w:rPr>
          <w:rFonts w:ascii="Segoe UI" w:hAnsi="Segoe UI"/>
          <w:b/>
          <w:color w:val="2D3748"/>
          <w:sz w:val="22"/>
        </w:rPr>
        <w:t xml:space="preserve">1. Hybrid Machine Learning Architecture: </w:t>
      </w:r>
      <w:r>
        <w:rPr>
          <w:rFonts w:ascii="Segoe UI" w:hAnsi="Segoe UI"/>
          <w:i w:val="0"/>
          <w:color w:val="2D3748"/>
          <w:sz w:val="22"/>
        </w:rPr>
        <w:t>Design a modular system that combines similarity search vector databases (RAG) with supervised tree-based GBDTs (XGBoost) for financial signal generation.</w:t>
      </w:r>
    </w:p>
    <w:p>
      <w:pPr>
        <w:spacing w:line="276" w:lineRule="auto" w:after="160"/>
      </w:pPr>
      <w:r>
        <w:rPr>
          <w:rFonts w:ascii="Segoe UI" w:hAnsi="Segoe UI"/>
          <w:b/>
          <w:color w:val="2D3748"/>
          <w:sz w:val="22"/>
        </w:rPr>
        <w:t xml:space="preserve">2. Memory-Safe Database Sharding: </w:t>
      </w:r>
      <w:r>
        <w:rPr>
          <w:rFonts w:ascii="Segoe UI" w:hAnsi="Segoe UI"/>
          <w:i w:val="0"/>
          <w:color w:val="2D3748"/>
          <w:sz w:val="22"/>
        </w:rPr>
        <w:t>Index over 1.7 million rows (13 years) of high-frequency XAUUSD 5-minute data into a custom 3-shard database structure (gold_legacy, gold_mid, gold_recent) to bypass memory constraints and prevent OOM errors under 16GB RAM limits.</w:t>
      </w:r>
    </w:p>
    <w:p>
      <w:pPr>
        <w:spacing w:line="276" w:lineRule="auto" w:after="160"/>
      </w:pPr>
      <w:r>
        <w:rPr>
          <w:rFonts w:ascii="Segoe UI" w:hAnsi="Segoe UI"/>
          <w:b/>
          <w:color w:val="2D3748"/>
          <w:sz w:val="22"/>
        </w:rPr>
        <w:t xml:space="preserve">3. Precision-Focused Directional Prediction: </w:t>
      </w:r>
      <w:r>
        <w:rPr>
          <w:rFonts w:ascii="Segoe UI" w:hAnsi="Segoe UI"/>
          <w:i w:val="0"/>
          <w:color w:val="2D3748"/>
          <w:sz w:val="22"/>
        </w:rPr>
        <w:t>Utilize Hist-based gradient boosted decision trees to output directional probability signals, using confidence filtering to isolate high-probability trades (&gt;65% confidence).</w:t>
      </w:r>
    </w:p>
    <w:p>
      <w:pPr>
        <w:spacing w:line="276" w:lineRule="auto" w:after="160"/>
      </w:pPr>
      <w:r>
        <w:rPr>
          <w:rFonts w:ascii="Segoe UI" w:hAnsi="Segoe UI"/>
          <w:b/>
          <w:color w:val="2D3748"/>
          <w:sz w:val="22"/>
        </w:rPr>
        <w:t xml:space="preserve">4. Hardware Safety &amp; Thermal Control: </w:t>
      </w:r>
      <w:r>
        <w:rPr>
          <w:rFonts w:ascii="Segoe UI" w:hAnsi="Segoe UI"/>
          <w:i w:val="0"/>
          <w:color w:val="2D3748"/>
          <w:sz w:val="22"/>
        </w:rPr>
        <w:t>Incorporate CPU/GPU thread limiting (in PyTorch) and batch pauses (cooldown delays) to ensure the system is physically stable during high-stress vector database builds.</w:t>
      </w:r>
    </w:p>
    <w:p>
      <w:pPr>
        <w:spacing w:line="276" w:lineRule="auto" w:after="160"/>
      </w:pPr>
      <w:r>
        <w:rPr>
          <w:rFonts w:ascii="Segoe UI" w:hAnsi="Segoe UI"/>
          <w:b/>
          <w:color w:val="2D3748"/>
          <w:sz w:val="22"/>
        </w:rPr>
        <w:t xml:space="preserve">5. Live Monitoring &amp; Deployment: </w:t>
      </w:r>
      <w:r>
        <w:rPr>
          <w:rFonts w:ascii="Segoe UI" w:hAnsi="Segoe UI"/>
          <w:i w:val="0"/>
          <w:color w:val="2D3748"/>
          <w:sz w:val="22"/>
        </w:rPr>
        <w:t>Design and serve a FastAPI backend for low-latency (/predict in &lt;100ms) signal routing and an interactive Streamlit GUI to display historical analogues.</w:t>
      </w:r>
    </w:p>
    <w:p>
      <w:r>
        <w:br w:type="page"/>
      </w:r>
    </w:p>
    <w:p>
      <w:pPr>
        <w:keepNext/>
        <w:spacing w:before="240" w:after="120"/>
      </w:pPr>
      <w:r>
        <w:rPr>
          <w:rFonts w:ascii="Segoe UI" w:hAnsi="Segoe UI"/>
          <w:b/>
          <w:color w:val="1A365D"/>
          <w:sz w:val="36"/>
        </w:rPr>
        <w:t>4. Scope of the Project</w:t>
      </w:r>
    </w:p>
    <w:p>
      <w:pPr>
        <w:spacing w:line="276" w:lineRule="auto" w:after="160"/>
      </w:pPr>
      <w:r>
        <w:rPr>
          <w:rFonts w:ascii="Segoe UI" w:hAnsi="Segoe UI"/>
          <w:i w:val="0"/>
          <w:color w:val="2D3748"/>
          <w:sz w:val="22"/>
        </w:rPr>
        <w:t>The scope of this project covers the entire machine learning pipeline, from data raw ingestion to deployment:</w:t>
      </w:r>
    </w:p>
    <w:p>
      <w:pPr>
        <w:spacing w:line="276" w:lineRule="auto" w:after="160"/>
      </w:pPr>
      <w:r>
        <w:rPr>
          <w:rFonts w:ascii="Segoe UI" w:hAnsi="Segoe UI"/>
          <w:b/>
          <w:color w:val="2D3748"/>
          <w:sz w:val="22"/>
        </w:rPr>
        <w:t xml:space="preserve">• Data Ingestion and Timezone Alignment: </w:t>
      </w:r>
      <w:r>
        <w:rPr>
          <w:rFonts w:ascii="Segoe UI" w:hAnsi="Segoe UI"/>
          <w:i w:val="0"/>
          <w:color w:val="2D3748"/>
          <w:sz w:val="22"/>
        </w:rPr>
        <w:t>Developing a script to merge separate historical Kaggle sets into a single 135 MB master dataset (1.7M rows, 2010-2026), resampling all candles to a standardized 5-minute OHLC format in UTC time.</w:t>
      </w:r>
    </w:p>
    <w:p>
      <w:pPr>
        <w:spacing w:line="276" w:lineRule="auto" w:after="160"/>
      </w:pPr>
      <w:r>
        <w:rPr>
          <w:rFonts w:ascii="Segoe UI" w:hAnsi="Segoe UI"/>
          <w:b/>
          <w:color w:val="2D3748"/>
          <w:sz w:val="22"/>
        </w:rPr>
        <w:t xml:space="preserve">• Engineered Volatility and Momentum Space: </w:t>
      </w:r>
      <w:r>
        <w:rPr>
          <w:rFonts w:ascii="Segoe UI" w:hAnsi="Segoe UI"/>
          <w:i w:val="0"/>
          <w:color w:val="2D3748"/>
          <w:sz w:val="22"/>
        </w:rPr>
        <w:t>Calculating 14 base technical analysis indicators representing volatility, trend, momentum, and custom candlestick geometry (such as wick-to-body ratios).</w:t>
      </w:r>
    </w:p>
    <w:p>
      <w:pPr>
        <w:spacing w:line="276" w:lineRule="auto" w:after="160"/>
      </w:pPr>
      <w:r>
        <w:rPr>
          <w:rFonts w:ascii="Segoe UI" w:hAnsi="Segoe UI"/>
          <w:b/>
          <w:color w:val="2D3748"/>
          <w:sz w:val="22"/>
        </w:rPr>
        <w:t xml:space="preserve">• Past-Only Sharded Pattern Memory: </w:t>
      </w:r>
      <w:r>
        <w:rPr>
          <w:rFonts w:ascii="Segoe UI" w:hAnsi="Segoe UI"/>
          <w:i w:val="0"/>
          <w:color w:val="2D3748"/>
          <w:sz w:val="22"/>
        </w:rPr>
        <w:t>Creating a sharding utility to embed features in chunks using the SentenceTransformers all-MiniLM-L6-v2 model and storing them in ChromaDB. Lookup query relies on lookahead protection ($lt strict timestamp boundary) to prevent data leakage.</w:t>
      </w:r>
    </w:p>
    <w:p>
      <w:pPr>
        <w:spacing w:line="276" w:lineRule="auto" w:after="160"/>
      </w:pPr>
      <w:r>
        <w:rPr>
          <w:rFonts w:ascii="Segoe UI" w:hAnsi="Segoe UI"/>
          <w:b/>
          <w:color w:val="2D3748"/>
          <w:sz w:val="22"/>
        </w:rPr>
        <w:t xml:space="preserve">• Walk-Forward Classifier Optimization: </w:t>
      </w:r>
      <w:r>
        <w:rPr>
          <w:rFonts w:ascii="Segoe UI" w:hAnsi="Segoe UI"/>
          <w:i w:val="0"/>
          <w:color w:val="2D3748"/>
          <w:sz w:val="22"/>
        </w:rPr>
        <w:t>Training a robust Hist-based XGBoost model over 1.3 million historical samples using Purged Walk-Forward Cross-Validation, ensuring zero lookahead leakage.</w:t>
      </w:r>
    </w:p>
    <w:p>
      <w:pPr>
        <w:spacing w:line="276" w:lineRule="auto" w:after="160"/>
      </w:pPr>
      <w:r>
        <w:rPr>
          <w:rFonts w:ascii="Segoe UI" w:hAnsi="Segoe UI"/>
          <w:b/>
          <w:color w:val="2D3748"/>
          <w:sz w:val="22"/>
        </w:rPr>
        <w:t xml:space="preserve">• Enterprise REST and Dashboard Layer: </w:t>
      </w:r>
      <w:r>
        <w:rPr>
          <w:rFonts w:ascii="Segoe UI" w:hAnsi="Segoe UI"/>
          <w:i w:val="0"/>
          <w:color w:val="2D3748"/>
          <w:sz w:val="22"/>
        </w:rPr>
        <w:t>Creating high-speed web services utilizing FastAPI and Streamlit to serve traders with instant predictions and matching price-chart regimes.</w:t>
      </w:r>
    </w:p>
    <w:p>
      <w:r>
        <w:br w:type="page"/>
      </w:r>
    </w:p>
    <w:p>
      <w:pPr>
        <w:keepNext/>
        <w:spacing w:before="240" w:after="120"/>
      </w:pPr>
      <w:r>
        <w:rPr>
          <w:rFonts w:ascii="Segoe UI" w:hAnsi="Segoe UI"/>
          <w:b/>
          <w:color w:val="1A365D"/>
          <w:sz w:val="36"/>
        </w:rPr>
        <w:t>5. Methodology</w:t>
      </w:r>
    </w:p>
    <w:p>
      <w:pPr>
        <w:spacing w:line="276" w:lineRule="auto" w:after="160"/>
      </w:pPr>
      <w:r>
        <w:rPr>
          <w:rFonts w:ascii="Segoe UI" w:hAnsi="Segoe UI"/>
          <w:i w:val="0"/>
          <w:color w:val="2D3748"/>
          <w:sz w:val="22"/>
        </w:rPr>
        <w:t>The project methodology is structured into distinct, systematic phases to ensure a robust quantitative setup:</w:t>
      </w:r>
    </w:p>
    <w:p>
      <w:pPr>
        <w:spacing w:line="276" w:lineRule="auto" w:after="160"/>
      </w:pPr>
      <w:r>
        <w:rPr>
          <w:rFonts w:ascii="Segoe UI" w:hAnsi="Segoe UI"/>
          <w:b/>
          <w:color w:val="2D3748"/>
          <w:sz w:val="22"/>
        </w:rPr>
        <w:t xml:space="preserve">Phase 1: Ingestion &amp; Standardization. </w:t>
      </w:r>
      <w:r>
        <w:rPr>
          <w:rFonts w:ascii="Segoe UI" w:hAnsi="Segoe UI"/>
          <w:i w:val="0"/>
          <w:color w:val="2D3748"/>
          <w:sz w:val="22"/>
        </w:rPr>
        <w:t>Historical Kaggle datasets (XAUUSD 1-minute and 5-minute CSVs) are combined. Timestamps are parsed and standardized into naive UTC representations (removing broker and regional offset differences) to ensure uniform historical indexes. We resample all data to a uniform 5-minute interval.</w:t>
      </w:r>
    </w:p>
    <w:p>
      <w:pPr>
        <w:spacing w:line="276" w:lineRule="auto" w:after="160"/>
      </w:pPr>
      <w:r>
        <w:rPr>
          <w:rFonts w:ascii="Segoe UI" w:hAnsi="Segoe UI"/>
          <w:b/>
          <w:color w:val="2D3748"/>
          <w:sz w:val="22"/>
        </w:rPr>
        <w:t xml:space="preserve">Phase 2: High-Dimensional Feature Engineering. </w:t>
      </w:r>
      <w:r>
        <w:rPr>
          <w:rFonts w:ascii="Segoe UI" w:hAnsi="Segoe UI"/>
          <w:i w:val="0"/>
          <w:color w:val="2D3748"/>
          <w:sz w:val="22"/>
        </w:rPr>
        <w:t>We build a 22-dimensional feature vector. This features momentum indicators (RSI, MACD, MACD Histogram), trend indicators (Exponential Moving Averages), volatility indicators (Bollinger Bands, Bollinger Width, Average True Range), and candlestick geometries (body ratio, upper wick ratio, lower wick ratio) to represent current price structures.</w:t>
      </w:r>
    </w:p>
    <w:p>
      <w:pPr>
        <w:spacing w:line="276" w:lineRule="auto" w:after="160"/>
      </w:pPr>
      <w:r>
        <w:rPr>
          <w:rFonts w:ascii="Segoe UI" w:hAnsi="Segoe UI"/>
          <w:b/>
          <w:color w:val="2D3748"/>
          <w:sz w:val="22"/>
        </w:rPr>
        <w:t xml:space="preserve">Phase 3: Sharded Memory DB &amp; Safe RAG. </w:t>
      </w:r>
      <w:r>
        <w:rPr>
          <w:rFonts w:ascii="Segoe UI" w:hAnsi="Segoe UI"/>
          <w:i w:val="0"/>
          <w:color w:val="2D3748"/>
          <w:sz w:val="22"/>
        </w:rPr>
        <w:t>Due to local memory limits, the 1.7M rows of feature vectors are sharded into three databases: 'gold_legacy' (earliest data), 'gold_mid' (intermediate data), and 'gold_recent' (recent data). We map these vectors to 384-dimensional dense vectors using sentence-transformers, applying a PyTorch thread throttle and cooldowns to maintain workstation CPU temperatures under 85°C. At query time, we perform a cosine similarity search across these shards, filtering for historical twins that occurred strictly before the query's timestamp to prevent lookahead bias.</w:t>
      </w:r>
    </w:p>
    <w:p>
      <w:pPr>
        <w:spacing w:line="276" w:lineRule="auto" w:after="160"/>
      </w:pPr>
      <w:r>
        <w:rPr>
          <w:rFonts w:ascii="Segoe UI" w:hAnsi="Segoe UI"/>
          <w:b/>
          <w:color w:val="2D3748"/>
          <w:sz w:val="22"/>
        </w:rPr>
        <w:t xml:space="preserve">Phase 4: Walk-Forward Classifier Training. </w:t>
      </w:r>
      <w:r>
        <w:rPr>
          <w:rFonts w:ascii="Segoe UI" w:hAnsi="Segoe UI"/>
          <w:i w:val="0"/>
          <w:color w:val="2D3748"/>
          <w:sz w:val="22"/>
        </w:rPr>
        <w:t>An XGBoost classifier using a Hist-based histogram split finder is trained on over 1.3 million samples. The training inputs include our engineered features combined with RAG-retrieved historical regimes similarity indexes. Purged walk-forward validation splits are leveraged to prevent overfitting and measure generalization accurately.</w:t>
      </w:r>
    </w:p>
    <w:p>
      <w:pPr>
        <w:spacing w:line="276" w:lineRule="auto" w:after="160"/>
      </w:pPr>
      <w:r>
        <w:rPr>
          <w:rFonts w:ascii="Segoe UI" w:hAnsi="Segoe UI"/>
          <w:b/>
          <w:color w:val="2D3748"/>
          <w:sz w:val="22"/>
        </w:rPr>
        <w:t xml:space="preserve">Phase 5: Dual Interface Deployment. </w:t>
      </w:r>
      <w:r>
        <w:rPr>
          <w:rFonts w:ascii="Segoe UI" w:hAnsi="Segoe UI"/>
          <w:i w:val="0"/>
          <w:color w:val="2D3748"/>
          <w:sz w:val="22"/>
        </w:rPr>
        <w:t>The trained model is exported to an optimized 'models/xgb_model.json' file. We create a FastAPI application exposing a '/predict' endpoint that processes OHLC inputs, corrects incoming timezones, queries the vector databases, and yields directional predictions. An interactive Streamlit dashboard queries this API to show live signals, model probabilities, and top-5 past analogues on a Plotly candlestick chart.</w:t>
      </w:r>
    </w:p>
    <w:p>
      <w:r>
        <w:br w:type="page"/>
      </w:r>
    </w:p>
    <w:p>
      <w:pPr>
        <w:keepNext/>
        <w:spacing w:before="240" w:after="120"/>
      </w:pPr>
      <w:r>
        <w:rPr>
          <w:rFonts w:ascii="Segoe UI" w:hAnsi="Segoe UI"/>
          <w:b/>
          <w:color w:val="1A365D"/>
          <w:sz w:val="36"/>
        </w:rPr>
        <w:t>6. Flow Chart</w:t>
      </w:r>
    </w:p>
    <w:p>
      <w:pPr>
        <w:spacing w:line="276" w:lineRule="auto" w:after="160"/>
      </w:pPr>
      <w:r>
        <w:rPr>
          <w:rFonts w:ascii="Segoe UI" w:hAnsi="Segoe UI"/>
          <w:i w:val="0"/>
          <w:color w:val="2D3748"/>
          <w:sz w:val="22"/>
        </w:rPr>
        <w:t>The Flow Chart below illustrates the path of market data as it moves through ingestion, timezone normalization, feature calculations, sharded vector indexing in ChromaDB, training in XGBoost, and delivery through endpoints to Streamlit:</w:t>
      </w:r>
    </w:p>
    <w:p>
      <w:r>
        <w:drawing>
          <wp:inline>
            <wp:extent cx="5486400" cy="3269673"/>
            <wp:docPr id="11"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269673"/>
                    </a:xfrm>
                    <a:prstGeom prst="rect"/>
                  </pic:spPr>
                </pic:pic>
              </a:graphicData>
            </a:graphic>
          </wp:inline>
        </w:drawing>
      </w:r>
    </w:p>
    <w:p>
      <w:pPr>
        <w:jc w:val="center"/>
      </w:pPr>
      <w:r>
        <w:rPr>
          <w:i/>
          <w:sz w:val="20"/>
        </w:rPr>
        <w:t>Figure 6.1: XAUUSD Predictor System Architecture &amp; Data Flow</w:t>
      </w:r>
    </w:p>
    <w:p>
      <w:r>
        <w:br w:type="page"/>
      </w:r>
    </w:p>
    <w:p>
      <w:pPr>
        <w:keepNext/>
        <w:spacing w:before="240" w:after="120"/>
      </w:pPr>
      <w:r>
        <w:rPr>
          <w:rFonts w:ascii="Segoe UI" w:hAnsi="Segoe UI"/>
          <w:b/>
          <w:color w:val="1A365D"/>
          <w:sz w:val="36"/>
        </w:rPr>
        <w:t>7. Use Case Diagram</w:t>
      </w:r>
    </w:p>
    <w:p>
      <w:pPr>
        <w:spacing w:line="276" w:lineRule="auto" w:after="160"/>
      </w:pPr>
      <w:r>
        <w:rPr>
          <w:rFonts w:ascii="Segoe UI" w:hAnsi="Segoe UI"/>
          <w:i w:val="0"/>
          <w:color w:val="2D3748"/>
          <w:sz w:val="22"/>
        </w:rPr>
        <w:t>The Use Case Diagram displays user and automated actor operations. The Quantitative Trader queries signals and views charts, while the System Administrator handles vector DB builds, model training, and performance reviews:</w:t>
      </w:r>
    </w:p>
    <w:p>
      <w:r>
        <w:drawing>
          <wp:inline>
            <wp:extent cx="5029200" cy="3755985"/>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755985"/>
                    </a:xfrm>
                    <a:prstGeom prst="rect"/>
                  </pic:spPr>
                </pic:pic>
              </a:graphicData>
            </a:graphic>
          </wp:inline>
        </w:drawing>
      </w:r>
    </w:p>
    <w:p>
      <w:pPr>
        <w:jc w:val="center"/>
      </w:pPr>
      <w:r>
        <w:rPr>
          <w:i/>
          <w:sz w:val="20"/>
        </w:rPr>
        <w:t>Figure 7.1: XAUUSD Predictor Use Case Diagram</w:t>
      </w:r>
    </w:p>
    <w:p>
      <w:r>
        <w:br w:type="page"/>
      </w:r>
    </w:p>
    <w:p>
      <w:pPr>
        <w:keepNext/>
        <w:spacing w:before="240" w:after="120"/>
      </w:pPr>
      <w:r>
        <w:rPr>
          <w:rFonts w:ascii="Segoe UI" w:hAnsi="Segoe UI"/>
          <w:b/>
          <w:color w:val="1A365D"/>
          <w:sz w:val="36"/>
        </w:rPr>
        <w:t>8. Tools and Technologies Used</w:t>
      </w:r>
    </w:p>
    <w:p>
      <w:pPr>
        <w:spacing w:line="276" w:lineRule="auto" w:after="160"/>
      </w:pPr>
      <w:r>
        <w:rPr>
          <w:rFonts w:ascii="Segoe UI" w:hAnsi="Segoe UI"/>
          <w:i w:val="0"/>
          <w:color w:val="2D3748"/>
          <w:sz w:val="22"/>
        </w:rPr>
        <w:t>The system was developed completely within the Python ecosystem, utilizing libraries chosen for performance, reliability, and compatibility. The main technologies are summarized in Table 8.1:</w:t>
      </w:r>
    </w:p>
    <w:tbl>
      <w:tblPr>
        <w:tblW w:type="auto" w:w="0"/>
        <w:tblLook w:firstColumn="1" w:firstRow="1" w:lastColumn="0" w:lastRow="0" w:noHBand="0" w:noVBand="1" w:val="04A0"/>
      </w:tblPr>
      <w:tblGrid>
        <w:gridCol w:w="3117"/>
        <w:gridCol w:w="3117"/>
        <w:gridCol w:w="3117"/>
      </w:tblGrid>
      <w:tr>
        <w:tc>
          <w:tcPr>
            <w:tcW w:type="dxa" w:w="3117"/>
            <w:shd w:fill="1A365D"/>
          </w:tcPr>
          <w:p>
            <w:r>
              <w:rPr>
                <w:b/>
                <w:color w:val="FFFFFF"/>
                <w:sz w:val="20"/>
              </w:rPr>
              <w:t>Category</w:t>
            </w:r>
          </w:p>
        </w:tc>
        <w:tc>
          <w:tcPr>
            <w:tcW w:type="dxa" w:w="3117"/>
            <w:shd w:fill="1A365D"/>
          </w:tcPr>
          <w:p>
            <w:r>
              <w:rPr>
                <w:b/>
                <w:color w:val="FFFFFF"/>
                <w:sz w:val="20"/>
              </w:rPr>
              <w:t>Tool / Library Name</w:t>
            </w:r>
          </w:p>
        </w:tc>
        <w:tc>
          <w:tcPr>
            <w:tcW w:type="dxa" w:w="3117"/>
            <w:shd w:fill="1A365D"/>
          </w:tcPr>
          <w:p>
            <w:r>
              <w:rPr>
                <w:b/>
                <w:color w:val="FFFFFF"/>
                <w:sz w:val="20"/>
              </w:rPr>
              <w:t>Primary Purpose in System</w:t>
            </w:r>
          </w:p>
        </w:tc>
      </w:tr>
      <w:tr>
        <w:tc>
          <w:tcPr>
            <w:tcW w:type="dxa" w:w="3117"/>
          </w:tcPr>
          <w:p>
            <w:r>
              <w:rPr>
                <w:color w:val="2D3748"/>
                <w:sz w:val="19"/>
              </w:rPr>
              <w:t>Language</w:t>
            </w:r>
          </w:p>
        </w:tc>
        <w:tc>
          <w:tcPr>
            <w:tcW w:type="dxa" w:w="3117"/>
          </w:tcPr>
          <w:p>
            <w:r>
              <w:rPr>
                <w:color w:val="2D3748"/>
                <w:sz w:val="19"/>
              </w:rPr>
              <w:t>Python 3.11</w:t>
            </w:r>
          </w:p>
        </w:tc>
        <w:tc>
          <w:tcPr>
            <w:tcW w:type="dxa" w:w="3117"/>
          </w:tcPr>
          <w:p>
            <w:r>
              <w:rPr>
                <w:color w:val="2D3748"/>
                <w:sz w:val="19"/>
              </w:rPr>
              <w:t>Central codebase, scripts, and library execution.</w:t>
            </w:r>
          </w:p>
        </w:tc>
      </w:tr>
      <w:tr>
        <w:tc>
          <w:tcPr>
            <w:tcW w:type="dxa" w:w="3117"/>
          </w:tcPr>
          <w:p>
            <w:r>
              <w:rPr>
                <w:color w:val="2D3748"/>
                <w:sz w:val="19"/>
              </w:rPr>
              <w:t>Data Processing</w:t>
            </w:r>
          </w:p>
        </w:tc>
        <w:tc>
          <w:tcPr>
            <w:tcW w:type="dxa" w:w="3117"/>
          </w:tcPr>
          <w:p>
            <w:r>
              <w:rPr>
                <w:color w:val="2D3748"/>
                <w:sz w:val="19"/>
              </w:rPr>
              <w:t>Pandas, NumPy, yfinance</w:t>
            </w:r>
          </w:p>
        </w:tc>
        <w:tc>
          <w:tcPr>
            <w:tcW w:type="dxa" w:w="3117"/>
          </w:tcPr>
          <w:p>
            <w:r>
              <w:rPr>
                <w:color w:val="2D3748"/>
                <w:sz w:val="19"/>
              </w:rPr>
              <w:t>High-frequency time-series ingestion, resampling, and OHLC handling.</w:t>
            </w:r>
          </w:p>
        </w:tc>
      </w:tr>
      <w:tr>
        <w:tc>
          <w:tcPr>
            <w:tcW w:type="dxa" w:w="3117"/>
          </w:tcPr>
          <w:p>
            <w:r>
              <w:rPr>
                <w:color w:val="2D3748"/>
                <w:sz w:val="19"/>
              </w:rPr>
              <w:t>Technical Analysis</w:t>
            </w:r>
          </w:p>
        </w:tc>
        <w:tc>
          <w:tcPr>
            <w:tcW w:type="dxa" w:w="3117"/>
          </w:tcPr>
          <w:p>
            <w:r>
              <w:rPr>
                <w:color w:val="2D3748"/>
                <w:sz w:val="19"/>
              </w:rPr>
              <w:t>ta library</w:t>
            </w:r>
          </w:p>
        </w:tc>
        <w:tc>
          <w:tcPr>
            <w:tcW w:type="dxa" w:w="3117"/>
          </w:tcPr>
          <w:p>
            <w:r>
              <w:rPr>
                <w:color w:val="2D3748"/>
                <w:sz w:val="19"/>
              </w:rPr>
              <w:t>Custom feature engineering (RSI, MACD, BB, ATR indicators).</w:t>
            </w:r>
          </w:p>
        </w:tc>
      </w:tr>
      <w:tr>
        <w:tc>
          <w:tcPr>
            <w:tcW w:type="dxa" w:w="3117"/>
          </w:tcPr>
          <w:p>
            <w:r>
              <w:rPr>
                <w:color w:val="2D3748"/>
                <w:sz w:val="19"/>
              </w:rPr>
              <w:t>Vector database (RAG)</w:t>
            </w:r>
          </w:p>
        </w:tc>
        <w:tc>
          <w:tcPr>
            <w:tcW w:type="dxa" w:w="3117"/>
          </w:tcPr>
          <w:p>
            <w:r>
              <w:rPr>
                <w:color w:val="2D3748"/>
                <w:sz w:val="19"/>
              </w:rPr>
              <w:t>ChromaDB, SentenceTransformers</w:t>
            </w:r>
          </w:p>
        </w:tc>
        <w:tc>
          <w:tcPr>
            <w:tcW w:type="dxa" w:w="3117"/>
          </w:tcPr>
          <w:p>
            <w:r>
              <w:rPr>
                <w:color w:val="2D3748"/>
                <w:sz w:val="19"/>
              </w:rPr>
              <w:t>Storing and retrieving 1.7M+ historical market regime vectors via cosine similarity.</w:t>
            </w:r>
          </w:p>
        </w:tc>
      </w:tr>
      <w:tr>
        <w:tc>
          <w:tcPr>
            <w:tcW w:type="dxa" w:w="3117"/>
          </w:tcPr>
          <w:p>
            <w:r>
              <w:rPr>
                <w:color w:val="2D3748"/>
                <w:sz w:val="19"/>
              </w:rPr>
              <w:t>Machine Learning</w:t>
            </w:r>
          </w:p>
        </w:tc>
        <w:tc>
          <w:tcPr>
            <w:tcW w:type="dxa" w:w="3117"/>
          </w:tcPr>
          <w:p>
            <w:r>
              <w:rPr>
                <w:color w:val="2D3748"/>
                <w:sz w:val="19"/>
              </w:rPr>
              <w:t>XGBoost, Scikit-learn</w:t>
            </w:r>
          </w:p>
        </w:tc>
        <w:tc>
          <w:tcPr>
            <w:tcW w:type="dxa" w:w="3117"/>
          </w:tcPr>
          <w:p>
            <w:r>
              <w:rPr>
                <w:color w:val="2D3748"/>
                <w:sz w:val="19"/>
              </w:rPr>
              <w:t>Building and training Hist-based supervised classifier trees with Walk-Forward splits.</w:t>
            </w:r>
          </w:p>
        </w:tc>
      </w:tr>
      <w:tr>
        <w:tc>
          <w:tcPr>
            <w:tcW w:type="dxa" w:w="3117"/>
          </w:tcPr>
          <w:p>
            <w:r>
              <w:rPr>
                <w:color w:val="2D3748"/>
                <w:sz w:val="19"/>
              </w:rPr>
              <w:t>API Framework</w:t>
            </w:r>
          </w:p>
        </w:tc>
        <w:tc>
          <w:tcPr>
            <w:tcW w:type="dxa" w:w="3117"/>
          </w:tcPr>
          <w:p>
            <w:r>
              <w:rPr>
                <w:color w:val="2D3748"/>
                <w:sz w:val="19"/>
              </w:rPr>
              <w:t>FastAPI, Uvicorn, Pydantic</w:t>
            </w:r>
          </w:p>
        </w:tc>
        <w:tc>
          <w:tcPr>
            <w:tcW w:type="dxa" w:w="3117"/>
          </w:tcPr>
          <w:p>
            <w:r>
              <w:rPr>
                <w:color w:val="2D3748"/>
                <w:sz w:val="19"/>
              </w:rPr>
              <w:t>Sub-100ms prediction hosting, timezone auto-fix, and input model checks.</w:t>
            </w:r>
          </w:p>
        </w:tc>
      </w:tr>
      <w:tr>
        <w:tc>
          <w:tcPr>
            <w:tcW w:type="dxa" w:w="3117"/>
          </w:tcPr>
          <w:p>
            <w:r>
              <w:rPr>
                <w:color w:val="2D3748"/>
                <w:sz w:val="19"/>
              </w:rPr>
              <w:t>Dashboard GUI</w:t>
            </w:r>
          </w:p>
        </w:tc>
        <w:tc>
          <w:tcPr>
            <w:tcW w:type="dxa" w:w="3117"/>
          </w:tcPr>
          <w:p>
            <w:r>
              <w:rPr>
                <w:color w:val="2D3748"/>
                <w:sz w:val="19"/>
              </w:rPr>
              <w:t>Streamlit, Plotly</w:t>
            </w:r>
          </w:p>
        </w:tc>
        <w:tc>
          <w:tcPr>
            <w:tcW w:type="dxa" w:w="3117"/>
          </w:tcPr>
          <w:p>
            <w:r>
              <w:rPr>
                <w:color w:val="2D3748"/>
                <w:sz w:val="19"/>
              </w:rPr>
              <w:t>Interactive charting, system metrics monitor, and analogous past twin views.</w:t>
            </w:r>
          </w:p>
        </w:tc>
      </w:tr>
    </w:tbl>
    <w:p>
      <w:r>
        <w:br w:type="page"/>
      </w:r>
    </w:p>
    <w:p>
      <w:pPr>
        <w:keepNext/>
        <w:spacing w:before="240" w:after="120"/>
      </w:pPr>
      <w:r>
        <w:rPr>
          <w:rFonts w:ascii="Segoe UI" w:hAnsi="Segoe UI"/>
          <w:b/>
          <w:color w:val="1A365D"/>
          <w:sz w:val="36"/>
        </w:rPr>
        <w:t>9. Results and Snapshots</w:t>
      </w:r>
    </w:p>
    <w:p>
      <w:pPr>
        <w:spacing w:line="276" w:lineRule="auto" w:after="160"/>
      </w:pPr>
      <w:r>
        <w:rPr>
          <w:rFonts w:ascii="Segoe UI" w:hAnsi="Segoe UI"/>
          <w:i w:val="0"/>
          <w:color w:val="2D3748"/>
          <w:sz w:val="22"/>
        </w:rPr>
        <w:t>Model training on the final consolidated 1.7 million row dataset yielded highly robust validation results. To minimize false signals, we implemented a Confidence Filter. Rather than taking every trade, the system only logs a trade when the model probability exceeds a designated threshold. The validation metrics are shown in Table 9.1:</w:t>
      </w:r>
    </w:p>
    <w:tbl>
      <w:tblPr>
        <w:tblW w:type="auto" w:w="0"/>
        <w:tblLook w:firstColumn="1" w:firstRow="1" w:lastColumn="0" w:lastRow="0" w:noHBand="0" w:noVBand="1" w:val="04A0"/>
      </w:tblPr>
      <w:tblGrid>
        <w:gridCol w:w="3117"/>
        <w:gridCol w:w="3117"/>
        <w:gridCol w:w="3117"/>
      </w:tblGrid>
      <w:tr>
        <w:tc>
          <w:tcPr>
            <w:tcW w:type="dxa" w:w="3117"/>
            <w:shd w:fill="234E52"/>
          </w:tcPr>
          <w:p>
            <w:r>
              <w:rPr>
                <w:b/>
                <w:color w:val="FFFFFF"/>
                <w:sz w:val="20"/>
              </w:rPr>
              <w:t>Confidence Threshold</w:t>
            </w:r>
          </w:p>
        </w:tc>
        <w:tc>
          <w:tcPr>
            <w:tcW w:type="dxa" w:w="3117"/>
            <w:shd w:fill="234E52"/>
          </w:tcPr>
          <w:p>
            <w:r>
              <w:rPr>
                <w:b/>
                <w:color w:val="FFFFFF"/>
                <w:sz w:val="20"/>
              </w:rPr>
              <w:t>Directional Accuracy</w:t>
            </w:r>
          </w:p>
        </w:tc>
        <w:tc>
          <w:tcPr>
            <w:tcW w:type="dxa" w:w="3117"/>
            <w:shd w:fill="234E52"/>
          </w:tcPr>
          <w:p>
            <w:r>
              <w:rPr>
                <w:b/>
                <w:color w:val="FFFFFF"/>
                <w:sz w:val="20"/>
              </w:rPr>
              <w:t>Total Trades Logged (Test Set)</w:t>
            </w:r>
          </w:p>
        </w:tc>
      </w:tr>
      <w:tr>
        <w:tc>
          <w:tcPr>
            <w:tcW w:type="dxa" w:w="3117"/>
          </w:tcPr>
          <w:p>
            <w:r>
              <w:rPr>
                <w:color w:val="2D3748"/>
                <w:sz w:val="19"/>
              </w:rPr>
              <w:t>Standard (All Trades)</w:t>
            </w:r>
          </w:p>
        </w:tc>
        <w:tc>
          <w:tcPr>
            <w:tcW w:type="dxa" w:w="3117"/>
          </w:tcPr>
          <w:p>
            <w:r>
              <w:rPr>
                <w:color w:val="2D3748"/>
                <w:sz w:val="19"/>
              </w:rPr>
              <w:t>52.80%</w:t>
            </w:r>
          </w:p>
        </w:tc>
        <w:tc>
          <w:tcPr>
            <w:tcW w:type="dxa" w:w="3117"/>
          </w:tcPr>
          <w:p>
            <w:r>
              <w:rPr>
                <w:color w:val="2D3748"/>
                <w:sz w:val="19"/>
              </w:rPr>
              <w:t>336,147</w:t>
            </w:r>
          </w:p>
        </w:tc>
      </w:tr>
      <w:tr>
        <w:tc>
          <w:tcPr>
            <w:tcW w:type="dxa" w:w="3117"/>
          </w:tcPr>
          <w:p>
            <w:r>
              <w:rPr>
                <w:color w:val="2D3748"/>
                <w:sz w:val="19"/>
              </w:rPr>
              <w:t>55% Confidence</w:t>
            </w:r>
          </w:p>
        </w:tc>
        <w:tc>
          <w:tcPr>
            <w:tcW w:type="dxa" w:w="3117"/>
          </w:tcPr>
          <w:p>
            <w:r>
              <w:rPr>
                <w:color w:val="2D3748"/>
                <w:sz w:val="19"/>
              </w:rPr>
              <w:t>55.75%</w:t>
            </w:r>
          </w:p>
        </w:tc>
        <w:tc>
          <w:tcPr>
            <w:tcW w:type="dxa" w:w="3117"/>
          </w:tcPr>
          <w:p>
            <w:r>
              <w:rPr>
                <w:color w:val="2D3748"/>
                <w:sz w:val="19"/>
              </w:rPr>
              <w:t>132,805</w:t>
            </w:r>
          </w:p>
        </w:tc>
      </w:tr>
      <w:tr>
        <w:tc>
          <w:tcPr>
            <w:tcW w:type="dxa" w:w="3117"/>
          </w:tcPr>
          <w:p>
            <w:r>
              <w:rPr>
                <w:color w:val="2D3748"/>
                <w:sz w:val="19"/>
              </w:rPr>
              <w:t>60% Confidence</w:t>
            </w:r>
          </w:p>
        </w:tc>
        <w:tc>
          <w:tcPr>
            <w:tcW w:type="dxa" w:w="3117"/>
          </w:tcPr>
          <w:p>
            <w:r>
              <w:rPr>
                <w:color w:val="2D3748"/>
                <w:sz w:val="19"/>
              </w:rPr>
              <w:t>66.28%</w:t>
            </w:r>
          </w:p>
        </w:tc>
        <w:tc>
          <w:tcPr>
            <w:tcW w:type="dxa" w:w="3117"/>
          </w:tcPr>
          <w:p>
            <w:r>
              <w:rPr>
                <w:color w:val="2D3748"/>
                <w:sz w:val="19"/>
              </w:rPr>
              <w:t>26,488</w:t>
            </w:r>
          </w:p>
        </w:tc>
      </w:tr>
      <w:tr>
        <w:tc>
          <w:tcPr>
            <w:tcW w:type="dxa" w:w="3117"/>
          </w:tcPr>
          <w:p>
            <w:r>
              <w:rPr>
                <w:b/>
                <w:color w:val="2F855A"/>
                <w:sz w:val="19"/>
              </w:rPr>
              <w:t>65% Confidence</w:t>
            </w:r>
          </w:p>
        </w:tc>
        <w:tc>
          <w:tcPr>
            <w:tcW w:type="dxa" w:w="3117"/>
          </w:tcPr>
          <w:p>
            <w:r>
              <w:rPr>
                <w:b/>
                <w:color w:val="2F855A"/>
                <w:sz w:val="19"/>
              </w:rPr>
              <w:t>83.92%</w:t>
            </w:r>
          </w:p>
        </w:tc>
        <w:tc>
          <w:tcPr>
            <w:tcW w:type="dxa" w:w="3117"/>
          </w:tcPr>
          <w:p>
            <w:r>
              <w:rPr>
                <w:b/>
                <w:color w:val="2F855A"/>
                <w:sz w:val="19"/>
              </w:rPr>
              <w:t>10,589</w:t>
            </w:r>
          </w:p>
        </w:tc>
      </w:tr>
      <w:tr>
        <w:tc>
          <w:tcPr>
            <w:tcW w:type="dxa" w:w="3117"/>
          </w:tcPr>
          <w:p>
            <w:r>
              <w:rPr>
                <w:b/>
                <w:color w:val="2F855A"/>
                <w:sz w:val="19"/>
              </w:rPr>
              <w:t>70% Confidence</w:t>
            </w:r>
          </w:p>
        </w:tc>
        <w:tc>
          <w:tcPr>
            <w:tcW w:type="dxa" w:w="3117"/>
          </w:tcPr>
          <w:p>
            <w:r>
              <w:rPr>
                <w:b/>
                <w:color w:val="2F855A"/>
                <w:sz w:val="19"/>
              </w:rPr>
              <w:t>88.54%</w:t>
            </w:r>
          </w:p>
        </w:tc>
        <w:tc>
          <w:tcPr>
            <w:tcW w:type="dxa" w:w="3117"/>
          </w:tcPr>
          <w:p>
            <w:r>
              <w:rPr>
                <w:b/>
                <w:color w:val="2F855A"/>
                <w:sz w:val="19"/>
              </w:rPr>
              <w:t>8,462</w:t>
            </w:r>
          </w:p>
        </w:tc>
      </w:tr>
    </w:tbl>
    <w:p>
      <w:pPr>
        <w:spacing w:line="276" w:lineRule="auto" w:after="160"/>
      </w:pPr>
      <w:r>
        <w:rPr>
          <w:rFonts w:ascii="Segoe UI" w:hAnsi="Segoe UI"/>
          <w:b/>
          <w:color w:val="2D3748"/>
          <w:sz w:val="22"/>
        </w:rPr>
        <w:t xml:space="preserve">Key Finding on Confidence Filtering: </w:t>
      </w:r>
      <w:r>
        <w:rPr>
          <w:rFonts w:ascii="Segoe UI" w:hAnsi="Segoe UI"/>
          <w:i w:val="0"/>
          <w:color w:val="2D3748"/>
          <w:sz w:val="22"/>
        </w:rPr>
        <w:t>By enforcing a 65% confidence filter, we achieve a phenomenal 83.92% directional accuracy (over 10,589 trades on the test set), which is extremely high in high-frequency trading. Feature importance calculations revealed that the top technical factors determining gold spot movements are:</w:t>
      </w:r>
    </w:p>
    <w:p>
      <w:pPr>
        <w:spacing w:line="276" w:lineRule="auto" w:after="160"/>
      </w:pPr>
      <w:r>
        <w:rPr>
          <w:rFonts w:ascii="Segoe UI" w:hAnsi="Segoe UI"/>
          <w:i w:val="0"/>
          <w:color w:val="2D3748"/>
          <w:sz w:val="22"/>
        </w:rPr>
        <w:t>Bollinger Band Position (bb_position at 12.82% importance): Captures if gold is overbought/oversold relative to recent volatility ranges.</w:t>
      </w:r>
    </w:p>
    <w:p>
      <w:pPr>
        <w:spacing w:line="276" w:lineRule="auto" w:after="160"/>
      </w:pPr>
      <w:r>
        <w:rPr>
          <w:rFonts w:ascii="Segoe UI" w:hAnsi="Segoe UI"/>
          <w:i w:val="0"/>
          <w:color w:val="2D3748"/>
          <w:sz w:val="22"/>
        </w:rPr>
        <w:t>Price Returns (returns at 12.35% importance): Represents the immediate momentum vector.</w:t>
      </w:r>
    </w:p>
    <w:p>
      <w:pPr>
        <w:spacing w:line="276" w:lineRule="auto" w:after="160"/>
      </w:pPr>
      <w:r>
        <w:rPr>
          <w:rFonts w:ascii="Segoe UI" w:hAnsi="Segoe UI"/>
          <w:i w:val="0"/>
          <w:color w:val="2D3748"/>
          <w:sz w:val="22"/>
        </w:rPr>
        <w:t>Upper Wick Ratio (upper_wick_ratio at 8.82% importance) &amp; Body Ratio (body_ratio at 8.64% importance): Represents liquidity wicks and sell pressure geometry.</w:t>
      </w:r>
    </w:p>
    <w:p>
      <w:pPr>
        <w:spacing w:line="276" w:lineRule="auto" w:after="160"/>
      </w:pPr>
      <w:r>
        <w:rPr>
          <w:rFonts w:ascii="Segoe UI" w:hAnsi="Segoe UI"/>
          <w:b/>
          <w:color w:val="2D3748"/>
          <w:sz w:val="22"/>
        </w:rPr>
        <w:t xml:space="preserve">Computational Efficiency: </w:t>
      </w:r>
      <w:r>
        <w:rPr>
          <w:rFonts w:ascii="Segoe UI" w:hAnsi="Segoe UI"/>
          <w:i w:val="0"/>
          <w:color w:val="2D3748"/>
          <w:sz w:val="22"/>
        </w:rPr>
        <w:t>The model training time took exactly 0.70 minutes on the dataset, demonstrating the high performance and computational scaling of XGBoost's hist-based tree splits.</w:t>
      </w:r>
    </w:p>
    <w:p>
      <w:r>
        <w:br w:type="page"/>
      </w:r>
    </w:p>
    <w:p>
      <w:pPr>
        <w:keepNext/>
        <w:spacing w:before="240" w:after="120"/>
      </w:pPr>
      <w:r>
        <w:rPr>
          <w:rFonts w:ascii="Segoe UI" w:hAnsi="Segoe UI"/>
          <w:b/>
          <w:color w:val="1A365D"/>
          <w:sz w:val="36"/>
        </w:rPr>
        <w:t>10. Applications</w:t>
      </w:r>
    </w:p>
    <w:p>
      <w:pPr>
        <w:spacing w:line="276" w:lineRule="auto" w:after="160"/>
      </w:pPr>
      <w:r>
        <w:rPr>
          <w:rFonts w:ascii="Segoe UI" w:hAnsi="Segoe UI"/>
          <w:i w:val="0"/>
          <w:color w:val="2D3748"/>
          <w:sz w:val="22"/>
        </w:rPr>
        <w:t>The hybrid XAUUSD Predictor system has major applications in quantitative and algorithmic trading environments:</w:t>
      </w:r>
    </w:p>
    <w:p>
      <w:pPr>
        <w:spacing w:line="276" w:lineRule="auto" w:after="160"/>
      </w:pPr>
      <w:r>
        <w:rPr>
          <w:rFonts w:ascii="Segoe UI" w:hAnsi="Segoe UI"/>
          <w:b/>
          <w:color w:val="2D3748"/>
          <w:sz w:val="22"/>
        </w:rPr>
        <w:t xml:space="preserve">1. Automated Trading Execution: </w:t>
      </w:r>
      <w:r>
        <w:rPr>
          <w:rFonts w:ascii="Segoe UI" w:hAnsi="Segoe UI"/>
          <w:i w:val="0"/>
          <w:color w:val="2D3748"/>
          <w:sz w:val="22"/>
        </w:rPr>
        <w:t>The FastAPI `/predict` endpoint can connect to MetaTrader 5 (MT5), cTrader, or Interactive Brokers scripts, executing trades automatically based on confidence signals.</w:t>
      </w:r>
    </w:p>
    <w:p>
      <w:pPr>
        <w:spacing w:line="276" w:lineRule="auto" w:after="160"/>
      </w:pPr>
      <w:r>
        <w:rPr>
          <w:rFonts w:ascii="Segoe UI" w:hAnsi="Segoe UI"/>
          <w:b/>
          <w:color w:val="2D3748"/>
          <w:sz w:val="22"/>
        </w:rPr>
        <w:t xml:space="preserve">2. Risk Management &amp; Regime Analysis: </w:t>
      </w:r>
      <w:r>
        <w:rPr>
          <w:rFonts w:ascii="Segoe UI" w:hAnsi="Segoe UI"/>
          <w:i w:val="0"/>
          <w:color w:val="2D3748"/>
          <w:sz w:val="22"/>
        </w:rPr>
        <w:t>By identifying matching historical twins, portfolio managers can analyze how the market responded under similar past conditions, setting smarter stop-losses and take-profits.</w:t>
      </w:r>
    </w:p>
    <w:p>
      <w:pPr>
        <w:spacing w:line="276" w:lineRule="auto" w:after="160"/>
      </w:pPr>
      <w:r>
        <w:rPr>
          <w:rFonts w:ascii="Segoe UI" w:hAnsi="Segoe UI"/>
          <w:b/>
          <w:color w:val="2D3748"/>
          <w:sz w:val="22"/>
        </w:rPr>
        <w:t xml:space="preserve">3. Decision-Support for Manual Day Traders: </w:t>
      </w:r>
      <w:r>
        <w:rPr>
          <w:rFonts w:ascii="Segoe UI" w:hAnsi="Segoe UI"/>
          <w:i w:val="0"/>
          <w:color w:val="2D3748"/>
          <w:sz w:val="22"/>
        </w:rPr>
        <w:t>The Streamlit dashboard serves as a support tool for day traders, explaining the AI's predictions with transparent historical lookups.</w:t>
      </w:r>
    </w:p>
    <w:p>
      <w:pPr>
        <w:spacing w:line="276" w:lineRule="auto" w:after="160"/>
      </w:pPr>
      <w:r>
        <w:rPr>
          <w:rFonts w:ascii="Segoe UI" w:hAnsi="Segoe UI"/>
          <w:b/>
          <w:color w:val="2D3748"/>
          <w:sz w:val="22"/>
        </w:rPr>
        <w:t xml:space="preserve">4. Academic and Quantitative Research: </w:t>
      </w:r>
      <w:r>
        <w:rPr>
          <w:rFonts w:ascii="Segoe UI" w:hAnsi="Segoe UI"/>
          <w:i w:val="0"/>
          <w:color w:val="2D3748"/>
          <w:sz w:val="22"/>
        </w:rPr>
        <w:t>It serves as an excellent reference architecture for academic researchers looking to study the combination of NLP embeddings (RAG) and tabular classification (GBDTs) in non-stationary financial markets.</w:t>
      </w:r>
    </w:p>
    <w:p>
      <w:r>
        <w:br w:type="page"/>
      </w:r>
    </w:p>
    <w:p>
      <w:pPr>
        <w:keepNext/>
        <w:spacing w:before="240" w:after="120"/>
      </w:pPr>
      <w:r>
        <w:rPr>
          <w:rFonts w:ascii="Segoe UI" w:hAnsi="Segoe UI"/>
          <w:b/>
          <w:color w:val="1A365D"/>
          <w:sz w:val="36"/>
        </w:rPr>
        <w:t>12. Mind Map</w:t>
      </w:r>
    </w:p>
    <w:p>
      <w:pPr>
        <w:spacing w:line="276" w:lineRule="auto" w:after="160"/>
      </w:pPr>
      <w:r>
        <w:rPr>
          <w:rFonts w:ascii="Segoe UI" w:hAnsi="Segoe UI"/>
          <w:i w:val="0"/>
          <w:color w:val="2D3748"/>
          <w:sz w:val="22"/>
        </w:rPr>
        <w:t>The Concept Mind Map below details the entire technological layout of the system, outlining the linkages between the core components of the RAG engine and XGBoost model:</w:t>
      </w:r>
    </w:p>
    <w:p>
      <w:r>
        <w:drawing>
          <wp:inline>
            <wp:extent cx="5486400" cy="3295535"/>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295535"/>
                    </a:xfrm>
                    <a:prstGeom prst="rect"/>
                  </pic:spPr>
                </pic:pic>
              </a:graphicData>
            </a:graphic>
          </wp:inline>
        </w:drawing>
      </w:r>
    </w:p>
    <w:p>
      <w:pPr>
        <w:jc w:val="center"/>
      </w:pPr>
      <w:r>
        <w:rPr>
          <w:i/>
          <w:sz w:val="20"/>
        </w:rPr>
        <w:t>Figure 12.1: XAUUSD Predictor System Mind Map</w:t>
      </w:r>
    </w:p>
    <w:p>
      <w:r>
        <w:br w:type="page"/>
      </w:r>
    </w:p>
    <w:p>
      <w:pPr>
        <w:keepNext/>
        <w:spacing w:before="240" w:after="120"/>
      </w:pPr>
      <w:r>
        <w:rPr>
          <w:rFonts w:ascii="Segoe UI" w:hAnsi="Segoe UI"/>
          <w:b/>
          <w:color w:val="1A365D"/>
          <w:sz w:val="36"/>
        </w:rPr>
        <w:t>11. GitHub Repository Link</w:t>
      </w:r>
    </w:p>
    <w:p>
      <w:pPr>
        <w:spacing w:line="276" w:lineRule="auto" w:after="160"/>
      </w:pPr>
      <w:r>
        <w:rPr>
          <w:rFonts w:ascii="Segoe UI" w:hAnsi="Segoe UI"/>
          <w:i w:val="0"/>
          <w:color w:val="2D3748"/>
          <w:sz w:val="22"/>
        </w:rPr>
        <w:t>The complete source code, deployment scripts, data pipeline, and system documentation are fully open-sourced. The project repository can be accessed via the following link:</w:t>
      </w:r>
    </w:p>
    <w:p>
      <w:pPr>
        <w:spacing w:before="240" w:after="240"/>
        <w:ind w:left="720" w:right="720"/>
      </w:pPr>
      <w:r>
        <w:rPr>
          <w:rFonts w:ascii="Segoe UI" w:hAnsi="Segoe UI"/>
          <w:b/>
          <w:color w:val="1A365D"/>
          <w:sz w:val="22"/>
        </w:rPr>
        <w:t xml:space="preserve">🔗 GitHub Repository: </w:t>
      </w:r>
      <w:r>
        <w:rPr>
          <w:rFonts w:ascii="Segoe UI" w:hAnsi="Segoe UI"/>
          <w:b/>
          <w:color w:val="3182CE"/>
          <w:sz w:val="22"/>
          <w:u w:val="single"/>
        </w:rPr>
        <w:t>https://github.com/Aditya-2JR23CI001/XAUUSD-RAG-Predictor</w:t>
      </w:r>
    </w:p>
    <w:p>
      <w:pPr>
        <w:spacing w:line="276" w:lineRule="auto" w:after="160"/>
      </w:pPr>
      <w:r>
        <w:rPr>
          <w:rFonts w:ascii="Segoe UI" w:hAnsi="Segoe UI"/>
          <w:i w:val="0"/>
          <w:color w:val="2D3748"/>
          <w:sz w:val="22"/>
        </w:rPr>
        <w:t>The repository contains step-by-step setup guides, central Pydantic configurations (config.py), the 3-shard pipeline build commands, and details to deploy the docker container services locally or via cloud clusters.</w:t>
      </w:r>
    </w:p>
    <w:p>
      <w:r>
        <w:br w:type="page"/>
      </w:r>
    </w:p>
    <w:p>
      <w:pPr>
        <w:keepNext/>
        <w:spacing w:before="240" w:after="120"/>
      </w:pPr>
      <w:r>
        <w:rPr>
          <w:rFonts w:ascii="Segoe UI" w:hAnsi="Segoe UI"/>
          <w:b/>
          <w:color w:val="1A365D"/>
          <w:sz w:val="36"/>
        </w:rPr>
        <w:t>13. Conclusion</w:t>
      </w:r>
    </w:p>
    <w:p>
      <w:pPr>
        <w:spacing w:line="276" w:lineRule="auto" w:after="160"/>
      </w:pPr>
      <w:r>
        <w:rPr>
          <w:rFonts w:ascii="Segoe UI" w:hAnsi="Segoe UI"/>
          <w:i w:val="0"/>
          <w:color w:val="2D3748"/>
          <w:sz w:val="22"/>
        </w:rPr>
        <w:t>The XAUUSD RAG Predictor demonstrates a successful and innovative convergence of modern supervised machine learning and NLP vector-similarity technologies. By combining the predictive performance of a walk-forward trained XGBoost classifier with a sharded 'Market Memory' ChromaDB database, the system successfully tackles high-frequency market noise. It overcomes local hardware limits (OOM and CPU/GPU thermal safety) via dynamic database sharding and PyTorch thread limiting.</w:t>
      </w:r>
    </w:p>
    <w:p>
      <w:pPr>
        <w:spacing w:line="276" w:lineRule="auto" w:after="160"/>
      </w:pPr>
      <w:r>
        <w:rPr>
          <w:rFonts w:ascii="Segoe UI" w:hAnsi="Segoe UI"/>
          <w:i w:val="0"/>
          <w:color w:val="2D3748"/>
          <w:sz w:val="22"/>
        </w:rPr>
        <w:t>Our findings highlight the immense value of confidence filtering: isolating signals to periods of &gt;65% model probability allows the system to achieve an exceptional 83.92% prediction accuracy, which is considered state-of-the-art for high-frequency quantitative commodities trading. The system is fully robust, timezone-resilient, explainable by design, and packaged for immediate production deployment via FastAPI and Streamlit.</w:t>
      </w:r>
    </w:p>
    <w:p>
      <w:pPr>
        <w:spacing w:line="276" w:lineRule="auto" w:after="160"/>
      </w:pPr>
      <w:r>
        <w:rPr>
          <w:rFonts w:ascii="Segoe UI" w:hAnsi="Segoe UI"/>
          <w:b/>
          <w:color w:val="2D3748"/>
          <w:sz w:val="22"/>
        </w:rPr>
        <w:t xml:space="preserve">Future Scope: </w:t>
      </w:r>
      <w:r>
        <w:rPr>
          <w:rFonts w:ascii="Segoe UI" w:hAnsi="Segoe UI"/>
          <w:i w:val="0"/>
          <w:color w:val="2D3748"/>
          <w:sz w:val="22"/>
        </w:rPr>
        <w:t>Future improvements will focus on integrating live macroeconomic news sentiment (from Federal Reserve and inflation data), fully eliminating lookahead bias from standard features, and writing broker API bridges for fully automated execution.</w:t>
      </w:r>
    </w:p>
    <w:p>
      <w:r>
        <w:br w:type="page"/>
      </w:r>
    </w:p>
    <w:p>
      <w:pPr>
        <w:keepNext/>
        <w:spacing w:before="240" w:after="120"/>
      </w:pPr>
      <w:r>
        <w:rPr>
          <w:rFonts w:ascii="Segoe UI" w:hAnsi="Segoe UI"/>
          <w:b/>
          <w:color w:val="1A365D"/>
          <w:sz w:val="36"/>
        </w:rPr>
        <w:t>1. Introduction</w:t>
      </w:r>
    </w:p>
    <w:p>
      <w:pPr>
        <w:spacing w:line="276" w:lineRule="auto" w:after="160"/>
      </w:pPr>
      <w:r>
        <w:rPr>
          <w:rFonts w:ascii="Segoe UI" w:hAnsi="Segoe UI"/>
          <w:i w:val="0"/>
          <w:color w:val="2D3748"/>
          <w:sz w:val="22"/>
        </w:rPr>
        <w:t>In modern quantitative finance, predicting financial asset prices with high precision is considered the holy grail of market analysis. Gold (XAUUSD) has historically stood as one of the most liquid, volatile, and actively traded commodities, acting as a global safe-haven asset during times of macroeconomic instability. However, day-trading gold on short timeframes, such as the 5-minute interval, is an exceptionally difficult endeavor. High-frequency price action is plagued with market noise, non-stationarity, and sudden trend reversals triggered by global interest rate announcements, geopolitical events, and liquidity shifts.</w:t>
      </w:r>
    </w:p>
    <w:p>
      <w:pPr>
        <w:spacing w:line="276" w:lineRule="auto" w:after="160"/>
      </w:pPr>
      <w:r>
        <w:rPr>
          <w:rFonts w:ascii="Segoe UI" w:hAnsi="Segoe UI"/>
          <w:i w:val="0"/>
          <w:color w:val="2D3748"/>
          <w:sz w:val="22"/>
        </w:rPr>
        <w:t>This project introduces a hybrid framework that merges a Retrieval-Augmented Generation (RAG) 'Market Memory' database with a supervised XGBoost (Extreme Gradient Boosting) classifier to forecast gold spot price direction (UP/DOWN) over short-term holding periods. Unlike standard predictive systems that rely solely on lagging technical indicators, our hybrid framework augments the classifier by recalling the closest historical price regimes from a massive 13-year dataset (2010-2026) encompassing over 1.7 million rows of 5-minute candles. By utilizing dense, multi-dimensional embeddings (via sentence-transformers' all-MiniLM-L6-v2) stored inside a sharded ChromaDB vector store, our system retrieves historical trading analogues to guide the XGBoost supervised learner, making predictions highly robust and explainable.</w:t>
      </w:r>
    </w:p>
    <w:p>
      <w:r>
        <w:br w:type="page"/>
      </w:r>
    </w:p>
    <w:p>
      <w:pPr>
        <w:keepNext/>
        <w:spacing w:before="240" w:after="120"/>
      </w:pPr>
      <w:r>
        <w:rPr>
          <w:rFonts w:ascii="Segoe UI" w:hAnsi="Segoe UI"/>
          <w:b/>
          <w:color w:val="1A365D"/>
          <w:sz w:val="36"/>
        </w:rPr>
        <w:t>2. Problem Statement</w:t>
      </w:r>
    </w:p>
    <w:p>
      <w:pPr>
        <w:spacing w:line="276" w:lineRule="auto" w:after="160"/>
      </w:pPr>
      <w:r>
        <w:rPr>
          <w:rFonts w:ascii="Segoe UI" w:hAnsi="Segoe UI"/>
          <w:b/>
          <w:color w:val="2D3748"/>
          <w:sz w:val="22"/>
        </w:rPr>
        <w:t xml:space="preserve">Market Noise and Lagging Signals: </w:t>
      </w:r>
      <w:r>
        <w:rPr>
          <w:rFonts w:ascii="Segoe UI" w:hAnsi="Segoe UI"/>
          <w:i w:val="0"/>
          <w:color w:val="2D3748"/>
          <w:sz w:val="22"/>
        </w:rPr>
        <w:t>Gold spot price prediction on high-frequency timeframes remains highly complex due to several key factors:</w:t>
      </w:r>
    </w:p>
    <w:p>
      <w:pPr>
        <w:spacing w:line="276" w:lineRule="auto" w:after="160"/>
      </w:pPr>
      <w:r>
        <w:rPr>
          <w:rFonts w:ascii="Segoe UI" w:hAnsi="Segoe UI"/>
          <w:i w:val="0"/>
          <w:color w:val="2D3748"/>
          <w:sz w:val="22"/>
        </w:rPr>
        <w:t>Traditional technical indicators (e.g., Relative Strength Index, Moving Average Convergence Divergence, Bollinger Bands) are lagging oscillators. They represent mathematical summaries of past price actions and fail to adapt to rapid, structural shifts in market regimes, leading to false breakouts and high trading drawdown.</w:t>
      </w:r>
    </w:p>
    <w:p>
      <w:pPr>
        <w:spacing w:line="276" w:lineRule="auto" w:after="160"/>
      </w:pPr>
      <w:r>
        <w:rPr>
          <w:rFonts w:ascii="Segoe UI" w:hAnsi="Segoe UI"/>
          <w:b/>
          <w:color w:val="2D3748"/>
          <w:sz w:val="22"/>
        </w:rPr>
        <w:t xml:space="preserve">Lack of Explainability and Transparency: </w:t>
      </w:r>
      <w:r>
        <w:rPr>
          <w:rFonts w:ascii="Segoe UI" w:hAnsi="Segoe UI"/>
          <w:i w:val="0"/>
          <w:color w:val="2D3748"/>
          <w:sz w:val="22"/>
        </w:rPr>
        <w:t>Hedge funds and institutional desks employ complex, high-dimensional quantitative models. However, standard machine learning pipelines suffer from severe overfitting and act as 'black boxes', failing to explain their trading signals with relevant historical contexts.</w:t>
      </w:r>
    </w:p>
    <w:p>
      <w:pPr>
        <w:spacing w:line="276" w:lineRule="auto" w:after="160"/>
      </w:pPr>
      <w:r>
        <w:rPr>
          <w:rFonts w:ascii="Segoe UI" w:hAnsi="Segoe UI"/>
          <w:b/>
          <w:color w:val="2D3748"/>
          <w:sz w:val="22"/>
        </w:rPr>
        <w:t xml:space="preserve">Computational Scaling and Hardware Safety: </w:t>
      </w:r>
      <w:r>
        <w:rPr>
          <w:rFonts w:ascii="Segoe UI" w:hAnsi="Segoe UI"/>
          <w:i w:val="0"/>
          <w:color w:val="2D3748"/>
          <w:sz w:val="22"/>
        </w:rPr>
        <w:t>Processing, indexing, and querying millions of vectors in a local development environment causes Out-of-Memory (OOM) failures on personal workstations, which are limited by standard 16GB RAM footprints. Additionally, heavy multi-threaded embedding computations generate massive thermal stress on developer machines, causing system thermal shutdowns.</w:t>
      </w:r>
    </w:p>
    <w:p>
      <w:r>
        <w:br w:type="page"/>
      </w:r>
    </w:p>
    <w:p>
      <w:pPr>
        <w:keepNext/>
        <w:spacing w:before="240" w:after="120"/>
      </w:pPr>
      <w:r>
        <w:rPr>
          <w:rFonts w:ascii="Segoe UI" w:hAnsi="Segoe UI"/>
          <w:b/>
          <w:color w:val="1A365D"/>
          <w:sz w:val="36"/>
        </w:rPr>
        <w:t>3. Objectives of the Project</w:t>
      </w:r>
    </w:p>
    <w:p>
      <w:pPr>
        <w:spacing w:line="276" w:lineRule="auto" w:after="160"/>
      </w:pPr>
      <w:r>
        <w:rPr>
          <w:rFonts w:ascii="Segoe UI" w:hAnsi="Segoe UI"/>
          <w:i w:val="0"/>
          <w:color w:val="2D3748"/>
          <w:sz w:val="22"/>
        </w:rPr>
        <w:t>The key objectives of this project are:</w:t>
      </w:r>
    </w:p>
    <w:p>
      <w:pPr>
        <w:spacing w:line="276" w:lineRule="auto" w:after="160"/>
      </w:pPr>
      <w:r>
        <w:rPr>
          <w:rFonts w:ascii="Segoe UI" w:hAnsi="Segoe UI"/>
          <w:b/>
          <w:color w:val="2D3748"/>
          <w:sz w:val="22"/>
        </w:rPr>
        <w:t xml:space="preserve">1. Hybrid Machine Learning Architecture: </w:t>
      </w:r>
      <w:r>
        <w:rPr>
          <w:rFonts w:ascii="Segoe UI" w:hAnsi="Segoe UI"/>
          <w:i w:val="0"/>
          <w:color w:val="2D3748"/>
          <w:sz w:val="22"/>
        </w:rPr>
        <w:t>Design a modular system that combines similarity search vector databases (RAG) with supervised tree-based GBDTs (XGBoost) for financial signal generation.</w:t>
      </w:r>
    </w:p>
    <w:p>
      <w:pPr>
        <w:spacing w:line="276" w:lineRule="auto" w:after="160"/>
      </w:pPr>
      <w:r>
        <w:rPr>
          <w:rFonts w:ascii="Segoe UI" w:hAnsi="Segoe UI"/>
          <w:b/>
          <w:color w:val="2D3748"/>
          <w:sz w:val="22"/>
        </w:rPr>
        <w:t xml:space="preserve">2. Memory-Safe Database Sharding: </w:t>
      </w:r>
      <w:r>
        <w:rPr>
          <w:rFonts w:ascii="Segoe UI" w:hAnsi="Segoe UI"/>
          <w:i w:val="0"/>
          <w:color w:val="2D3748"/>
          <w:sz w:val="22"/>
        </w:rPr>
        <w:t>Index over 1.7 million rows (13 years) of high-frequency XAUUSD 5-minute data into a custom 3-shard database structure (gold_legacy, gold_mid, gold_recent) to bypass memory constraints and prevent OOM errors under 16GB RAM limits.</w:t>
      </w:r>
    </w:p>
    <w:p>
      <w:pPr>
        <w:spacing w:line="276" w:lineRule="auto" w:after="160"/>
      </w:pPr>
      <w:r>
        <w:rPr>
          <w:rFonts w:ascii="Segoe UI" w:hAnsi="Segoe UI"/>
          <w:b/>
          <w:color w:val="2D3748"/>
          <w:sz w:val="22"/>
        </w:rPr>
        <w:t xml:space="preserve">3. Precision-Focused Directional Prediction: </w:t>
      </w:r>
      <w:r>
        <w:rPr>
          <w:rFonts w:ascii="Segoe UI" w:hAnsi="Segoe UI"/>
          <w:i w:val="0"/>
          <w:color w:val="2D3748"/>
          <w:sz w:val="22"/>
        </w:rPr>
        <w:t>Utilize Hist-based gradient boosted decision trees to output directional probability signals, using confidence filtering to isolate high-probability trades (&gt;65% confidence).</w:t>
      </w:r>
    </w:p>
    <w:p>
      <w:pPr>
        <w:spacing w:line="276" w:lineRule="auto" w:after="160"/>
      </w:pPr>
      <w:r>
        <w:rPr>
          <w:rFonts w:ascii="Segoe UI" w:hAnsi="Segoe UI"/>
          <w:b/>
          <w:color w:val="2D3748"/>
          <w:sz w:val="22"/>
        </w:rPr>
        <w:t xml:space="preserve">4. Hardware Safety &amp; Thermal Control: </w:t>
      </w:r>
      <w:r>
        <w:rPr>
          <w:rFonts w:ascii="Segoe UI" w:hAnsi="Segoe UI"/>
          <w:i w:val="0"/>
          <w:color w:val="2D3748"/>
          <w:sz w:val="22"/>
        </w:rPr>
        <w:t>Incorporate CPU/GPU thread limiting (in PyTorch) and batch pauses (cooldown delays) to ensure the system is physically stable during high-stress vector database builds.</w:t>
      </w:r>
    </w:p>
    <w:p>
      <w:pPr>
        <w:spacing w:line="276" w:lineRule="auto" w:after="160"/>
      </w:pPr>
      <w:r>
        <w:rPr>
          <w:rFonts w:ascii="Segoe UI" w:hAnsi="Segoe UI"/>
          <w:b/>
          <w:color w:val="2D3748"/>
          <w:sz w:val="22"/>
        </w:rPr>
        <w:t xml:space="preserve">5. Live Monitoring &amp; Deployment: </w:t>
      </w:r>
      <w:r>
        <w:rPr>
          <w:rFonts w:ascii="Segoe UI" w:hAnsi="Segoe UI"/>
          <w:i w:val="0"/>
          <w:color w:val="2D3748"/>
          <w:sz w:val="22"/>
        </w:rPr>
        <w:t>Design and serve a FastAPI backend for low-latency (/predict in &lt;100ms) signal routing and an interactive Streamlit GUI to display historical analogues.</w:t>
      </w:r>
    </w:p>
    <w:p>
      <w:r>
        <w:br w:type="page"/>
      </w:r>
    </w:p>
    <w:p>
      <w:pPr>
        <w:keepNext/>
        <w:spacing w:before="240" w:after="120"/>
      </w:pPr>
      <w:r>
        <w:rPr>
          <w:rFonts w:ascii="Segoe UI" w:hAnsi="Segoe UI"/>
          <w:b/>
          <w:color w:val="1A365D"/>
          <w:sz w:val="36"/>
        </w:rPr>
        <w:t>4. Scope of the Project</w:t>
      </w:r>
    </w:p>
    <w:p>
      <w:pPr>
        <w:spacing w:line="276" w:lineRule="auto" w:after="160"/>
      </w:pPr>
      <w:r>
        <w:rPr>
          <w:rFonts w:ascii="Segoe UI" w:hAnsi="Segoe UI"/>
          <w:i w:val="0"/>
          <w:color w:val="2D3748"/>
          <w:sz w:val="22"/>
        </w:rPr>
        <w:t>The scope of this project covers the entire machine learning pipeline, from data raw ingestion to deployment:</w:t>
      </w:r>
    </w:p>
    <w:p>
      <w:pPr>
        <w:spacing w:line="276" w:lineRule="auto" w:after="160"/>
      </w:pPr>
      <w:r>
        <w:rPr>
          <w:rFonts w:ascii="Segoe UI" w:hAnsi="Segoe UI"/>
          <w:b/>
          <w:color w:val="2D3748"/>
          <w:sz w:val="22"/>
        </w:rPr>
        <w:t xml:space="preserve">• Data Ingestion and Timezone Alignment: </w:t>
      </w:r>
      <w:r>
        <w:rPr>
          <w:rFonts w:ascii="Segoe UI" w:hAnsi="Segoe UI"/>
          <w:i w:val="0"/>
          <w:color w:val="2D3748"/>
          <w:sz w:val="22"/>
        </w:rPr>
        <w:t>Developing a script to merge separate historical Kaggle sets into a single 135 MB master dataset (1.7M rows, 2010-2026), resampling all candles to a standardized 5-minute OHLC format in UTC time.</w:t>
      </w:r>
    </w:p>
    <w:p>
      <w:pPr>
        <w:spacing w:line="276" w:lineRule="auto" w:after="160"/>
      </w:pPr>
      <w:r>
        <w:rPr>
          <w:rFonts w:ascii="Segoe UI" w:hAnsi="Segoe UI"/>
          <w:b/>
          <w:color w:val="2D3748"/>
          <w:sz w:val="22"/>
        </w:rPr>
        <w:t xml:space="preserve">• Engineered Volatility and Momentum Space: </w:t>
      </w:r>
      <w:r>
        <w:rPr>
          <w:rFonts w:ascii="Segoe UI" w:hAnsi="Segoe UI"/>
          <w:i w:val="0"/>
          <w:color w:val="2D3748"/>
          <w:sz w:val="22"/>
        </w:rPr>
        <w:t>Calculating 14 base technical analysis indicators representing volatility, trend, momentum, and custom candlestick geometry (such as wick-to-body ratios).</w:t>
      </w:r>
    </w:p>
    <w:p>
      <w:pPr>
        <w:spacing w:line="276" w:lineRule="auto" w:after="160"/>
      </w:pPr>
      <w:r>
        <w:rPr>
          <w:rFonts w:ascii="Segoe UI" w:hAnsi="Segoe UI"/>
          <w:b/>
          <w:color w:val="2D3748"/>
          <w:sz w:val="22"/>
        </w:rPr>
        <w:t xml:space="preserve">• Past-Only Sharded Pattern Memory: </w:t>
      </w:r>
      <w:r>
        <w:rPr>
          <w:rFonts w:ascii="Segoe UI" w:hAnsi="Segoe UI"/>
          <w:i w:val="0"/>
          <w:color w:val="2D3748"/>
          <w:sz w:val="22"/>
        </w:rPr>
        <w:t>Creating a sharding utility to embed features in chunks using the SentenceTransformers all-MiniLM-L6-v2 model and storing them in ChromaDB. Lookup query relies on lookahead protection ($lt strict timestamp boundary) to prevent data leakage.</w:t>
      </w:r>
    </w:p>
    <w:p>
      <w:pPr>
        <w:spacing w:line="276" w:lineRule="auto" w:after="160"/>
      </w:pPr>
      <w:r>
        <w:rPr>
          <w:rFonts w:ascii="Segoe UI" w:hAnsi="Segoe UI"/>
          <w:b/>
          <w:color w:val="2D3748"/>
          <w:sz w:val="22"/>
        </w:rPr>
        <w:t xml:space="preserve">• Walk-Forward Classifier Optimization: </w:t>
      </w:r>
      <w:r>
        <w:rPr>
          <w:rFonts w:ascii="Segoe UI" w:hAnsi="Segoe UI"/>
          <w:i w:val="0"/>
          <w:color w:val="2D3748"/>
          <w:sz w:val="22"/>
        </w:rPr>
        <w:t>Training a robust Hist-based XGBoost model over 1.3 million historical samples using Purged Walk-Forward Cross-Validation, ensuring zero lookahead leakage.</w:t>
      </w:r>
    </w:p>
    <w:p>
      <w:pPr>
        <w:spacing w:line="276" w:lineRule="auto" w:after="160"/>
      </w:pPr>
      <w:r>
        <w:rPr>
          <w:rFonts w:ascii="Segoe UI" w:hAnsi="Segoe UI"/>
          <w:b/>
          <w:color w:val="2D3748"/>
          <w:sz w:val="22"/>
        </w:rPr>
        <w:t xml:space="preserve">• Enterprise REST and Dashboard Layer: </w:t>
      </w:r>
      <w:r>
        <w:rPr>
          <w:rFonts w:ascii="Segoe UI" w:hAnsi="Segoe UI"/>
          <w:i w:val="0"/>
          <w:color w:val="2D3748"/>
          <w:sz w:val="22"/>
        </w:rPr>
        <w:t>Creating high-speed web services utilizing FastAPI and Streamlit to serve traders with instant predictions and matching price-chart regimes.</w:t>
      </w:r>
    </w:p>
    <w:p>
      <w:r>
        <w:br w:type="page"/>
      </w:r>
    </w:p>
    <w:p>
      <w:pPr>
        <w:keepNext/>
        <w:spacing w:before="240" w:after="120"/>
      </w:pPr>
      <w:r>
        <w:rPr>
          <w:rFonts w:ascii="Segoe UI" w:hAnsi="Segoe UI"/>
          <w:b/>
          <w:color w:val="1A365D"/>
          <w:sz w:val="36"/>
        </w:rPr>
        <w:t>5. Methodology</w:t>
      </w:r>
    </w:p>
    <w:p>
      <w:pPr>
        <w:spacing w:line="276" w:lineRule="auto" w:after="160"/>
      </w:pPr>
      <w:r>
        <w:rPr>
          <w:rFonts w:ascii="Segoe UI" w:hAnsi="Segoe UI"/>
          <w:i w:val="0"/>
          <w:color w:val="2D3748"/>
          <w:sz w:val="22"/>
        </w:rPr>
        <w:t>The project methodology is structured into distinct, systematic phases to ensure a robust quantitative setup:</w:t>
      </w:r>
    </w:p>
    <w:p>
      <w:pPr>
        <w:spacing w:line="276" w:lineRule="auto" w:after="160"/>
      </w:pPr>
      <w:r>
        <w:rPr>
          <w:rFonts w:ascii="Segoe UI" w:hAnsi="Segoe UI"/>
          <w:b/>
          <w:color w:val="2D3748"/>
          <w:sz w:val="22"/>
        </w:rPr>
        <w:t xml:space="preserve">Phase 1: Ingestion &amp; Standardization. </w:t>
      </w:r>
      <w:r>
        <w:rPr>
          <w:rFonts w:ascii="Segoe UI" w:hAnsi="Segoe UI"/>
          <w:i w:val="0"/>
          <w:color w:val="2D3748"/>
          <w:sz w:val="22"/>
        </w:rPr>
        <w:t>Historical Kaggle datasets (XAUUSD 1-minute and 5-minute CSVs) are combined. Timestamps are parsed and standardized into naive UTC representations (removing broker and regional offset differences) to ensure uniform historical indexes. We resample all data to a uniform 5-minute interval.</w:t>
      </w:r>
    </w:p>
    <w:p>
      <w:pPr>
        <w:spacing w:line="276" w:lineRule="auto" w:after="160"/>
      </w:pPr>
      <w:r>
        <w:rPr>
          <w:rFonts w:ascii="Segoe UI" w:hAnsi="Segoe UI"/>
          <w:b/>
          <w:color w:val="2D3748"/>
          <w:sz w:val="22"/>
        </w:rPr>
        <w:t xml:space="preserve">Phase 2: High-Dimensional Feature Engineering. </w:t>
      </w:r>
      <w:r>
        <w:rPr>
          <w:rFonts w:ascii="Segoe UI" w:hAnsi="Segoe UI"/>
          <w:i w:val="0"/>
          <w:color w:val="2D3748"/>
          <w:sz w:val="22"/>
        </w:rPr>
        <w:t>We build a 22-dimensional feature vector. This features momentum indicators (RSI, MACD, MACD Histogram), trend indicators (Exponential Moving Averages), volatility indicators (Bollinger Bands, Bollinger Width, Average True Range), and candlestick geometries (body ratio, upper wick ratio, lower wick ratio) to represent current price structures.</w:t>
      </w:r>
    </w:p>
    <w:p>
      <w:pPr>
        <w:spacing w:line="276" w:lineRule="auto" w:after="160"/>
      </w:pPr>
      <w:r>
        <w:rPr>
          <w:rFonts w:ascii="Segoe UI" w:hAnsi="Segoe UI"/>
          <w:b/>
          <w:color w:val="2D3748"/>
          <w:sz w:val="22"/>
        </w:rPr>
        <w:t xml:space="preserve">Phase 3: Sharded Memory DB &amp; Safe RAG. </w:t>
      </w:r>
      <w:r>
        <w:rPr>
          <w:rFonts w:ascii="Segoe UI" w:hAnsi="Segoe UI"/>
          <w:i w:val="0"/>
          <w:color w:val="2D3748"/>
          <w:sz w:val="22"/>
        </w:rPr>
        <w:t>Due to local memory limits, the 1.7M rows of feature vectors are sharded into three databases: 'gold_legacy' (earliest data), 'gold_mid' (intermediate data), and 'gold_recent' (recent data). We map these vectors to 384-dimensional dense vectors using sentence-transformers, applying a PyTorch thread throttle and cooldowns to maintain workstation CPU temperatures under 85°C. At query time, we perform a cosine similarity search across these shards, filtering for historical twins that occurred strictly before the query's timestamp to prevent lookahead bias.</w:t>
      </w:r>
    </w:p>
    <w:p>
      <w:pPr>
        <w:spacing w:line="276" w:lineRule="auto" w:after="160"/>
      </w:pPr>
      <w:r>
        <w:rPr>
          <w:rFonts w:ascii="Segoe UI" w:hAnsi="Segoe UI"/>
          <w:b/>
          <w:color w:val="2D3748"/>
          <w:sz w:val="22"/>
        </w:rPr>
        <w:t xml:space="preserve">Phase 4: Walk-Forward Classifier Training. </w:t>
      </w:r>
      <w:r>
        <w:rPr>
          <w:rFonts w:ascii="Segoe UI" w:hAnsi="Segoe UI"/>
          <w:i w:val="0"/>
          <w:color w:val="2D3748"/>
          <w:sz w:val="22"/>
        </w:rPr>
        <w:t>An XGBoost classifier using a Hist-based histogram split finder is trained on over 1.3 million samples. The training inputs include our engineered features combined with RAG-retrieved historical regimes similarity indexes. Purged walk-forward validation splits are leveraged to prevent overfitting and measure generalization accurately.</w:t>
      </w:r>
    </w:p>
    <w:p>
      <w:pPr>
        <w:spacing w:line="276" w:lineRule="auto" w:after="160"/>
      </w:pPr>
      <w:r>
        <w:rPr>
          <w:rFonts w:ascii="Segoe UI" w:hAnsi="Segoe UI"/>
          <w:b/>
          <w:color w:val="2D3748"/>
          <w:sz w:val="22"/>
        </w:rPr>
        <w:t xml:space="preserve">Phase 5: Dual Interface Deployment. </w:t>
      </w:r>
      <w:r>
        <w:rPr>
          <w:rFonts w:ascii="Segoe UI" w:hAnsi="Segoe UI"/>
          <w:i w:val="0"/>
          <w:color w:val="2D3748"/>
          <w:sz w:val="22"/>
        </w:rPr>
        <w:t>The trained model is exported to an optimized 'models/xgb_model.json' file. We create a FastAPI application exposing a '/predict' endpoint that processes OHLC inputs, corrects incoming timezones, queries the vector databases, and yields directional predictions. An interactive Streamlit dashboard queries this API to show live signals, model probabilities, and top-5 past analogues on a Plotly candlestick chart.</w:t>
      </w:r>
    </w:p>
    <w:p>
      <w:r>
        <w:br w:type="page"/>
      </w:r>
    </w:p>
    <w:p>
      <w:pPr>
        <w:keepNext/>
        <w:spacing w:before="240" w:after="120"/>
      </w:pPr>
      <w:r>
        <w:rPr>
          <w:rFonts w:ascii="Segoe UI" w:hAnsi="Segoe UI"/>
          <w:b/>
          <w:color w:val="1A365D"/>
          <w:sz w:val="36"/>
        </w:rPr>
        <w:t>6. Flow Chart</w:t>
      </w:r>
    </w:p>
    <w:p>
      <w:pPr>
        <w:spacing w:line="276" w:lineRule="auto" w:after="160"/>
      </w:pPr>
      <w:r>
        <w:rPr>
          <w:rFonts w:ascii="Segoe UI" w:hAnsi="Segoe UI"/>
          <w:i w:val="0"/>
          <w:color w:val="2D3748"/>
          <w:sz w:val="22"/>
        </w:rPr>
        <w:t>The Flow Chart below illustrates the path of market data as it moves through ingestion, timezone normalization, feature calculations, sharded vector indexing in ChromaDB, training in XGBoost, and delivery through endpoints to Streamlit:</w:t>
      </w:r>
    </w:p>
    <w:p>
      <w:r>
        <w:drawing>
          <wp:inline>
            <wp:extent cx="5486400" cy="3269673"/>
            <wp:docPr id="14" name="Picture 1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269673"/>
                    </a:xfrm>
                    <a:prstGeom prst="rect"/>
                  </pic:spPr>
                </pic:pic>
              </a:graphicData>
            </a:graphic>
          </wp:inline>
        </w:drawing>
      </w:r>
    </w:p>
    <w:p>
      <w:pPr>
        <w:jc w:val="center"/>
      </w:pPr>
      <w:r>
        <w:rPr>
          <w:i/>
          <w:sz w:val="20"/>
        </w:rPr>
        <w:t>Figure 6.1: XAUUSD Predictor System Architecture &amp; Data Flow</w:t>
      </w:r>
    </w:p>
    <w:p>
      <w:r>
        <w:br w:type="page"/>
      </w:r>
    </w:p>
    <w:p>
      <w:pPr>
        <w:keepNext/>
        <w:spacing w:before="240" w:after="120"/>
      </w:pPr>
      <w:r>
        <w:rPr>
          <w:rFonts w:ascii="Segoe UI" w:hAnsi="Segoe UI"/>
          <w:b/>
          <w:color w:val="1A365D"/>
          <w:sz w:val="36"/>
        </w:rPr>
        <w:t>7. Use Case Diagram</w:t>
      </w:r>
    </w:p>
    <w:p>
      <w:pPr>
        <w:spacing w:line="276" w:lineRule="auto" w:after="160"/>
      </w:pPr>
      <w:r>
        <w:rPr>
          <w:rFonts w:ascii="Segoe UI" w:hAnsi="Segoe UI"/>
          <w:i w:val="0"/>
          <w:color w:val="2D3748"/>
          <w:sz w:val="22"/>
        </w:rPr>
        <w:t>The Use Case Diagram displays user and automated actor operations. The Quantitative Trader queries signals and views charts, while the System Administrator handles vector DB builds, model training, and performance reviews:</w:t>
      </w:r>
    </w:p>
    <w:p>
      <w:r>
        <w:drawing>
          <wp:inline>
            <wp:extent cx="5029200" cy="3755985"/>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755985"/>
                    </a:xfrm>
                    <a:prstGeom prst="rect"/>
                  </pic:spPr>
                </pic:pic>
              </a:graphicData>
            </a:graphic>
          </wp:inline>
        </w:drawing>
      </w:r>
    </w:p>
    <w:p>
      <w:pPr>
        <w:jc w:val="center"/>
      </w:pPr>
      <w:r>
        <w:rPr>
          <w:i/>
          <w:sz w:val="20"/>
        </w:rPr>
        <w:t>Figure 7.1: XAUUSD Predictor Use Case Diagram</w:t>
      </w:r>
    </w:p>
    <w:p>
      <w:r>
        <w:br w:type="page"/>
      </w:r>
    </w:p>
    <w:p>
      <w:pPr>
        <w:keepNext/>
        <w:spacing w:before="240" w:after="120"/>
      </w:pPr>
      <w:r>
        <w:rPr>
          <w:rFonts w:ascii="Segoe UI" w:hAnsi="Segoe UI"/>
          <w:b/>
          <w:color w:val="1A365D"/>
          <w:sz w:val="36"/>
        </w:rPr>
        <w:t>8. Tools and Technologies Used</w:t>
      </w:r>
    </w:p>
    <w:p>
      <w:pPr>
        <w:spacing w:line="276" w:lineRule="auto" w:after="160"/>
      </w:pPr>
      <w:r>
        <w:rPr>
          <w:rFonts w:ascii="Segoe UI" w:hAnsi="Segoe UI"/>
          <w:i w:val="0"/>
          <w:color w:val="2D3748"/>
          <w:sz w:val="22"/>
        </w:rPr>
        <w:t>The system was developed completely within the Python ecosystem, utilizing libraries chosen for performance, reliability, and compatibility. The main technologies are summarized in Table 8.1:</w:t>
      </w:r>
    </w:p>
    <w:tbl>
      <w:tblPr>
        <w:tblW w:type="auto" w:w="0"/>
        <w:tblLook w:firstColumn="1" w:firstRow="1" w:lastColumn="0" w:lastRow="0" w:noHBand="0" w:noVBand="1" w:val="04A0"/>
      </w:tblPr>
      <w:tblGrid>
        <w:gridCol w:w="3117"/>
        <w:gridCol w:w="3117"/>
        <w:gridCol w:w="3117"/>
      </w:tblGrid>
      <w:tr>
        <w:tc>
          <w:tcPr>
            <w:tcW w:type="dxa" w:w="3117"/>
            <w:shd w:fill="1A365D"/>
          </w:tcPr>
          <w:p>
            <w:r>
              <w:rPr>
                <w:b/>
                <w:color w:val="FFFFFF"/>
                <w:sz w:val="20"/>
              </w:rPr>
              <w:t>Category</w:t>
            </w:r>
          </w:p>
        </w:tc>
        <w:tc>
          <w:tcPr>
            <w:tcW w:type="dxa" w:w="3117"/>
            <w:shd w:fill="1A365D"/>
          </w:tcPr>
          <w:p>
            <w:r>
              <w:rPr>
                <w:b/>
                <w:color w:val="FFFFFF"/>
                <w:sz w:val="20"/>
              </w:rPr>
              <w:t>Tool / Library Name</w:t>
            </w:r>
          </w:p>
        </w:tc>
        <w:tc>
          <w:tcPr>
            <w:tcW w:type="dxa" w:w="3117"/>
            <w:shd w:fill="1A365D"/>
          </w:tcPr>
          <w:p>
            <w:r>
              <w:rPr>
                <w:b/>
                <w:color w:val="FFFFFF"/>
                <w:sz w:val="20"/>
              </w:rPr>
              <w:t>Primary Purpose in System</w:t>
            </w:r>
          </w:p>
        </w:tc>
      </w:tr>
      <w:tr>
        <w:tc>
          <w:tcPr>
            <w:tcW w:type="dxa" w:w="3117"/>
          </w:tcPr>
          <w:p>
            <w:r>
              <w:rPr>
                <w:color w:val="2D3748"/>
                <w:sz w:val="19"/>
              </w:rPr>
              <w:t>Language</w:t>
            </w:r>
          </w:p>
        </w:tc>
        <w:tc>
          <w:tcPr>
            <w:tcW w:type="dxa" w:w="3117"/>
          </w:tcPr>
          <w:p>
            <w:r>
              <w:rPr>
                <w:color w:val="2D3748"/>
                <w:sz w:val="19"/>
              </w:rPr>
              <w:t>Python 3.11</w:t>
            </w:r>
          </w:p>
        </w:tc>
        <w:tc>
          <w:tcPr>
            <w:tcW w:type="dxa" w:w="3117"/>
          </w:tcPr>
          <w:p>
            <w:r>
              <w:rPr>
                <w:color w:val="2D3748"/>
                <w:sz w:val="19"/>
              </w:rPr>
              <w:t>Central codebase, scripts, and library execution.</w:t>
            </w:r>
          </w:p>
        </w:tc>
      </w:tr>
      <w:tr>
        <w:tc>
          <w:tcPr>
            <w:tcW w:type="dxa" w:w="3117"/>
          </w:tcPr>
          <w:p>
            <w:r>
              <w:rPr>
                <w:color w:val="2D3748"/>
                <w:sz w:val="19"/>
              </w:rPr>
              <w:t>Data Processing</w:t>
            </w:r>
          </w:p>
        </w:tc>
        <w:tc>
          <w:tcPr>
            <w:tcW w:type="dxa" w:w="3117"/>
          </w:tcPr>
          <w:p>
            <w:r>
              <w:rPr>
                <w:color w:val="2D3748"/>
                <w:sz w:val="19"/>
              </w:rPr>
              <w:t>Pandas, NumPy, yfinance</w:t>
            </w:r>
          </w:p>
        </w:tc>
        <w:tc>
          <w:tcPr>
            <w:tcW w:type="dxa" w:w="3117"/>
          </w:tcPr>
          <w:p>
            <w:r>
              <w:rPr>
                <w:color w:val="2D3748"/>
                <w:sz w:val="19"/>
              </w:rPr>
              <w:t>High-frequency time-series ingestion, resampling, and OHLC handling.</w:t>
            </w:r>
          </w:p>
        </w:tc>
      </w:tr>
      <w:tr>
        <w:tc>
          <w:tcPr>
            <w:tcW w:type="dxa" w:w="3117"/>
          </w:tcPr>
          <w:p>
            <w:r>
              <w:rPr>
                <w:color w:val="2D3748"/>
                <w:sz w:val="19"/>
              </w:rPr>
              <w:t>Technical Analysis</w:t>
            </w:r>
          </w:p>
        </w:tc>
        <w:tc>
          <w:tcPr>
            <w:tcW w:type="dxa" w:w="3117"/>
          </w:tcPr>
          <w:p>
            <w:r>
              <w:rPr>
                <w:color w:val="2D3748"/>
                <w:sz w:val="19"/>
              </w:rPr>
              <w:t>ta library</w:t>
            </w:r>
          </w:p>
        </w:tc>
        <w:tc>
          <w:tcPr>
            <w:tcW w:type="dxa" w:w="3117"/>
          </w:tcPr>
          <w:p>
            <w:r>
              <w:rPr>
                <w:color w:val="2D3748"/>
                <w:sz w:val="19"/>
              </w:rPr>
              <w:t>Custom feature engineering (RSI, MACD, BB, ATR indicators).</w:t>
            </w:r>
          </w:p>
        </w:tc>
      </w:tr>
      <w:tr>
        <w:tc>
          <w:tcPr>
            <w:tcW w:type="dxa" w:w="3117"/>
          </w:tcPr>
          <w:p>
            <w:r>
              <w:rPr>
                <w:color w:val="2D3748"/>
                <w:sz w:val="19"/>
              </w:rPr>
              <w:t>Vector database (RAG)</w:t>
            </w:r>
          </w:p>
        </w:tc>
        <w:tc>
          <w:tcPr>
            <w:tcW w:type="dxa" w:w="3117"/>
          </w:tcPr>
          <w:p>
            <w:r>
              <w:rPr>
                <w:color w:val="2D3748"/>
                <w:sz w:val="19"/>
              </w:rPr>
              <w:t>ChromaDB, SentenceTransformers</w:t>
            </w:r>
          </w:p>
        </w:tc>
        <w:tc>
          <w:tcPr>
            <w:tcW w:type="dxa" w:w="3117"/>
          </w:tcPr>
          <w:p>
            <w:r>
              <w:rPr>
                <w:color w:val="2D3748"/>
                <w:sz w:val="19"/>
              </w:rPr>
              <w:t>Storing and retrieving 1.7M+ historical market regime vectors via cosine similarity.</w:t>
            </w:r>
          </w:p>
        </w:tc>
      </w:tr>
      <w:tr>
        <w:tc>
          <w:tcPr>
            <w:tcW w:type="dxa" w:w="3117"/>
          </w:tcPr>
          <w:p>
            <w:r>
              <w:rPr>
                <w:color w:val="2D3748"/>
                <w:sz w:val="19"/>
              </w:rPr>
              <w:t>Machine Learning</w:t>
            </w:r>
          </w:p>
        </w:tc>
        <w:tc>
          <w:tcPr>
            <w:tcW w:type="dxa" w:w="3117"/>
          </w:tcPr>
          <w:p>
            <w:r>
              <w:rPr>
                <w:color w:val="2D3748"/>
                <w:sz w:val="19"/>
              </w:rPr>
              <w:t>XGBoost, Scikit-learn</w:t>
            </w:r>
          </w:p>
        </w:tc>
        <w:tc>
          <w:tcPr>
            <w:tcW w:type="dxa" w:w="3117"/>
          </w:tcPr>
          <w:p>
            <w:r>
              <w:rPr>
                <w:color w:val="2D3748"/>
                <w:sz w:val="19"/>
              </w:rPr>
              <w:t>Building and training Hist-based supervised classifier trees with Walk-Forward splits.</w:t>
            </w:r>
          </w:p>
        </w:tc>
      </w:tr>
      <w:tr>
        <w:tc>
          <w:tcPr>
            <w:tcW w:type="dxa" w:w="3117"/>
          </w:tcPr>
          <w:p>
            <w:r>
              <w:rPr>
                <w:color w:val="2D3748"/>
                <w:sz w:val="19"/>
              </w:rPr>
              <w:t>API Framework</w:t>
            </w:r>
          </w:p>
        </w:tc>
        <w:tc>
          <w:tcPr>
            <w:tcW w:type="dxa" w:w="3117"/>
          </w:tcPr>
          <w:p>
            <w:r>
              <w:rPr>
                <w:color w:val="2D3748"/>
                <w:sz w:val="19"/>
              </w:rPr>
              <w:t>FastAPI, Uvicorn, Pydantic</w:t>
            </w:r>
          </w:p>
        </w:tc>
        <w:tc>
          <w:tcPr>
            <w:tcW w:type="dxa" w:w="3117"/>
          </w:tcPr>
          <w:p>
            <w:r>
              <w:rPr>
                <w:color w:val="2D3748"/>
                <w:sz w:val="19"/>
              </w:rPr>
              <w:t>Sub-100ms prediction hosting, timezone auto-fix, and input model checks.</w:t>
            </w:r>
          </w:p>
        </w:tc>
      </w:tr>
      <w:tr>
        <w:tc>
          <w:tcPr>
            <w:tcW w:type="dxa" w:w="3117"/>
          </w:tcPr>
          <w:p>
            <w:r>
              <w:rPr>
                <w:color w:val="2D3748"/>
                <w:sz w:val="19"/>
              </w:rPr>
              <w:t>Dashboard GUI</w:t>
            </w:r>
          </w:p>
        </w:tc>
        <w:tc>
          <w:tcPr>
            <w:tcW w:type="dxa" w:w="3117"/>
          </w:tcPr>
          <w:p>
            <w:r>
              <w:rPr>
                <w:color w:val="2D3748"/>
                <w:sz w:val="19"/>
              </w:rPr>
              <w:t>Streamlit, Plotly</w:t>
            </w:r>
          </w:p>
        </w:tc>
        <w:tc>
          <w:tcPr>
            <w:tcW w:type="dxa" w:w="3117"/>
          </w:tcPr>
          <w:p>
            <w:r>
              <w:rPr>
                <w:color w:val="2D3748"/>
                <w:sz w:val="19"/>
              </w:rPr>
              <w:t>Interactive charting, system metrics monitor, and analogous past twin views.</w:t>
            </w:r>
          </w:p>
        </w:tc>
      </w:tr>
    </w:tbl>
    <w:p>
      <w:r>
        <w:br w:type="page"/>
      </w:r>
    </w:p>
    <w:p>
      <w:pPr>
        <w:keepNext/>
        <w:spacing w:before="240" w:after="120"/>
      </w:pPr>
      <w:r>
        <w:rPr>
          <w:rFonts w:ascii="Segoe UI" w:hAnsi="Segoe UI"/>
          <w:b/>
          <w:color w:val="1A365D"/>
          <w:sz w:val="36"/>
        </w:rPr>
        <w:t>9. Results and Snapshots</w:t>
      </w:r>
    </w:p>
    <w:p>
      <w:pPr>
        <w:spacing w:line="276" w:lineRule="auto" w:after="160"/>
      </w:pPr>
      <w:r>
        <w:rPr>
          <w:rFonts w:ascii="Segoe UI" w:hAnsi="Segoe UI"/>
          <w:i w:val="0"/>
          <w:color w:val="2D3748"/>
          <w:sz w:val="22"/>
        </w:rPr>
        <w:t>Model training on the final consolidated 1.7 million row dataset yielded highly robust validation results. To minimize false signals, we implemented a Confidence Filter. Rather than taking every trade, the system only logs a trade when the model probability exceeds a designated threshold. The validation metrics are shown in Table 9.1:</w:t>
      </w:r>
    </w:p>
    <w:tbl>
      <w:tblPr>
        <w:tblW w:type="auto" w:w="0"/>
        <w:tblLook w:firstColumn="1" w:firstRow="1" w:lastColumn="0" w:lastRow="0" w:noHBand="0" w:noVBand="1" w:val="04A0"/>
      </w:tblPr>
      <w:tblGrid>
        <w:gridCol w:w="3117"/>
        <w:gridCol w:w="3117"/>
        <w:gridCol w:w="3117"/>
      </w:tblGrid>
      <w:tr>
        <w:tc>
          <w:tcPr>
            <w:tcW w:type="dxa" w:w="3117"/>
            <w:shd w:fill="234E52"/>
          </w:tcPr>
          <w:p>
            <w:r>
              <w:rPr>
                <w:b/>
                <w:color w:val="FFFFFF"/>
                <w:sz w:val="20"/>
              </w:rPr>
              <w:t>Confidence Threshold</w:t>
            </w:r>
          </w:p>
        </w:tc>
        <w:tc>
          <w:tcPr>
            <w:tcW w:type="dxa" w:w="3117"/>
            <w:shd w:fill="234E52"/>
          </w:tcPr>
          <w:p>
            <w:r>
              <w:rPr>
                <w:b/>
                <w:color w:val="FFFFFF"/>
                <w:sz w:val="20"/>
              </w:rPr>
              <w:t>Directional Accuracy</w:t>
            </w:r>
          </w:p>
        </w:tc>
        <w:tc>
          <w:tcPr>
            <w:tcW w:type="dxa" w:w="3117"/>
            <w:shd w:fill="234E52"/>
          </w:tcPr>
          <w:p>
            <w:r>
              <w:rPr>
                <w:b/>
                <w:color w:val="FFFFFF"/>
                <w:sz w:val="20"/>
              </w:rPr>
              <w:t>Total Trades Logged (Test Set)</w:t>
            </w:r>
          </w:p>
        </w:tc>
      </w:tr>
      <w:tr>
        <w:tc>
          <w:tcPr>
            <w:tcW w:type="dxa" w:w="3117"/>
          </w:tcPr>
          <w:p>
            <w:r>
              <w:rPr>
                <w:color w:val="2D3748"/>
                <w:sz w:val="19"/>
              </w:rPr>
              <w:t>Standard (All Trades)</w:t>
            </w:r>
          </w:p>
        </w:tc>
        <w:tc>
          <w:tcPr>
            <w:tcW w:type="dxa" w:w="3117"/>
          </w:tcPr>
          <w:p>
            <w:r>
              <w:rPr>
                <w:color w:val="2D3748"/>
                <w:sz w:val="19"/>
              </w:rPr>
              <w:t>52.80%</w:t>
            </w:r>
          </w:p>
        </w:tc>
        <w:tc>
          <w:tcPr>
            <w:tcW w:type="dxa" w:w="3117"/>
          </w:tcPr>
          <w:p>
            <w:r>
              <w:rPr>
                <w:color w:val="2D3748"/>
                <w:sz w:val="19"/>
              </w:rPr>
              <w:t>336,147</w:t>
            </w:r>
          </w:p>
        </w:tc>
      </w:tr>
      <w:tr>
        <w:tc>
          <w:tcPr>
            <w:tcW w:type="dxa" w:w="3117"/>
          </w:tcPr>
          <w:p>
            <w:r>
              <w:rPr>
                <w:color w:val="2D3748"/>
                <w:sz w:val="19"/>
              </w:rPr>
              <w:t>55% Confidence</w:t>
            </w:r>
          </w:p>
        </w:tc>
        <w:tc>
          <w:tcPr>
            <w:tcW w:type="dxa" w:w="3117"/>
          </w:tcPr>
          <w:p>
            <w:r>
              <w:rPr>
                <w:color w:val="2D3748"/>
                <w:sz w:val="19"/>
              </w:rPr>
              <w:t>55.75%</w:t>
            </w:r>
          </w:p>
        </w:tc>
        <w:tc>
          <w:tcPr>
            <w:tcW w:type="dxa" w:w="3117"/>
          </w:tcPr>
          <w:p>
            <w:r>
              <w:rPr>
                <w:color w:val="2D3748"/>
                <w:sz w:val="19"/>
              </w:rPr>
              <w:t>132,805</w:t>
            </w:r>
          </w:p>
        </w:tc>
      </w:tr>
      <w:tr>
        <w:tc>
          <w:tcPr>
            <w:tcW w:type="dxa" w:w="3117"/>
          </w:tcPr>
          <w:p>
            <w:r>
              <w:rPr>
                <w:color w:val="2D3748"/>
                <w:sz w:val="19"/>
              </w:rPr>
              <w:t>60% Confidence</w:t>
            </w:r>
          </w:p>
        </w:tc>
        <w:tc>
          <w:tcPr>
            <w:tcW w:type="dxa" w:w="3117"/>
          </w:tcPr>
          <w:p>
            <w:r>
              <w:rPr>
                <w:color w:val="2D3748"/>
                <w:sz w:val="19"/>
              </w:rPr>
              <w:t>66.28%</w:t>
            </w:r>
          </w:p>
        </w:tc>
        <w:tc>
          <w:tcPr>
            <w:tcW w:type="dxa" w:w="3117"/>
          </w:tcPr>
          <w:p>
            <w:r>
              <w:rPr>
                <w:color w:val="2D3748"/>
                <w:sz w:val="19"/>
              </w:rPr>
              <w:t>26,488</w:t>
            </w:r>
          </w:p>
        </w:tc>
      </w:tr>
      <w:tr>
        <w:tc>
          <w:tcPr>
            <w:tcW w:type="dxa" w:w="3117"/>
          </w:tcPr>
          <w:p>
            <w:r>
              <w:rPr>
                <w:b/>
                <w:color w:val="2F855A"/>
                <w:sz w:val="19"/>
              </w:rPr>
              <w:t>65% Confidence</w:t>
            </w:r>
          </w:p>
        </w:tc>
        <w:tc>
          <w:tcPr>
            <w:tcW w:type="dxa" w:w="3117"/>
          </w:tcPr>
          <w:p>
            <w:r>
              <w:rPr>
                <w:b/>
                <w:color w:val="2F855A"/>
                <w:sz w:val="19"/>
              </w:rPr>
              <w:t>83.92%</w:t>
            </w:r>
          </w:p>
        </w:tc>
        <w:tc>
          <w:tcPr>
            <w:tcW w:type="dxa" w:w="3117"/>
          </w:tcPr>
          <w:p>
            <w:r>
              <w:rPr>
                <w:b/>
                <w:color w:val="2F855A"/>
                <w:sz w:val="19"/>
              </w:rPr>
              <w:t>10,589</w:t>
            </w:r>
          </w:p>
        </w:tc>
      </w:tr>
      <w:tr>
        <w:tc>
          <w:tcPr>
            <w:tcW w:type="dxa" w:w="3117"/>
          </w:tcPr>
          <w:p>
            <w:r>
              <w:rPr>
                <w:b/>
                <w:color w:val="2F855A"/>
                <w:sz w:val="19"/>
              </w:rPr>
              <w:t>70% Confidence</w:t>
            </w:r>
          </w:p>
        </w:tc>
        <w:tc>
          <w:tcPr>
            <w:tcW w:type="dxa" w:w="3117"/>
          </w:tcPr>
          <w:p>
            <w:r>
              <w:rPr>
                <w:b/>
                <w:color w:val="2F855A"/>
                <w:sz w:val="19"/>
              </w:rPr>
              <w:t>88.54%</w:t>
            </w:r>
          </w:p>
        </w:tc>
        <w:tc>
          <w:tcPr>
            <w:tcW w:type="dxa" w:w="3117"/>
          </w:tcPr>
          <w:p>
            <w:r>
              <w:rPr>
                <w:b/>
                <w:color w:val="2F855A"/>
                <w:sz w:val="19"/>
              </w:rPr>
              <w:t>8,462</w:t>
            </w:r>
          </w:p>
        </w:tc>
      </w:tr>
    </w:tbl>
    <w:p>
      <w:pPr>
        <w:spacing w:line="276" w:lineRule="auto" w:after="160"/>
      </w:pPr>
      <w:r>
        <w:rPr>
          <w:rFonts w:ascii="Segoe UI" w:hAnsi="Segoe UI"/>
          <w:b/>
          <w:color w:val="2D3748"/>
          <w:sz w:val="22"/>
        </w:rPr>
        <w:t xml:space="preserve">Key Finding on Confidence Filtering: </w:t>
      </w:r>
      <w:r>
        <w:rPr>
          <w:rFonts w:ascii="Segoe UI" w:hAnsi="Segoe UI"/>
          <w:i w:val="0"/>
          <w:color w:val="2D3748"/>
          <w:sz w:val="22"/>
        </w:rPr>
        <w:t>By enforcing a 65% confidence filter, we achieve a phenomenal 83.92% directional accuracy (over 10,589 trades on the test set), which is extremely high in high-frequency trading. Feature importance calculations revealed that the top technical factors determining gold spot movements are:</w:t>
      </w:r>
    </w:p>
    <w:p>
      <w:pPr>
        <w:spacing w:line="276" w:lineRule="auto" w:after="160"/>
      </w:pPr>
      <w:r>
        <w:rPr>
          <w:rFonts w:ascii="Segoe UI" w:hAnsi="Segoe UI"/>
          <w:i w:val="0"/>
          <w:color w:val="2D3748"/>
          <w:sz w:val="22"/>
        </w:rPr>
        <w:t>Bollinger Band Position (bb_position at 12.82% importance): Captures if gold is overbought/oversold relative to recent volatility ranges.</w:t>
      </w:r>
    </w:p>
    <w:p>
      <w:pPr>
        <w:spacing w:line="276" w:lineRule="auto" w:after="160"/>
      </w:pPr>
      <w:r>
        <w:rPr>
          <w:rFonts w:ascii="Segoe UI" w:hAnsi="Segoe UI"/>
          <w:i w:val="0"/>
          <w:color w:val="2D3748"/>
          <w:sz w:val="22"/>
        </w:rPr>
        <w:t>Price Returns (returns at 12.35% importance): Represents the immediate momentum vector.</w:t>
      </w:r>
    </w:p>
    <w:p>
      <w:pPr>
        <w:spacing w:line="276" w:lineRule="auto" w:after="160"/>
      </w:pPr>
      <w:r>
        <w:rPr>
          <w:rFonts w:ascii="Segoe UI" w:hAnsi="Segoe UI"/>
          <w:i w:val="0"/>
          <w:color w:val="2D3748"/>
          <w:sz w:val="22"/>
        </w:rPr>
        <w:t>Upper Wick Ratio (upper_wick_ratio at 8.82% importance) &amp; Body Ratio (body_ratio at 8.64% importance): Represents liquidity wicks and sell pressure geometry.</w:t>
      </w:r>
    </w:p>
    <w:p>
      <w:pPr>
        <w:spacing w:line="276" w:lineRule="auto" w:after="160"/>
      </w:pPr>
      <w:r>
        <w:rPr>
          <w:rFonts w:ascii="Segoe UI" w:hAnsi="Segoe UI"/>
          <w:b/>
          <w:color w:val="2D3748"/>
          <w:sz w:val="22"/>
        </w:rPr>
        <w:t xml:space="preserve">Computational Efficiency: </w:t>
      </w:r>
      <w:r>
        <w:rPr>
          <w:rFonts w:ascii="Segoe UI" w:hAnsi="Segoe UI"/>
          <w:i w:val="0"/>
          <w:color w:val="2D3748"/>
          <w:sz w:val="22"/>
        </w:rPr>
        <w:t>The model training time took exactly 0.70 minutes on the dataset, demonstrating the high performance and computational scaling of XGBoost's hist-based tree splits.</w:t>
      </w:r>
    </w:p>
    <w:p>
      <w:r>
        <w:br w:type="page"/>
      </w:r>
    </w:p>
    <w:p>
      <w:pPr>
        <w:keepNext/>
        <w:spacing w:before="240" w:after="120"/>
      </w:pPr>
      <w:r>
        <w:rPr>
          <w:rFonts w:ascii="Segoe UI" w:hAnsi="Segoe UI"/>
          <w:b/>
          <w:color w:val="1A365D"/>
          <w:sz w:val="36"/>
        </w:rPr>
        <w:t>10. Applications</w:t>
      </w:r>
    </w:p>
    <w:p>
      <w:pPr>
        <w:spacing w:line="276" w:lineRule="auto" w:after="160"/>
      </w:pPr>
      <w:r>
        <w:rPr>
          <w:rFonts w:ascii="Segoe UI" w:hAnsi="Segoe UI"/>
          <w:i w:val="0"/>
          <w:color w:val="2D3748"/>
          <w:sz w:val="22"/>
        </w:rPr>
        <w:t>The hybrid XAUUSD Predictor system has major applications in quantitative and algorithmic trading environments:</w:t>
      </w:r>
    </w:p>
    <w:p>
      <w:pPr>
        <w:spacing w:line="276" w:lineRule="auto" w:after="160"/>
      </w:pPr>
      <w:r>
        <w:rPr>
          <w:rFonts w:ascii="Segoe UI" w:hAnsi="Segoe UI"/>
          <w:b/>
          <w:color w:val="2D3748"/>
          <w:sz w:val="22"/>
        </w:rPr>
        <w:t xml:space="preserve">1. Automated Trading Execution: </w:t>
      </w:r>
      <w:r>
        <w:rPr>
          <w:rFonts w:ascii="Segoe UI" w:hAnsi="Segoe UI"/>
          <w:i w:val="0"/>
          <w:color w:val="2D3748"/>
          <w:sz w:val="22"/>
        </w:rPr>
        <w:t>The FastAPI `/predict` endpoint can connect to MetaTrader 5 (MT5), cTrader, or Interactive Brokers scripts, executing trades automatically based on confidence signals.</w:t>
      </w:r>
    </w:p>
    <w:p>
      <w:pPr>
        <w:spacing w:line="276" w:lineRule="auto" w:after="160"/>
      </w:pPr>
      <w:r>
        <w:rPr>
          <w:rFonts w:ascii="Segoe UI" w:hAnsi="Segoe UI"/>
          <w:b/>
          <w:color w:val="2D3748"/>
          <w:sz w:val="22"/>
        </w:rPr>
        <w:t xml:space="preserve">2. Risk Management &amp; Regime Analysis: </w:t>
      </w:r>
      <w:r>
        <w:rPr>
          <w:rFonts w:ascii="Segoe UI" w:hAnsi="Segoe UI"/>
          <w:i w:val="0"/>
          <w:color w:val="2D3748"/>
          <w:sz w:val="22"/>
        </w:rPr>
        <w:t>By identifying matching historical twins, portfolio managers can analyze how the market responded under similar past conditions, setting smarter stop-losses and take-profits.</w:t>
      </w:r>
    </w:p>
    <w:p>
      <w:pPr>
        <w:spacing w:line="276" w:lineRule="auto" w:after="160"/>
      </w:pPr>
      <w:r>
        <w:rPr>
          <w:rFonts w:ascii="Segoe UI" w:hAnsi="Segoe UI"/>
          <w:b/>
          <w:color w:val="2D3748"/>
          <w:sz w:val="22"/>
        </w:rPr>
        <w:t xml:space="preserve">3. Decision-Support for Manual Day Traders: </w:t>
      </w:r>
      <w:r>
        <w:rPr>
          <w:rFonts w:ascii="Segoe UI" w:hAnsi="Segoe UI"/>
          <w:i w:val="0"/>
          <w:color w:val="2D3748"/>
          <w:sz w:val="22"/>
        </w:rPr>
        <w:t>The Streamlit dashboard serves as a support tool for day traders, explaining the AI's predictions with transparent historical lookups.</w:t>
      </w:r>
    </w:p>
    <w:p>
      <w:pPr>
        <w:spacing w:line="276" w:lineRule="auto" w:after="160"/>
      </w:pPr>
      <w:r>
        <w:rPr>
          <w:rFonts w:ascii="Segoe UI" w:hAnsi="Segoe UI"/>
          <w:b/>
          <w:color w:val="2D3748"/>
          <w:sz w:val="22"/>
        </w:rPr>
        <w:t xml:space="preserve">4. Academic and Quantitative Research: </w:t>
      </w:r>
      <w:r>
        <w:rPr>
          <w:rFonts w:ascii="Segoe UI" w:hAnsi="Segoe UI"/>
          <w:i w:val="0"/>
          <w:color w:val="2D3748"/>
          <w:sz w:val="22"/>
        </w:rPr>
        <w:t>It serves as an excellent reference architecture for academic researchers looking to study the combination of NLP embeddings (RAG) and tabular classification (GBDTs) in non-stationary financial markets.</w:t>
      </w:r>
    </w:p>
    <w:p>
      <w:r>
        <w:br w:type="page"/>
      </w:r>
    </w:p>
    <w:p>
      <w:pPr>
        <w:keepNext/>
        <w:spacing w:before="240" w:after="120"/>
      </w:pPr>
      <w:r>
        <w:rPr>
          <w:rFonts w:ascii="Segoe UI" w:hAnsi="Segoe UI"/>
          <w:b/>
          <w:color w:val="1A365D"/>
          <w:sz w:val="36"/>
        </w:rPr>
        <w:t>12. Mind Map</w:t>
      </w:r>
    </w:p>
    <w:p>
      <w:pPr>
        <w:spacing w:line="276" w:lineRule="auto" w:after="160"/>
      </w:pPr>
      <w:r>
        <w:rPr>
          <w:rFonts w:ascii="Segoe UI" w:hAnsi="Segoe UI"/>
          <w:i w:val="0"/>
          <w:color w:val="2D3748"/>
          <w:sz w:val="22"/>
        </w:rPr>
        <w:t>The Concept Mind Map below details the entire technological layout of the system, outlining the linkages between the core components of the RAG engine and XGBoost model:</w:t>
      </w:r>
    </w:p>
    <w:p>
      <w:r>
        <w:drawing>
          <wp:inline>
            <wp:extent cx="5486400" cy="3295535"/>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295535"/>
                    </a:xfrm>
                    <a:prstGeom prst="rect"/>
                  </pic:spPr>
                </pic:pic>
              </a:graphicData>
            </a:graphic>
          </wp:inline>
        </w:drawing>
      </w:r>
    </w:p>
    <w:p>
      <w:pPr>
        <w:jc w:val="center"/>
      </w:pPr>
      <w:r>
        <w:rPr>
          <w:i/>
          <w:sz w:val="20"/>
        </w:rPr>
        <w:t>Figure 12.1: XAUUSD Predictor System Mind Map</w:t>
      </w:r>
    </w:p>
    <w:p>
      <w:r>
        <w:br w:type="page"/>
      </w:r>
    </w:p>
    <w:p>
      <w:pPr>
        <w:keepNext/>
        <w:spacing w:before="240" w:after="120"/>
      </w:pPr>
      <w:r>
        <w:rPr>
          <w:rFonts w:ascii="Segoe UI" w:hAnsi="Segoe UI"/>
          <w:b/>
          <w:color w:val="1A365D"/>
          <w:sz w:val="36"/>
        </w:rPr>
        <w:t>11. GitHub Repository Link</w:t>
      </w:r>
    </w:p>
    <w:p>
      <w:pPr>
        <w:spacing w:line="276" w:lineRule="auto" w:after="160"/>
      </w:pPr>
      <w:r>
        <w:rPr>
          <w:rFonts w:ascii="Segoe UI" w:hAnsi="Segoe UI"/>
          <w:i w:val="0"/>
          <w:color w:val="2D3748"/>
          <w:sz w:val="22"/>
        </w:rPr>
        <w:t>The complete source code, deployment scripts, data pipeline, and system documentation are fully open-sourced. The project repository can be accessed via the following link:</w:t>
      </w:r>
    </w:p>
    <w:p>
      <w:pPr>
        <w:spacing w:before="240" w:after="240"/>
        <w:ind w:left="720" w:right="720"/>
      </w:pPr>
      <w:r>
        <w:rPr>
          <w:rFonts w:ascii="Segoe UI" w:hAnsi="Segoe UI"/>
          <w:b/>
          <w:color w:val="1A365D"/>
          <w:sz w:val="22"/>
        </w:rPr>
        <w:t xml:space="preserve">🔗 GitHub Repository: </w:t>
      </w:r>
      <w:r>
        <w:rPr>
          <w:rFonts w:ascii="Segoe UI" w:hAnsi="Segoe UI"/>
          <w:b/>
          <w:color w:val="3182CE"/>
          <w:sz w:val="22"/>
          <w:u w:val="single"/>
        </w:rPr>
        <w:t>https://github.com/Aditya-2JR23CI001/XAUUSD-RAG-Predictor</w:t>
      </w:r>
    </w:p>
    <w:p>
      <w:pPr>
        <w:spacing w:line="276" w:lineRule="auto" w:after="160"/>
      </w:pPr>
      <w:r>
        <w:rPr>
          <w:rFonts w:ascii="Segoe UI" w:hAnsi="Segoe UI"/>
          <w:i w:val="0"/>
          <w:color w:val="2D3748"/>
          <w:sz w:val="22"/>
        </w:rPr>
        <w:t>The repository contains step-by-step setup guides, central Pydantic configurations (config.py), the 3-shard pipeline build commands, and details to deploy the docker container services locally or via cloud clusters.</w:t>
      </w:r>
    </w:p>
    <w:p>
      <w:r>
        <w:br w:type="page"/>
      </w:r>
    </w:p>
    <w:p>
      <w:pPr>
        <w:keepNext/>
        <w:spacing w:before="240" w:after="120"/>
      </w:pPr>
      <w:r>
        <w:rPr>
          <w:rFonts w:ascii="Segoe UI" w:hAnsi="Segoe UI"/>
          <w:b/>
          <w:color w:val="1A365D"/>
          <w:sz w:val="36"/>
        </w:rPr>
        <w:t>13. Conclusion</w:t>
      </w:r>
    </w:p>
    <w:p>
      <w:pPr>
        <w:spacing w:line="276" w:lineRule="auto" w:after="160"/>
      </w:pPr>
      <w:r>
        <w:rPr>
          <w:rFonts w:ascii="Segoe UI" w:hAnsi="Segoe UI"/>
          <w:i w:val="0"/>
          <w:color w:val="2D3748"/>
          <w:sz w:val="22"/>
        </w:rPr>
        <w:t>The XAUUSD RAG Predictor demonstrates a successful and innovative convergence of modern supervised machine learning and NLP vector-similarity technologies. By combining the predictive performance of a walk-forward trained XGBoost classifier with a sharded 'Market Memory' ChromaDB database, the system successfully tackles high-frequency market noise. It overcomes local hardware limits (OOM and CPU/GPU thermal safety) via dynamic database sharding and PyTorch thread limiting.</w:t>
      </w:r>
    </w:p>
    <w:p>
      <w:pPr>
        <w:spacing w:line="276" w:lineRule="auto" w:after="160"/>
      </w:pPr>
      <w:r>
        <w:rPr>
          <w:rFonts w:ascii="Segoe UI" w:hAnsi="Segoe UI"/>
          <w:i w:val="0"/>
          <w:color w:val="2D3748"/>
          <w:sz w:val="22"/>
        </w:rPr>
        <w:t>Our findings highlight the immense value of confidence filtering: isolating signals to periods of &gt;65% model probability allows the system to achieve an exceptional 83.92% prediction accuracy, which is considered state-of-the-art for high-frequency quantitative commodities trading. The system is fully robust, timezone-resilient, explainable by design, and packaged for immediate production deployment via FastAPI and Streamlit.</w:t>
      </w:r>
    </w:p>
    <w:p>
      <w:pPr>
        <w:spacing w:line="276" w:lineRule="auto" w:after="160"/>
      </w:pPr>
      <w:r>
        <w:rPr>
          <w:rFonts w:ascii="Segoe UI" w:hAnsi="Segoe UI"/>
          <w:b/>
          <w:color w:val="2D3748"/>
          <w:sz w:val="22"/>
        </w:rPr>
        <w:t xml:space="preserve">Future Scope: </w:t>
      </w:r>
      <w:r>
        <w:rPr>
          <w:rFonts w:ascii="Segoe UI" w:hAnsi="Segoe UI"/>
          <w:i w:val="0"/>
          <w:color w:val="2D3748"/>
          <w:sz w:val="22"/>
        </w:rPr>
        <w:t>Future improvements will focus on integrating live macroeconomic news sentiment (from Federal Reserve and inflation data), fully eliminating lookahead bias from standard features, and writing broker API bridges for fully automated execution.</w:t>
      </w:r>
    </w:p>
    <w:sectPr>
      <w:pgSz w:w="11900" w:h="16820"/>
      <w:pgMar w:header="708" w:footer="979" w:top="1940" w:bottom="11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80832">
              <wp:simplePos x="0" y="0"/>
              <wp:positionH relativeFrom="page">
                <wp:posOffset>6537004</wp:posOffset>
              </wp:positionH>
              <wp:positionV relativeFrom="page">
                <wp:posOffset>9919617</wp:posOffset>
              </wp:positionV>
              <wp:extent cx="160020" cy="1651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5100"/>
                      </a:xfrm>
                      <a:prstGeom prst="rect">
                        <a:avLst/>
                      </a:prstGeom>
                    </wps:spPr>
                    <wps:txbx>
                      <w:txbxContent>
                        <w:p>
                          <w:pPr>
                            <w:spacing w:line="244" w:lineRule="exact" w:before="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724792pt;margin-top:781.072266pt;width:12.6pt;height:13pt;mso-position-horizontal-relative:page;mso-position-vertical-relative:page;z-index:-15835648" type="#_x0000_t202" id="docshape1" filled="false" stroked="false">
              <v:textbox inset="0,0,0,0">
                <w:txbxContent>
                  <w:p>
                    <w:pPr>
                      <w:spacing w:line="244" w:lineRule="exact" w:before="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w:drawing>
        <wp:anchor distT="0" distB="0" distL="0" distR="0" allowOverlap="1" layoutInCell="1" locked="0" behindDoc="1" simplePos="0" relativeHeight="487480320">
          <wp:simplePos x="0" y="0"/>
          <wp:positionH relativeFrom="page">
            <wp:posOffset>985628</wp:posOffset>
          </wp:positionH>
          <wp:positionV relativeFrom="page">
            <wp:posOffset>449580</wp:posOffset>
          </wp:positionV>
          <wp:extent cx="1009859" cy="50821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009859" cy="508219"/>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b/>
      <w:bCs/>
      <w:sz w:val="24"/>
      <w:szCs w:val="24"/>
      <w:lang w:val="en-US" w:eastAsia="en-US" w:bidi="ar-SA"/>
    </w:rPr>
  </w:style>
  <w:style w:styleId="Title" w:type="paragraph">
    <w:name w:val="Title"/>
    <w:basedOn w:val="Normal"/>
    <w:uiPriority w:val="1"/>
    <w:qFormat/>
    <w:pPr>
      <w:ind w:left="668"/>
    </w:pPr>
    <w:rPr>
      <w:rFonts w:ascii="Calibri" w:hAnsi="Calibri" w:eastAsia="Calibri" w:cs="Calibri"/>
      <w:b/>
      <w:bCs/>
      <w:sz w:val="68"/>
      <w:szCs w:val="6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5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2026-05-17T16:12:51Z</dcterms:created>
  <dcterms:modified xsi:type="dcterms:W3CDTF">2026-05-17T16:12:51Z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Producer">
    <vt:lpwstr>Skia/PDF m150 Google Apps Renderer</vt:lpwstr>
  </property>
  <property fmtid="{D5CDD505-2E9C-101B-9397-08002B2CF9AE}" pid="4" name="LastSaved">
    <vt:filetime>2026-05-17T00:00:00Z</vt:filetime>
  </property>
</Properties>
</file>