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left"/>
        <w:rPr>
          <w:b w:val="1"/>
          <w:sz w:val="46"/>
          <w:szCs w:val="46"/>
        </w:rPr>
      </w:pPr>
      <w:bookmarkStart w:colFirst="0" w:colLast="0" w:name="_rbj7g14ty1vd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1757363</wp:posOffset>
            </wp:positionH>
            <wp:positionV relativeFrom="paragraph">
              <wp:posOffset>114300</wp:posOffset>
            </wp:positionV>
            <wp:extent cx="2424113" cy="3575566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575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t9nva2vv4bke" w:id="1"/>
      <w:bookmarkEnd w:id="1"/>
      <w:r w:rsidDel="00000000" w:rsidR="00000000" w:rsidRPr="00000000">
        <w:rPr>
          <w:rtl w:val="0"/>
        </w:rPr>
        <w:t xml:space="preserve">PKDD'99</w:t>
      </w:r>
      <w:r w:rsidDel="00000000" w:rsidR="00000000" w:rsidRPr="00000000">
        <w:rPr>
          <w:rtl w:val="0"/>
        </w:rPr>
        <w:t xml:space="preserve"> Discovery Challenge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qgy16tjudsdv" w:id="2"/>
      <w:bookmarkEnd w:id="2"/>
      <w:r w:rsidDel="00000000" w:rsidR="00000000" w:rsidRPr="00000000">
        <w:rPr>
          <w:rtl w:val="0"/>
        </w:rPr>
        <w:t xml:space="preserve">Курсова работа по “Складове от данни и бизнес анализ”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uvtb6xdtzea5" w:id="3"/>
      <w:bookmarkEnd w:id="3"/>
      <w:r w:rsidDel="00000000" w:rsidR="00000000" w:rsidRPr="00000000">
        <w:rPr>
          <w:rtl w:val="0"/>
        </w:rPr>
        <w:t xml:space="preserve">Зимен семестър, 2022 /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58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Изготвено от:</w:t>
            </w:r>
          </w:p>
          <w:p w:rsidR="00000000" w:rsidDel="00000000" w:rsidP="00000000" w:rsidRDefault="00000000" w:rsidRPr="00000000" w14:paraId="00000008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Мирослав Дионисиев, 62390</w:t>
            </w:r>
          </w:p>
          <w:p w:rsidR="00000000" w:rsidDel="00000000" w:rsidP="00000000" w:rsidRDefault="00000000" w:rsidRPr="00000000" w14:paraId="00000009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Надежда Францева, 62391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Павел Сарлов, 62393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Преподавател: Тодор Кичуков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jc w:val="left"/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wv0c7k8rk1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Описание на задачата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_qwv0c7k8rk1k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tr3gvgcbtqs6">
            <w:r w:rsidDel="00000000" w:rsidR="00000000" w:rsidRPr="00000000">
              <w:rPr>
                <w:b w:val="1"/>
                <w:rtl w:val="0"/>
              </w:rPr>
              <w:t xml:space="preserve">2. Обосновка на избрания подход за изграждане на DWH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_tr3gvgcbtqs6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m4qtx4fii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на ETL процеса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_gxm4qtx4fiiz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faxrbmah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Модел на входните данни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_aqfaxrbmah6f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kojk1jm29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Staging модел на данните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_ukojk1jm29uy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wm1mz7ik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Data Vault модел на данните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_rmwm1mz7ik92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6susy5bw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Дименсионен модел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_3v6susy5bwsu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u3t818g1i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Полезни доклади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_r2u3t818g1i2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/>
          </w:pPr>
          <w:hyperlink w:anchor="_kgxo1cv8e35u">
            <w:r w:rsidDel="00000000" w:rsidR="00000000" w:rsidRPr="00000000">
              <w:rPr>
                <w:b w:val="1"/>
                <w:rtl w:val="0"/>
              </w:rPr>
              <w:t xml:space="preserve">9. Използвани софтуерни инструменти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_kgxo1cv8e35u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1440" w:firstLine="0"/>
        <w:rPr/>
      </w:pPr>
      <w:bookmarkStart w:colFirst="0" w:colLast="0" w:name="_iqawhp65hdk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6"/>
        </w:numPr>
        <w:ind w:left="720" w:hanging="360"/>
        <w:jc w:val="center"/>
        <w:rPr/>
      </w:pPr>
      <w:bookmarkStart w:colFirst="0" w:colLast="0" w:name="_qwv0c7k8rk1k" w:id="5"/>
      <w:bookmarkEnd w:id="5"/>
      <w:r w:rsidDel="00000000" w:rsidR="00000000" w:rsidRPr="00000000">
        <w:rPr>
          <w:rtl w:val="0"/>
        </w:rPr>
        <w:t xml:space="preserve">Описание на задачата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Имало едно време банка, предлагаща услуги. Сред тях: управление на акаунт, предлагане на заеми и т.н. Гореспоменатата банка се стреми да подобри своите услуги, като прави разлика между потенциално „добри“ и „лоши“ клиенти. Банковите мениджъри имат само бегли идеи за това на кого биха искали да предложат някои допълнителни услуги и кого да наблюдавате внимателно, за да опитат и минимизират риска и впоследствие - банковите загуби. За щастие банката съхранява данни за своите клиенти, техните сметки, извършените транзакции, отпуснатите заеми и издадените кредитни карти. Така че банковите мениджъри се надяват, че има начин, по който биха могли да се възползват от данните и да извлекат някои важни прозрения.</w:t>
      </w:r>
    </w:p>
    <w:p w:rsidR="00000000" w:rsidDel="00000000" w:rsidP="00000000" w:rsidRDefault="00000000" w:rsidRPr="00000000" w14:paraId="0000001B">
      <w:pPr>
        <w:spacing w:after="120" w:before="120" w:lineRule="auto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Описание на данните: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account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(4500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ACCOUNT.ASC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описва статичните характеристики на акаунта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(5369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CLIENT.ASC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описва характеристиките на клиента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disposition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(5369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DISP.ASC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свързва клиент с акаунт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permanent_order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(6471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ORDER.ASC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описва характеристиките на платежно нареждане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transaction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(1056320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TRANS.ASC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описва една транзакция на един акаунт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loan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(682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LOAN.ASC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описва заем, предоставен за дадената сметка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credit_card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(892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CARD.ASC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описва кредитна карта, издадена към сметката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релация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demographic_data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(77 кортежа във файла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DISTRICT.ASC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всеки запис описва демографските характеристики на областта</w:t>
      </w:r>
    </w:p>
    <w:p w:rsidR="00000000" w:rsidDel="00000000" w:rsidP="00000000" w:rsidRDefault="00000000" w:rsidRPr="00000000" w14:paraId="00000024">
      <w:pPr>
        <w:spacing w:after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Всеки акаунт има както статични характеристики (напр. дата на създаване, адрес на клона) в релацията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account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така и динамични характеристики (напр. плащания, салдота) в релациите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permanent_order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transaction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Релацията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описва характеристиките на хората, които могат да боравят с акаунтите. Всеки клиент може да има няколко акаунта, няколко клиента могат да менажират един акаунт. Клиентите и акаунтите са свързани чрез релацията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disposition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Релациите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loan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credit_card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описват някои от услугите, които банката предлага на клиентите си. Към един акаунт могат да бъдат издадени няколко кредитни карти, но максимум един заем може да се асоциира с акаунт. Релацията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demographic_data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дава публично достъпни данни за регионите (напр. процент на безработица), които могат да послужат като допълнителна информация за клиентите.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firstLine="0"/>
        <w:jc w:val="left"/>
        <w:rPr/>
      </w:pPr>
      <w:bookmarkStart w:colFirst="0" w:colLast="0" w:name="_c2j6cvp707b7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center"/>
      </w:pPr>
      <w:bookmarkStart w:colFirst="0" w:colLast="0" w:name="_tr3gvgcbtqs6" w:id="7"/>
      <w:bookmarkEnd w:id="7"/>
      <w:r w:rsidDel="00000000" w:rsidR="00000000" w:rsidRPr="00000000">
        <w:rPr>
          <w:sz w:val="40"/>
          <w:szCs w:val="40"/>
          <w:rtl w:val="0"/>
        </w:rPr>
        <w:t xml:space="preserve">Обосновка на избрания подход за изграждане на DWH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реализация на текущата задача екипът ни се спря на хибридния подход на Дан Линстед.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Vault</w:t>
      </w:r>
      <w:r w:rsidDel="00000000" w:rsidR="00000000" w:rsidRPr="00000000">
        <w:rPr>
          <w:sz w:val="24"/>
          <w:szCs w:val="24"/>
          <w:rtl w:val="0"/>
        </w:rPr>
        <w:t xml:space="preserve"> моделът осигурява баланс между нуждата за зареждане на данните в реално време и пълната им интеграция в складът за данни. Също така е доста гъвкав и следователно подходящ за системи с променливи бизнес изисквания. Този модел е много стабилен във времето заради своята разделена структура и съдържание. Също така е мащабируемо решение, като позволява бързо интегриране на данните на различни платформи. Самият модел реагира добре на нови предметни области. Така може да се разширява и да се адаптира с минимално въздействие.</w:t>
      </w:r>
    </w:p>
    <w:p w:rsidR="00000000" w:rsidDel="00000000" w:rsidP="00000000" w:rsidRDefault="00000000" w:rsidRPr="00000000" w14:paraId="00000028">
      <w:pPr>
        <w:spacing w:after="12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текущата задача имаме само един единствен източник на данни, т.е. данните са предвидими и с ограничен обхват. Също така, предимствата на зареждането на данните в реално време и тяхната проследимост за текущата задача са малко излишни, но в случая на подобна система от реалността тези черти на склада от данни биха били от най-голямо значение, имайки предвид, че боравим с транзакции.</w:t>
      </w:r>
    </w:p>
    <w:p w:rsidR="00000000" w:rsidDel="00000000" w:rsidP="00000000" w:rsidRDefault="00000000" w:rsidRPr="00000000" w14:paraId="0000002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1440" w:right="0" w:firstLine="0"/>
        <w:jc w:val="left"/>
        <w:rPr/>
      </w:pPr>
      <w:bookmarkStart w:colFirst="0" w:colLast="0" w:name="_apgu1fadgsq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center"/>
      </w:pPr>
      <w:bookmarkStart w:colFirst="0" w:colLast="0" w:name="_gxm4qtx4fiiz" w:id="9"/>
      <w:bookmarkEnd w:id="9"/>
      <w:r w:rsidDel="00000000" w:rsidR="00000000" w:rsidRPr="00000000">
        <w:rPr>
          <w:rtl w:val="0"/>
        </w:rPr>
        <w:t xml:space="preserve">Описание на ETL процеса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CBS (Core banking system)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е единственият източник на данни в съответствие с целите на проекта. Данните в базата са заредени от предоставените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файлове. Всички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ETL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процеси се изпълняват веднъж (с други думи, данните се качват / актуализират само веднъж, а не ежедневно / седмично / месечно, както се случва в действителност).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CBS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до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 (Staging Area)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всички записи от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CBS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таблиците се вмъкват в съответните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таблици. Датата на изпълнение на заявката се добавя като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staged_at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във всяка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таблица. Процеса на зареждане на данните в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е осъществен чрез изпълнение на заявки, които извличат нужните данни  от source базата и ги записват в съответните таблици в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до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DV (Data Vault)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за всяка от същностите в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се създава хъб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Hub)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държащ сурогатен ключ 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генериран спрямо брояч на постъпилите в таблицата кортежи, дата на зареждане на кортежа 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loaded_at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източник на постъпилите данни 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и бизнес ключа на самите данни (&lt;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*&gt;_id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Всеки хъб си има съответен сателит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Satellite)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който се свързва към хъба посредством външен ключ и включва характеристичните данни за съответната същност, както и споменатите дата и източник. Хъбовете са свързани посредством линкове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Link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които отново съдържат сурогатен ключ, дата и източник. Всеки линк представлява част от бизнес логиката на системата. Отделно има и референтни таблици, които съдържат фактологични данни. Те съдържат сурогатен ключ и съответстващите им данни.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до дименсионен модел - преминаването от хъбове, линкове и сателити към дименсии и факти е доста праволинеен - хъбовете и съответните им сателити стават дименсии, а линковете и съответните им сателите стават факти. В случая нашите линкове нямат сателити. Референтните таблици по принцип също се превръщат в дименсии, но за текущата задача решихме те да присъстват като колони в дименсиите, които ги използват. Това се прави с цел да не се губят кортежи, при които липсва съответната референция.</w:t>
      </w:r>
    </w:p>
    <w:p w:rsidR="00000000" w:rsidDel="00000000" w:rsidP="00000000" w:rsidRDefault="00000000" w:rsidRPr="00000000" w14:paraId="0000002F">
      <w:pPr>
        <w:spacing w:after="120" w:before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Заявките за целия процес по създаването на базите, ETL процеса и извличането на докладите по-надолу, са в папката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scripts/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Файловете за самите модели са в папката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models/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center"/>
        <w:rPr>
          <w:sz w:val="40"/>
          <w:szCs w:val="40"/>
          <w:u w:val="none"/>
        </w:rPr>
      </w:pPr>
      <w:bookmarkStart w:colFirst="0" w:colLast="0" w:name="_aqfaxrbmah6f" w:id="10"/>
      <w:bookmarkEnd w:id="10"/>
      <w:r w:rsidDel="00000000" w:rsidR="00000000" w:rsidRPr="00000000">
        <w:rPr>
          <w:sz w:val="40"/>
          <w:szCs w:val="40"/>
          <w:rtl w:val="0"/>
        </w:rPr>
        <w:t xml:space="preserve">Модел на входните данни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1440" w:right="0" w:firstLine="0"/>
        <w:jc w:val="left"/>
        <w:rPr/>
      </w:pPr>
      <w:bookmarkStart w:colFirst="0" w:colLast="0" w:name="_wtexy3bdwzfu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178464</wp:posOffset>
                </wp:positionV>
                <wp:extent cx="5943600" cy="6011624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7325" y="132925"/>
                          <a:ext cx="5943600" cy="6011624"/>
                          <a:chOff x="1557325" y="132925"/>
                          <a:chExt cx="6638950" cy="6715275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19244" r="32" t="0"/>
                          <a:stretch/>
                        </pic:blipFill>
                        <pic:spPr>
                          <a:xfrm>
                            <a:off x="1557338" y="132925"/>
                            <a:ext cx="6638925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" name="Shape 7"/>
                        <wps:spPr>
                          <a:xfrm>
                            <a:off x="3367050" y="6448000"/>
                            <a:ext cx="30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Фигура 1: Модел на източника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178464</wp:posOffset>
                </wp:positionV>
                <wp:extent cx="5943600" cy="6011624"/>
                <wp:effectExtent b="0" l="0" r="0" t="0"/>
                <wp:wrapTopAndBottom distB="114300" distT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011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center"/>
        <w:rPr>
          <w:sz w:val="40"/>
          <w:szCs w:val="40"/>
          <w:u w:val="none"/>
        </w:rPr>
      </w:pPr>
      <w:bookmarkStart w:colFirst="0" w:colLast="0" w:name="_ukojk1jm29uy" w:id="12"/>
      <w:bookmarkEnd w:id="12"/>
      <w:r w:rsidDel="00000000" w:rsidR="00000000" w:rsidRPr="00000000">
        <w:rPr>
          <w:sz w:val="40"/>
          <w:szCs w:val="40"/>
          <w:rtl w:val="0"/>
        </w:rPr>
        <w:t xml:space="preserve">Staging модел на данните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модела на </w:t>
      </w:r>
      <w:r w:rsidDel="00000000" w:rsidR="00000000" w:rsidRPr="00000000">
        <w:rPr>
          <w:i w:val="1"/>
          <w:sz w:val="24"/>
          <w:szCs w:val="24"/>
          <w:rtl w:val="0"/>
        </w:rPr>
        <w:t xml:space="preserve">SA</w:t>
      </w:r>
      <w:r w:rsidDel="00000000" w:rsidR="00000000" w:rsidRPr="00000000">
        <w:rPr>
          <w:sz w:val="24"/>
          <w:szCs w:val="24"/>
          <w:rtl w:val="0"/>
        </w:rPr>
        <w:t xml:space="preserve"> сме въвели следните промени в сравнение с модела </w:t>
      </w:r>
      <w:r w:rsidDel="00000000" w:rsidR="00000000" w:rsidRPr="00000000">
        <w:rPr>
          <w:i w:val="1"/>
          <w:sz w:val="24"/>
          <w:szCs w:val="24"/>
          <w:rtl w:val="0"/>
        </w:rPr>
        <w:t xml:space="preserve">CBS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12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Таблиците вече не са свързани една с друга.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Няма ограничения в таблиците (с изключение на </w:t>
      </w:r>
      <w:r w:rsidDel="00000000" w:rsidR="00000000" w:rsidRPr="00000000">
        <w:rPr>
          <w:i w:val="1"/>
          <w:sz w:val="24"/>
          <w:szCs w:val="24"/>
          <w:rtl w:val="0"/>
        </w:rPr>
        <w:t xml:space="preserve">PKs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  <w:sectPr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Ново поле 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staged_at</w:t>
      </w:r>
      <w:r w:rsidDel="00000000" w:rsidR="00000000" w:rsidRPr="00000000">
        <w:rPr>
          <w:sz w:val="24"/>
          <w:szCs w:val="24"/>
          <w:rtl w:val="0"/>
        </w:rPr>
        <w:t xml:space="preserve"> от тип DATE - се добавя към всяка таблица, така че се знае точно кога данните са били заредени/актуализирани за последен път.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904875</wp:posOffset>
                </wp:positionV>
                <wp:extent cx="6892894" cy="461735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5575" y="210850"/>
                          <a:ext cx="6892894" cy="4617355"/>
                          <a:chOff x="895575" y="210850"/>
                          <a:chExt cx="7962450" cy="53323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5589" y="210850"/>
                            <a:ext cx="7962425" cy="493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474163" y="5143025"/>
                            <a:ext cx="280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Фигура 2: Staging Area модел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904875</wp:posOffset>
                </wp:positionV>
                <wp:extent cx="6892894" cy="4617355"/>
                <wp:effectExtent b="0" l="0" r="0" t="0"/>
                <wp:wrapTopAndBottom distB="114300" distT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2894" cy="4617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6" w:lineRule="auto"/>
        <w:ind w:left="720" w:right="0" w:hanging="360"/>
        <w:jc w:val="center"/>
        <w:sectPr>
          <w:type w:val="nextPage"/>
          <w:pgSz w:h="12240" w:w="15840" w:orient="landscape"/>
          <w:pgMar w:bottom="1440.0000000000002" w:top="1440.0000000000002" w:left="1440.0000000000002" w:right="1440.0000000000002" w:header="720" w:footer="720"/>
        </w:sectPr>
      </w:pPr>
      <w:bookmarkStart w:colFirst="0" w:colLast="0" w:name="_rmwm1mz7ik92" w:id="13"/>
      <w:bookmarkEnd w:id="13"/>
      <w:r w:rsidDel="00000000" w:rsidR="00000000" w:rsidRPr="00000000">
        <w:rPr>
          <w:sz w:val="40"/>
          <w:szCs w:val="40"/>
          <w:rtl w:val="0"/>
        </w:rPr>
        <w:t xml:space="preserve">D</w:t>
      </w:r>
      <w:r w:rsidDel="00000000" w:rsidR="00000000" w:rsidRPr="00000000">
        <w:rPr>
          <w:rtl w:val="0"/>
        </w:rPr>
        <w:t xml:space="preserve">ata Vault</w:t>
      </w:r>
      <w:r w:rsidDel="00000000" w:rsidR="00000000" w:rsidRPr="00000000">
        <w:rPr>
          <w:sz w:val="40"/>
          <w:szCs w:val="40"/>
          <w:rtl w:val="0"/>
        </w:rPr>
        <w:t xml:space="preserve"> модел на данните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457200</wp:posOffset>
                </wp:positionV>
                <wp:extent cx="9010650" cy="5329238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600" y="162125"/>
                          <a:ext cx="9010650" cy="5329238"/>
                          <a:chOff x="328600" y="162125"/>
                          <a:chExt cx="9096400" cy="576277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613" y="162125"/>
                            <a:ext cx="9096375" cy="536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3123463" y="5524700"/>
                            <a:ext cx="35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Фигура 3: Data Vault модел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457200</wp:posOffset>
                </wp:positionV>
                <wp:extent cx="9010650" cy="5329238"/>
                <wp:effectExtent b="0" l="0" r="0" t="0"/>
                <wp:wrapTopAndBottom distB="114300" distT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0650" cy="5329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Хъбовете са таблиците в червено (или чиито имена започват с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h_</w:t>
      </w:r>
      <w:r w:rsidDel="00000000" w:rsidR="00000000" w:rsidRPr="00000000">
        <w:rPr>
          <w:sz w:val="24"/>
          <w:szCs w:val="24"/>
          <w:rtl w:val="0"/>
        </w:rPr>
        <w:t xml:space="preserve">). Сателитите са таблиците в жълто (или чиито имена започват с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s_</w:t>
      </w:r>
      <w:r w:rsidDel="00000000" w:rsidR="00000000" w:rsidRPr="00000000">
        <w:rPr>
          <w:sz w:val="24"/>
          <w:szCs w:val="24"/>
          <w:rtl w:val="0"/>
        </w:rPr>
        <w:t xml:space="preserve">). Линковете са таблиците в зелено (или чиито имена започват с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l_</w:t>
      </w:r>
      <w:r w:rsidDel="00000000" w:rsidR="00000000" w:rsidRPr="00000000">
        <w:rPr>
          <w:sz w:val="24"/>
          <w:szCs w:val="24"/>
          <w:rtl w:val="0"/>
        </w:rPr>
        <w:t xml:space="preserve">). Референтните таблици с тези без никакви релации (или чиито имена започват с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r_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цел по-добра яснота на данните са добавени някои изменения по имената на някои колони (най-вече за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demographic_data</w:t>
      </w:r>
      <w:r w:rsidDel="00000000" w:rsidR="00000000" w:rsidRPr="00000000">
        <w:rPr>
          <w:sz w:val="24"/>
          <w:szCs w:val="24"/>
          <w:rtl w:val="0"/>
        </w:rPr>
        <w:t xml:space="preserve">, където колоните бяха от типа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a3…</w:t>
      </w:r>
      <w:r w:rsidDel="00000000" w:rsidR="00000000" w:rsidRPr="00000000">
        <w:rPr>
          <w:sz w:val="24"/>
          <w:szCs w:val="24"/>
          <w:rtl w:val="0"/>
        </w:rPr>
        <w:t xml:space="preserve">). Новите наименования са съгласувани с обясненията в документа на предизвикателството.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Също така е извършено следното трансформиране на част от данните: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Колоните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са извлечени като цели числа, които представляват дати във вида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YYMMDD</w:t>
      </w:r>
      <w:r w:rsidDel="00000000" w:rsidR="00000000" w:rsidRPr="00000000">
        <w:rPr>
          <w:sz w:val="24"/>
          <w:szCs w:val="24"/>
          <w:rtl w:val="0"/>
        </w:rPr>
        <w:t xml:space="preserve">.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DV</w:t>
      </w:r>
      <w:r w:rsidDel="00000000" w:rsidR="00000000" w:rsidRPr="00000000">
        <w:rPr>
          <w:sz w:val="24"/>
          <w:szCs w:val="24"/>
          <w:rtl w:val="0"/>
        </w:rPr>
        <w:t xml:space="preserve"> вече са колони от тип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колоната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issued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при кредитните карти в пояснението на данните е упоменато, че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issued</w:t>
      </w:r>
      <w:r w:rsidDel="00000000" w:rsidR="00000000" w:rsidRPr="00000000">
        <w:rPr>
          <w:sz w:val="24"/>
          <w:szCs w:val="24"/>
          <w:rtl w:val="0"/>
        </w:rPr>
        <w:t xml:space="preserve"> е във вида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YYMMDD</w:t>
      </w:r>
      <w:r w:rsidDel="00000000" w:rsidR="00000000" w:rsidRPr="00000000">
        <w:rPr>
          <w:sz w:val="24"/>
          <w:szCs w:val="24"/>
          <w:rtl w:val="0"/>
        </w:rPr>
        <w:t xml:space="preserve">. Забелязахме обаче, че беше във вида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‘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YYMMDD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hh:mm:ss’</w:t>
      </w:r>
      <w:r w:rsidDel="00000000" w:rsidR="00000000" w:rsidRPr="00000000">
        <w:rPr>
          <w:sz w:val="24"/>
          <w:szCs w:val="24"/>
          <w:rtl w:val="0"/>
        </w:rPr>
        <w:t xml:space="preserve">, което си е чиста времева марка. Затова и използвахме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0"/>
        </w:rPr>
        <w:t xml:space="preserve"> като тип.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sz w:val="24"/>
          <w:szCs w:val="24"/>
          <w:u w:val="none"/>
        </w:rPr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Фактологичните данни като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k_symbol, operation, type</w:t>
      </w:r>
      <w:r w:rsidDel="00000000" w:rsidR="00000000" w:rsidRPr="00000000">
        <w:rPr>
          <w:sz w:val="24"/>
          <w:szCs w:val="24"/>
          <w:rtl w:val="0"/>
        </w:rPr>
        <w:t xml:space="preserve"> и т.н. са пренесени в референтните таблици и ключовете за съответните стойности се реферират от сателитите, където е приложимо. Някои от кортежите съдържаха мръсни фактологични данни (например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k_symbol</w:t>
      </w:r>
      <w:r w:rsidDel="00000000" w:rsidR="00000000" w:rsidRPr="00000000">
        <w:rPr>
          <w:sz w:val="24"/>
          <w:szCs w:val="24"/>
          <w:rtl w:val="0"/>
        </w:rPr>
        <w:t xml:space="preserve"> при някои транзакции или липсваше, или беше някакъв низ с интервали). Подобни стойности са игнорирани и ключът в съответните сателити е </w:t>
      </w:r>
      <w:r w:rsidDel="00000000" w:rsidR="00000000" w:rsidRPr="00000000">
        <w:rPr>
          <w:i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center"/>
        <w:sectPr>
          <w:type w:val="nextPage"/>
          <w:pgSz w:h="12240" w:w="15840" w:orient="landscape"/>
          <w:pgMar w:bottom="1440.0000000000002" w:top="1440.0000000000002" w:left="1440.0000000000002" w:right="1440.0000000000002" w:header="720" w:footer="720"/>
        </w:sectPr>
      </w:pPr>
      <w:bookmarkStart w:colFirst="0" w:colLast="0" w:name="_3v6susy5bwsu" w:id="14"/>
      <w:bookmarkEnd w:id="14"/>
      <w:r w:rsidDel="00000000" w:rsidR="00000000" w:rsidRPr="00000000">
        <w:rPr>
          <w:rtl w:val="0"/>
        </w:rPr>
        <w:t xml:space="preserve">Дименсионен модел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-547687</wp:posOffset>
                </wp:positionH>
                <wp:positionV relativeFrom="paragraph">
                  <wp:posOffset>714375</wp:posOffset>
                </wp:positionV>
                <wp:extent cx="9327103" cy="4566394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9327103" cy="4566394"/>
                          <a:chOff x="152400" y="152400"/>
                          <a:chExt cx="9448825" cy="4620850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0" cy="4220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3118650" y="4373050"/>
                            <a:ext cx="351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Фигура 4: Дименсионен модел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-547687</wp:posOffset>
                </wp:positionH>
                <wp:positionV relativeFrom="paragraph">
                  <wp:posOffset>714375</wp:posOffset>
                </wp:positionV>
                <wp:extent cx="9327103" cy="4566394"/>
                <wp:effectExtent b="0" l="0" r="0" t="0"/>
                <wp:wrapTopAndBottom distB="114300" distT="11430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7103" cy="45663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Дименсиите са таблиците в лилаво (или чиито имена започват с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d_</w:t>
      </w:r>
      <w:r w:rsidDel="00000000" w:rsidR="00000000" w:rsidRPr="00000000">
        <w:rPr>
          <w:sz w:val="24"/>
          <w:szCs w:val="24"/>
          <w:rtl w:val="0"/>
        </w:rPr>
        <w:t xml:space="preserve">). Фактите са таблиците в бежово (или чиито имена започват с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f_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Нашият дименсионен модел се състои от 6 факт таблици, които се допълват от 10 дименсии. Както споменахме по-горе, хъбовете със съответните им линкове стават на дименсии, а линковете - на факти. Тъй като референтните данни са характеристични и поради липсата им в някои от кортежите като външни ключове сме ги преместили в дименсиите, където намират приложение. Така няма да срещаме проблеми поради </w:t>
      </w:r>
      <w:r w:rsidDel="00000000" w:rsidR="00000000" w:rsidRPr="00000000">
        <w:rPr>
          <w:i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външни ключове.</w:t>
      </w:r>
    </w:p>
    <w:p w:rsidR="00000000" w:rsidDel="00000000" w:rsidP="00000000" w:rsidRDefault="00000000" w:rsidRPr="00000000" w14:paraId="00000045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Предварително са направени следните дименсии: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120" w:before="0" w:lineRule="auto"/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d_date</w:t>
      </w:r>
      <w:r w:rsidDel="00000000" w:rsidR="00000000" w:rsidRPr="00000000">
        <w:rPr>
          <w:sz w:val="24"/>
          <w:szCs w:val="24"/>
          <w:rtl w:val="0"/>
        </w:rPr>
        <w:t xml:space="preserve"> - раздробение на дата на година, месец, ден. Съдържа всички дати, които се срещат в данните.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120" w:before="0" w:lineRule="auto"/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d_time</w:t>
      </w:r>
      <w:r w:rsidDel="00000000" w:rsidR="00000000" w:rsidRPr="00000000">
        <w:rPr>
          <w:sz w:val="24"/>
          <w:szCs w:val="24"/>
          <w:rtl w:val="0"/>
        </w:rPr>
        <w:t xml:space="preserve"> - раздробение на време на час и минути. Съдържа 24 x 60 = 1440 кортежа за всеки час и всяка минута от денонощието.</w:t>
      </w:r>
    </w:p>
    <w:p w:rsidR="00000000" w:rsidDel="00000000" w:rsidP="00000000" w:rsidRDefault="00000000" w:rsidRPr="00000000" w14:paraId="00000048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някои от фактите имаше числени данни, които могат да послужат за най-различни агрегации: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120" w:before="0" w:lineRule="auto"/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f_transaction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120" w:before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- стойността на изпълнената парична транзакция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120" w:before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- ново салдо на съответния акаунт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20" w:before="0" w:lineRule="auto"/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f_permanent_order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120" w:before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- стойността на поставената поръчка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120" w:before="0" w:lineRule="auto"/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f_loan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120" w:before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- размер на изтегления заем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120" w:before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payments</w:t>
      </w:r>
      <w:r w:rsidDel="00000000" w:rsidR="00000000" w:rsidRPr="00000000">
        <w:rPr>
          <w:sz w:val="24"/>
          <w:szCs w:val="24"/>
          <w:rtl w:val="0"/>
        </w:rPr>
        <w:t xml:space="preserve"> - размер на месечните вноски по заема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120" w:afterAutospacing="0" w:before="0" w:lineRule="auto"/>
        <w:ind w:left="1440" w:hanging="360"/>
        <w:jc w:val="both"/>
        <w:rPr>
          <w:sz w:val="24"/>
          <w:szCs w:val="24"/>
          <w:u w:val="none"/>
        </w:rPr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sz w:val="24"/>
          <w:szCs w:val="24"/>
          <w:rtl w:val="0"/>
        </w:rPr>
        <w:t xml:space="preserve"> - също е числена колона, но не намерихме причина да се използва в някаква агрегация, затова е изместена в дименсията</w:t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beforeAutospacing="0" w:line="276" w:lineRule="auto"/>
        <w:ind w:left="720" w:right="0" w:hanging="360"/>
        <w:jc w:val="left"/>
      </w:pPr>
      <w:bookmarkStart w:colFirst="0" w:colLast="0" w:name="_r2u3t818g1i2" w:id="15"/>
      <w:bookmarkEnd w:id="15"/>
      <w:r w:rsidDel="00000000" w:rsidR="00000000" w:rsidRPr="00000000">
        <w:rPr>
          <w:sz w:val="40"/>
          <w:szCs w:val="40"/>
          <w:rtl w:val="0"/>
        </w:rPr>
        <w:t xml:space="preserve">Полезни доклади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Ако някога сте се чудели колко пари се изплащат за застраховки, ще разберем с една проста заявка към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f_transaction</w:t>
      </w:r>
      <w:r w:rsidDel="00000000" w:rsidR="00000000" w:rsidRPr="00000000">
        <w:rPr>
          <w:sz w:val="24"/>
          <w:szCs w:val="24"/>
          <w:rtl w:val="0"/>
        </w:rPr>
        <w:t xml:space="preserve"> таблицата, </w:t>
      </w:r>
      <w:r w:rsidDel="00000000" w:rsidR="00000000" w:rsidRPr="00000000">
        <w:rPr>
          <w:sz w:val="24"/>
          <w:szCs w:val="24"/>
          <w:rtl w:val="0"/>
        </w:rPr>
        <w:t xml:space="preserve">обединена</w:t>
      </w:r>
      <w:r w:rsidDel="00000000" w:rsidR="00000000" w:rsidRPr="00000000">
        <w:rPr>
          <w:sz w:val="24"/>
          <w:szCs w:val="24"/>
          <w:rtl w:val="0"/>
        </w:rPr>
        <w:t xml:space="preserve"> с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d_transaction</w:t>
      </w:r>
      <w:r w:rsidDel="00000000" w:rsidR="00000000" w:rsidRPr="00000000">
        <w:rPr>
          <w:sz w:val="24"/>
          <w:szCs w:val="24"/>
          <w:rtl w:val="0"/>
        </w:rPr>
        <w:t xml:space="preserve">, като за застраховки търсим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k_symbol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= ‘POJISTNE’</w:t>
      </w:r>
      <w:r w:rsidDel="00000000" w:rsidR="00000000" w:rsidRPr="00000000">
        <w:rPr>
          <w:sz w:val="24"/>
          <w:szCs w:val="24"/>
          <w:rtl w:val="0"/>
        </w:rPr>
        <w:t xml:space="preserve">. В следната таблица можем да видим десетте акаунта с най-големи такива транзакции:</w:t>
      </w:r>
    </w:p>
    <w:tbl>
      <w:tblPr>
        <w:tblStyle w:val="Table2"/>
        <w:tblW w:w="4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980"/>
        <w:gridCol w:w="2100"/>
        <w:tblGridChange w:id="0">
          <w:tblGrid>
            <w:gridCol w:w="660"/>
            <w:gridCol w:w="198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max_amount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12504.00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10608.00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9115.00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8742.00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8253.00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7996.00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7793.00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7396.00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7082.00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6970.00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1: Топ 10 акаунти с най-високи застраховки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Нека да разгледаме заемите, групирани по пол на клиента, вид на заема (проблематичен 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е ‘A’ или ‘C’; непроблематичен - </w:t>
      </w:r>
      <w:r w:rsidDel="00000000" w:rsidR="00000000" w:rsidRPr="00000000">
        <w:rPr>
          <w:b w:val="1"/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е ‘B’ или ‘D’</w:t>
      </w:r>
      <w:r w:rsidDel="00000000" w:rsidR="00000000" w:rsidRPr="00000000">
        <w:rPr>
          <w:sz w:val="24"/>
          <w:szCs w:val="24"/>
          <w:rtl w:val="0"/>
        </w:rPr>
        <w:t xml:space="preserve">), както и честота на извлечения от съответния клиент: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3971925</wp:posOffset>
            </wp:positionV>
            <wp:extent cx="5943600" cy="3670300"/>
            <wp:effectExtent b="0" l="0" r="0" t="0"/>
            <wp:wrapTopAndBottom distB="114300" distT="114300"/>
            <wp:docPr descr="Points scored" id="5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670300"/>
            <wp:effectExtent b="0" l="0" r="0" t="0"/>
            <wp:wrapTopAndBottom distB="114300" distT="114300"/>
            <wp:docPr descr="Points scored" id="7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Както може да се види от горните графики повечето извлечения се правят месечно. Тоест можем да стигнем до извода, че клиенти, които по-рядко следят извлеченията си, са по-изкушени от това да поискат заем.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се забелязва корелация между изтеглените заеми и пола - и мъжете, и жените са еднакво вероятни да изтеглят заем. Също така, можем да кажем, че тенденцията е подобна и за двата вида заеми (проблематични и непроблематични). Тоест честотата на извлеченията не е определима за това дали клиентът ще изплати заема си.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Заявките за горните кратки доклади могат да бъдат намерени във файла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reports.sql</w:t>
      </w:r>
      <w:r w:rsidDel="00000000" w:rsidR="00000000" w:rsidRPr="00000000">
        <w:rPr>
          <w:sz w:val="24"/>
          <w:szCs w:val="24"/>
          <w:rtl w:val="0"/>
        </w:rPr>
        <w:t xml:space="preserve"> в папка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scripts/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kgxo1cv8e35u" w:id="16"/>
      <w:bookmarkEnd w:id="16"/>
      <w:r w:rsidDel="00000000" w:rsidR="00000000" w:rsidRPr="00000000">
        <w:rPr>
          <w:sz w:val="40"/>
          <w:szCs w:val="40"/>
          <w:rtl w:val="0"/>
        </w:rPr>
        <w:t xml:space="preserve">Използвани софтуерни инструменти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120" w:before="12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Oracle Data Modeler </w:t>
      </w:r>
      <w:r w:rsidDel="00000000" w:rsidR="00000000" w:rsidRPr="00000000">
        <w:rPr>
          <w:sz w:val="24"/>
          <w:szCs w:val="24"/>
          <w:rtl w:val="0"/>
        </w:rPr>
        <w:t xml:space="preserve">- моделиране на логическите и релационните модели и генериране на SQL код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120" w:before="12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 </w:t>
      </w:r>
      <w:r w:rsidDel="00000000" w:rsidR="00000000" w:rsidRPr="00000000">
        <w:rPr>
          <w:sz w:val="24"/>
          <w:szCs w:val="24"/>
          <w:rtl w:val="0"/>
        </w:rPr>
        <w:t xml:space="preserve">- прилагане на генерирания SQL код, като за целта се наложиха малки поправки поради разлики в използваната релационна база данни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jc w:val="center"/>
      <w:rPr/>
    </w:pPr>
    <w:r w:rsidDel="00000000" w:rsidR="00000000" w:rsidRPr="00000000">
      <w:rPr>
        <w:rtl w:val="0"/>
      </w:rPr>
      <w:t xml:space="preserve">Януари 2023</w:t>
    </w:r>
  </w:p>
  <w:p w:rsidR="00000000" w:rsidDel="00000000" w:rsidP="00000000" w:rsidRDefault="00000000" w:rsidRPr="00000000" w14:paraId="00000080">
    <w:pPr>
      <w:jc w:val="center"/>
      <w:rPr/>
    </w:pPr>
    <w:r w:rsidDel="00000000" w:rsidR="00000000" w:rsidRPr="00000000">
      <w:rPr>
        <w:rtl w:val="0"/>
      </w:rPr>
      <w:t xml:space="preserve">София</w:t>
    </w:r>
  </w:p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