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Нормативни източници</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Закони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Закон за администрацията</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чл. 25, ал. 4: </w:t>
      </w:r>
      <w:r w:rsidDel="00000000" w:rsidR="00000000" w:rsidRPr="00000000">
        <w:rPr>
          <w:rFonts w:ascii="Times New Roman" w:cs="Times New Roman" w:eastAsia="Times New Roman" w:hAnsi="Times New Roman"/>
          <w:i w:val="0"/>
          <w:smallCaps w:val="0"/>
          <w:strike w:val="0"/>
          <w:color w:val="000000"/>
          <w:sz w:val="24"/>
          <w:szCs w:val="24"/>
          <w:u w:val="none"/>
          <w:shd w:fill="fefefe" w:val="clear"/>
          <w:vertAlign w:val="baseline"/>
          <w:rtl w:val="0"/>
        </w:rPr>
        <w:t xml:space="preserve">Министрите издават правилници, наредби, инструкции и заповеди.</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efefe" w:val="clear"/>
          <w:vertAlign w:val="baseline"/>
          <w:rtl w:val="0"/>
        </w:rPr>
        <w:t xml:space="preserve">Административно процесуален кодекс</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чл. 66, ал.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Откриването на производството по издаване на общия административен акт се оповестява публично чрез средствата за масово осведомяване, чрез изпращането на проекта до организации на заинтересованите лица или по друг подходящ начин.</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чл. 66, ал. 2: Уведомяването по ал. 1 включва и основните съображения за издаването на акта, както и формите на участие на заинтересованите лица в производството.</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Закон за професионалното образование и обучение</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Чл. 6. (1) (Изм. - ДВ, бр. 61 от 2014 г.): Професионалното ориентиране, професионалното обучение, професионалното образование и валидирането на професионални знания, умения и компетентности се осъществяват по професии и специалности, включени в Списъка на професиите за професионално образование и обучение.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Заповеди</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Заповед за организирането и провеждането на ученическите олимпиади и национални състезания през учебната 2018-2019 година (На основание чл. 25, ал. 4 от Закона за администрацията, във връзка с организирането и провеждането на ученическите олимпиади и на националните състезания в държавните, в общинските, в частните училища и в чуждестранните училища на територията на Република България през учебната 2018–2019 година и при спазване на изискванията на чл. 66, ал. 1 и ал. 2 от Административнопроцесуалния кодекс)</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Правила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Ученически олимпиади се провеждат по: български език и литература, английски език, немски език, испански език, италиански език, руски език, френски език, математика, информатика, информационни технологии, математическа лингвистика, философия, история и цивилизация, география и икономика, гражданско образование, физика, астрономия, химия и опазване на околната среда, биология и здравно образование, техническо чертане, както и интердисциплинарна за ученици в началния етап на основното образование.</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Целите на олимпиадите са: </w:t>
      </w:r>
    </w:p>
    <w:p w:rsidR="00000000" w:rsidDel="00000000" w:rsidP="00000000" w:rsidRDefault="00000000" w:rsidRPr="00000000" w14:paraId="000000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да се предостави възможност на учениците за интелектуална изява; ю</w:t>
      </w:r>
    </w:p>
    <w:p w:rsidR="00000000" w:rsidDel="00000000" w:rsidP="00000000" w:rsidRDefault="00000000" w:rsidRPr="00000000" w14:paraId="0000001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да се създадат условия за прилагане на изследователски методи в конкретни предметни области; </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да се мотивират учениците и техните учители за творчески изяви; </w:t>
      </w:r>
    </w:p>
    <w:p w:rsidR="00000000" w:rsidDel="00000000" w:rsidP="00000000" w:rsidRDefault="00000000" w:rsidRPr="00000000" w14:paraId="000000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да се стимулира личностната изява на учениците; </w:t>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да се мотивират учителите за работа с ученици с изявени способности.</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 ученическите олимпиади имат право да участват всички ученици, които се обучават в дневна, в самостоятелна, в задочна, в комбинирана, в дистанционна или в индивидуална форма на обучение в български общински, държавни и частни училища, както и в училищата на територията на Република България към чуждестранните посолства.</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Правото на явяване на ученик в определена състезателна група се определя в регламента на всяка олимпиада.</w:t>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Олимпиадите се организират и провеждат в три кръга: общински, областен и национален.</w:t>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Графикът за провеждане на националния кръг се определя с Приложение № 2 на настоящата Заповед (от подточка заповеди).</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Националният кръг на олимпиадите по информатика, математическа лингвистика, астрономия, химия и опазване на околната среда, биология и здравно образование, география и икономика, гражданско образование, немски език, по математика за ІХ–ХІІ клас, по информационни технологии за V–ХІІ клас, по български език и литература, по история и цивилизации за VІІ и за ХІІ клас и по физика за Х–ХІІ клас се провежда в два дни съгласно регламента на съответната олимпиада.</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Отговорни институции</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Министерство на образованието</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Национални комисии – в тях участват представители на академичната общност от висшите училища и от институтите на БАН, на професионални сдружения, експерти в съответните професионални направления, учители, както и преподаватели и студенти от висши училища.</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Началникът на регионалното управление на образованието </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Училищните институции (директори, зам.-директори, учители)</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Регионално управление на образованието (РУО)</w:t>
      </w:r>
    </w:p>
    <w:sectPr>
      <w:pgSz w:h="16838" w:w="11906" w:orient="portrait"/>
      <w:pgMar w:bottom="1417.3228346456694" w:top="1417.3228346456694" w:left="1417.3228346456694" w:right="1417.322834645669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Noto Sans Symbols" w:cs="Noto Sans Symbols" w:eastAsia="Noto Sans Symbols" w:hAnsi="Noto Sans Symbols"/>
        <w:i w:val="1"/>
        <w:sz w:val="26"/>
        <w:szCs w:val="26"/>
      </w:rPr>
    </w:lvl>
    <w:lvl w:ilvl="1">
      <w:start w:val="1"/>
      <w:numFmt w:val="decimal"/>
      <w:lvlText w:val="%1.%2."/>
      <w:lvlJc w:val="right"/>
      <w:pPr>
        <w:ind w:left="1440" w:hanging="360"/>
      </w:pPr>
      <w:rPr>
        <w:rFonts w:ascii="Courier New" w:cs="Courier New" w:eastAsia="Courier New" w:hAnsi="Courier New"/>
        <w:sz w:val="22"/>
        <w:szCs w:val="22"/>
      </w:rPr>
    </w:lvl>
    <w:lvl w:ilvl="2">
      <w:start w:val="1"/>
      <w:numFmt w:val="decimal"/>
      <w:lvlText w:val="%1.%2.%3."/>
      <w:lvlJc w:val="right"/>
      <w:pPr>
        <w:ind w:left="2160" w:hanging="360"/>
      </w:pPr>
      <w:rPr>
        <w:rFonts w:ascii="Noto Sans Symbols" w:cs="Noto Sans Symbols" w:eastAsia="Noto Sans Symbols" w:hAnsi="Noto Sans Symbols"/>
      </w:rPr>
    </w:lvl>
    <w:lvl w:ilvl="3">
      <w:start w:val="1"/>
      <w:numFmt w:val="decimal"/>
      <w:lvlText w:val="%1.%2.%3.%4."/>
      <w:lvlJc w:val="right"/>
      <w:pPr>
        <w:ind w:left="2880" w:hanging="360"/>
      </w:pPr>
      <w:rPr>
        <w:rFonts w:ascii="Noto Sans Symbols" w:cs="Noto Sans Symbols" w:eastAsia="Noto Sans Symbols" w:hAnsi="Noto Sans Symbols"/>
      </w:rPr>
    </w:lvl>
    <w:lvl w:ilvl="4">
      <w:start w:val="1"/>
      <w:numFmt w:val="decimal"/>
      <w:lvlText w:val="%1.%2.%3.%4.%5."/>
      <w:lvlJc w:val="right"/>
      <w:pPr>
        <w:ind w:left="3600" w:hanging="360"/>
      </w:pPr>
      <w:rPr>
        <w:rFonts w:ascii="Courier New" w:cs="Courier New" w:eastAsia="Courier New" w:hAnsi="Courier New"/>
      </w:rPr>
    </w:lvl>
    <w:lvl w:ilvl="5">
      <w:start w:val="1"/>
      <w:numFmt w:val="decimal"/>
      <w:lvlText w:val="%1.%2.%3.%4.%5.%6."/>
      <w:lvlJc w:val="right"/>
      <w:pPr>
        <w:ind w:left="4320" w:hanging="360"/>
      </w:pPr>
      <w:rPr>
        <w:rFonts w:ascii="Noto Sans Symbols" w:cs="Noto Sans Symbols" w:eastAsia="Noto Sans Symbols" w:hAnsi="Noto Sans Symbols"/>
      </w:rPr>
    </w:lvl>
    <w:lvl w:ilvl="6">
      <w:start w:val="1"/>
      <w:numFmt w:val="decimal"/>
      <w:lvlText w:val="%1.%2.%3.%4.%5.%6.%7."/>
      <w:lvlJc w:val="right"/>
      <w:pPr>
        <w:ind w:left="5040" w:hanging="360"/>
      </w:pPr>
      <w:rPr>
        <w:rFonts w:ascii="Noto Sans Symbols" w:cs="Noto Sans Symbols" w:eastAsia="Noto Sans Symbols" w:hAnsi="Noto Sans Symbols"/>
      </w:rPr>
    </w:lvl>
    <w:lvl w:ilvl="7">
      <w:start w:val="1"/>
      <w:numFmt w:val="decimal"/>
      <w:lvlText w:val="%1.%2.%3.%4.%5.%6.%7.%8."/>
      <w:lvlJc w:val="right"/>
      <w:pPr>
        <w:ind w:left="5760" w:hanging="360"/>
      </w:pPr>
      <w:rPr>
        <w:rFonts w:ascii="Courier New" w:cs="Courier New" w:eastAsia="Courier New" w:hAnsi="Courier New"/>
      </w:rPr>
    </w:lvl>
    <w:lvl w:ilvl="8">
      <w:start w:val="1"/>
      <w:numFmt w:val="decimal"/>
      <w:lvlText w:val="%1.%2.%3.%4.%5.%6.%7.%8.%9."/>
      <w:lvlJc w:val="righ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E19B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lEqtnoVnWOGid6VEaQfEOz1vw==">AMUW2mXYeSS+OMtKaHL+PWkqFyJXahwnXXWRy3aW+NnSC5r0dZ7fEKHiIeDJku79Sc6KGZKsVxTx+6D7TD9aJ6XmiqqIYAsS4qaI1aaLbJRY9sDTDmi4GoE=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2021-11-27T15:56:00Z</dcterms:created>
  <dc:creator>Vesela Petrova</dc:creator>
</cp:coreProperties>
</file>