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E7EA3" w14:textId="7FD9AF77" w:rsidR="00F1590E" w:rsidRDefault="00F1590E">
      <w:pPr>
        <w:rPr>
          <w:rFonts w:ascii="Times New Roman" w:eastAsia="Times New Roman" w:hAnsi="Times New Roman" w:cs="Times New Roman"/>
          <w:b/>
          <w:sz w:val="28"/>
          <w:szCs w:val="28"/>
        </w:rPr>
      </w:pPr>
    </w:p>
    <w:p w14:paraId="43C0C4EC" w14:textId="77777777" w:rsidR="00F1590E" w:rsidRDefault="00F1590E">
      <w:pPr>
        <w:jc w:val="center"/>
        <w:rPr>
          <w:rFonts w:ascii="Times New Roman" w:eastAsia="Times New Roman" w:hAnsi="Times New Roman" w:cs="Times New Roman"/>
          <w:b/>
          <w:sz w:val="28"/>
          <w:szCs w:val="28"/>
        </w:rPr>
      </w:pPr>
    </w:p>
    <w:p w14:paraId="554F69DA" w14:textId="77777777" w:rsidR="00F1590E" w:rsidRDefault="000C41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ПАО «Акрон»</w:t>
      </w:r>
    </w:p>
    <w:p w14:paraId="629CB20D" w14:textId="77777777" w:rsidR="00F1590E" w:rsidRDefault="000C41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Выполнила: </w:t>
      </w:r>
    </w:p>
    <w:p w14:paraId="30677F1B" w14:textId="77777777" w:rsidR="00F1590E" w:rsidRDefault="000C41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Надежина Анфиса Валерьевна</w:t>
      </w:r>
    </w:p>
    <w:p w14:paraId="22CF62EA" w14:textId="25DAF452" w:rsidR="00F1590E" w:rsidRPr="008F724D" w:rsidRDefault="000C4199" w:rsidP="008F724D">
      <w:pPr>
        <w:jc w:val="center"/>
        <w:rPr>
          <w:rFonts w:ascii="Times New Roman" w:eastAsia="Times New Roman" w:hAnsi="Times New Roman" w:cs="Times New Roman"/>
          <w:sz w:val="28"/>
          <w:szCs w:val="28"/>
        </w:rPr>
        <w:sectPr w:rsidR="00F1590E" w:rsidRPr="008F724D">
          <w:footerReference w:type="default" r:id="rId9"/>
          <w:pgSz w:w="11906" w:h="16838"/>
          <w:pgMar w:top="1134" w:right="850" w:bottom="1134" w:left="1701" w:header="708" w:footer="708" w:gutter="0"/>
          <w:pgNumType w:start="1"/>
          <w:cols w:space="720"/>
          <w:titlePg/>
        </w:sectPr>
      </w:pPr>
      <w:r>
        <w:rPr>
          <w:rFonts w:ascii="Times New Roman" w:eastAsia="Times New Roman" w:hAnsi="Times New Roman" w:cs="Times New Roman"/>
          <w:b/>
          <w:sz w:val="28"/>
          <w:szCs w:val="28"/>
        </w:rPr>
        <w:t>КФ</w:t>
      </w:r>
      <w:r w:rsidR="008F724D">
        <w:rPr>
          <w:rFonts w:ascii="Times New Roman" w:eastAsia="Times New Roman" w:hAnsi="Times New Roman" w:cs="Times New Roman"/>
          <w:b/>
          <w:sz w:val="28"/>
          <w:szCs w:val="28"/>
        </w:rPr>
        <w:t>иБ</w:t>
      </w:r>
      <w:r w:rsidR="00326600">
        <w:rPr>
          <w:rFonts w:ascii="Times New Roman" w:eastAsia="Times New Roman" w:hAnsi="Times New Roman" w:cs="Times New Roman"/>
          <w:b/>
          <w:sz w:val="28"/>
          <w:szCs w:val="28"/>
        </w:rPr>
        <w:t>А</w:t>
      </w:r>
      <w:r>
        <w:rPr>
          <w:rFonts w:ascii="Times New Roman" w:eastAsia="Times New Roman" w:hAnsi="Times New Roman" w:cs="Times New Roman"/>
          <w:b/>
          <w:sz w:val="28"/>
          <w:szCs w:val="28"/>
        </w:rPr>
        <w:t>23-</w:t>
      </w:r>
      <w:r w:rsidR="008F724D">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p>
    <w:p w14:paraId="246E624D" w14:textId="77777777" w:rsidR="00F1590E" w:rsidRDefault="000C4199">
      <w:pPr>
        <w:pStyle w:val="1"/>
        <w:widowControl w:val="0"/>
        <w:spacing w:before="0" w:after="0" w:line="360"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lastRenderedPageBreak/>
        <w:t>АНАЛИЗ ФИНАНСОВОГО СОСТОЯНИЯ ОРГАНИЗАЦИИ ПО ДАННЫМ БУХГАЛТЕРСКОГО БАЛАНСА</w:t>
      </w:r>
    </w:p>
    <w:p w14:paraId="39BDF45F"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Анализ активов и пассивов организации</w:t>
      </w:r>
    </w:p>
    <w:p w14:paraId="4754B687"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Задание 1.</w:t>
      </w:r>
      <w:r>
        <w:rPr>
          <w:rFonts w:ascii="Times New Roman" w:eastAsia="Times New Roman" w:hAnsi="Times New Roman" w:cs="Times New Roman"/>
          <w:b w:val="0"/>
          <w:sz w:val="28"/>
          <w:szCs w:val="28"/>
        </w:rPr>
        <w:t xml:space="preserve"> Дать общую предварительную оценку финансового состояния организации. Для этого построить, на основе данных бухгалтерского баланса, сравнительный аналитический баланс за предыдущий и отчетный годы по форме, представленной в таблице 1.1.</w:t>
      </w:r>
    </w:p>
    <w:p w14:paraId="17EB46F7"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Анализ проводится на основании абсолютный и относительных показателей. Рекомендуется определить изменение показателей в структуре баланса за рассматриваемый  период и направленность изменений (увеличение, стабильность, снижение).</w:t>
      </w:r>
    </w:p>
    <w:p w14:paraId="380E371D"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Уменьшение валюты баланса может свидетельствовать о сокращении организацией хозяйственного оборота, что иногда влечет за собой неплатежеспособность. Поэтому требуется определить причины сворачивания хозяйственной деятельности (сокращение платежеспособности, спроса на товары, работы и услуги данной организации, ограничение доступа на рынки необходимого сырья, материалов и полуфабрикатов, постепенное включение в активный хозяйственный оборот дочерних предприятий за счет материнской компании и т.д.)</w:t>
      </w:r>
    </w:p>
    <w:p w14:paraId="14653505" w14:textId="77777777" w:rsidR="00F1590E" w:rsidRDefault="000C4199">
      <w:pPr>
        <w:rPr>
          <w:rFonts w:ascii="Times New Roman" w:eastAsia="Times New Roman" w:hAnsi="Times New Roman" w:cs="Times New Roman"/>
          <w:b/>
          <w:sz w:val="28"/>
          <w:szCs w:val="28"/>
        </w:rPr>
      </w:pPr>
      <w:r>
        <w:br w:type="page"/>
      </w:r>
    </w:p>
    <w:p w14:paraId="09AFC05C"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1.1 </w:t>
      </w:r>
    </w:p>
    <w:p w14:paraId="36733E19" w14:textId="77777777" w:rsidR="00F1590E" w:rsidRDefault="000C4199">
      <w:pPr>
        <w:pStyle w:val="3"/>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Актив и пассив сравнительного аналитического баланса ПАО «Акрон»</w:t>
      </w:r>
    </w:p>
    <w:tbl>
      <w:tblPr>
        <w:tblStyle w:val="af2"/>
        <w:tblW w:w="14012"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784"/>
        <w:gridCol w:w="1469"/>
        <w:gridCol w:w="1340"/>
        <w:gridCol w:w="1469"/>
        <w:gridCol w:w="1603"/>
        <w:gridCol w:w="1536"/>
        <w:gridCol w:w="1320"/>
        <w:gridCol w:w="1491"/>
      </w:tblGrid>
      <w:tr w:rsidR="00F1590E" w14:paraId="7BB9E651" w14:textId="77777777">
        <w:trPr>
          <w:jc w:val="center"/>
        </w:trPr>
        <w:tc>
          <w:tcPr>
            <w:tcW w:w="3785" w:type="dxa"/>
            <w:vMerge w:val="restart"/>
            <w:tcBorders>
              <w:top w:val="single" w:sz="6" w:space="0" w:color="000000"/>
              <w:left w:val="single" w:sz="6" w:space="0" w:color="000000"/>
              <w:bottom w:val="single" w:sz="6" w:space="0" w:color="000000"/>
              <w:right w:val="single" w:sz="6" w:space="0" w:color="000000"/>
            </w:tcBorders>
            <w:vAlign w:val="center"/>
          </w:tcPr>
          <w:p w14:paraId="7E221327"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Показатель</w:t>
            </w:r>
          </w:p>
        </w:tc>
        <w:tc>
          <w:tcPr>
            <w:tcW w:w="5881" w:type="dxa"/>
            <w:gridSpan w:val="4"/>
            <w:tcBorders>
              <w:top w:val="single" w:sz="6" w:space="0" w:color="000000"/>
              <w:left w:val="single" w:sz="6" w:space="0" w:color="000000"/>
              <w:bottom w:val="single" w:sz="6" w:space="0" w:color="000000"/>
              <w:right w:val="single" w:sz="6" w:space="0" w:color="000000"/>
            </w:tcBorders>
          </w:tcPr>
          <w:p w14:paraId="7C45C9B5"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Значение показателя</w:t>
            </w:r>
          </w:p>
        </w:tc>
        <w:tc>
          <w:tcPr>
            <w:tcW w:w="4347" w:type="dxa"/>
            <w:gridSpan w:val="3"/>
            <w:tcBorders>
              <w:top w:val="single" w:sz="6" w:space="0" w:color="000000"/>
              <w:left w:val="single" w:sz="6" w:space="0" w:color="000000"/>
              <w:bottom w:val="single" w:sz="6" w:space="0" w:color="000000"/>
              <w:right w:val="single" w:sz="6" w:space="0" w:color="000000"/>
            </w:tcBorders>
          </w:tcPr>
          <w:p w14:paraId="1C581F6A"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Изменение за анализируемый период</w:t>
            </w:r>
          </w:p>
        </w:tc>
      </w:tr>
      <w:tr w:rsidR="00F1590E" w14:paraId="650AFA63" w14:textId="77777777">
        <w:trPr>
          <w:jc w:val="center"/>
        </w:trPr>
        <w:tc>
          <w:tcPr>
            <w:tcW w:w="3785" w:type="dxa"/>
            <w:vMerge/>
            <w:tcBorders>
              <w:top w:val="single" w:sz="6" w:space="0" w:color="000000"/>
              <w:left w:val="single" w:sz="6" w:space="0" w:color="000000"/>
              <w:bottom w:val="single" w:sz="6" w:space="0" w:color="000000"/>
              <w:right w:val="single" w:sz="6" w:space="0" w:color="000000"/>
            </w:tcBorders>
            <w:vAlign w:val="center"/>
          </w:tcPr>
          <w:p w14:paraId="25C5B633"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2809" w:type="dxa"/>
            <w:gridSpan w:val="2"/>
            <w:tcBorders>
              <w:top w:val="single" w:sz="6" w:space="0" w:color="000000"/>
              <w:left w:val="single" w:sz="6" w:space="0" w:color="000000"/>
              <w:bottom w:val="single" w:sz="6" w:space="0" w:color="000000"/>
              <w:right w:val="single" w:sz="6" w:space="0" w:color="000000"/>
            </w:tcBorders>
          </w:tcPr>
          <w:p w14:paraId="2CEB9746"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 тыс. руб.</w:t>
            </w:r>
          </w:p>
        </w:tc>
        <w:tc>
          <w:tcPr>
            <w:tcW w:w="3072" w:type="dxa"/>
            <w:gridSpan w:val="2"/>
            <w:tcBorders>
              <w:top w:val="single" w:sz="6" w:space="0" w:color="000000"/>
              <w:left w:val="single" w:sz="6" w:space="0" w:color="000000"/>
              <w:bottom w:val="single" w:sz="6" w:space="0" w:color="000000"/>
              <w:right w:val="single" w:sz="6" w:space="0" w:color="000000"/>
            </w:tcBorders>
          </w:tcPr>
          <w:p w14:paraId="65171C9D"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структура, %</w:t>
            </w:r>
          </w:p>
        </w:tc>
        <w:tc>
          <w:tcPr>
            <w:tcW w:w="1536" w:type="dxa"/>
            <w:vMerge w:val="restart"/>
            <w:tcBorders>
              <w:top w:val="single" w:sz="6" w:space="0" w:color="000000"/>
              <w:left w:val="single" w:sz="6" w:space="0" w:color="000000"/>
              <w:bottom w:val="single" w:sz="6" w:space="0" w:color="000000"/>
              <w:right w:val="single" w:sz="6" w:space="0" w:color="000000"/>
            </w:tcBorders>
          </w:tcPr>
          <w:p w14:paraId="42B1981D"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абсол., тыс. руб.</w:t>
            </w:r>
          </w:p>
        </w:tc>
        <w:tc>
          <w:tcPr>
            <w:tcW w:w="1320" w:type="dxa"/>
            <w:vMerge w:val="restart"/>
            <w:tcBorders>
              <w:top w:val="single" w:sz="6" w:space="0" w:color="000000"/>
              <w:left w:val="single" w:sz="6" w:space="0" w:color="000000"/>
              <w:bottom w:val="single" w:sz="6" w:space="0" w:color="000000"/>
              <w:right w:val="single" w:sz="6" w:space="0" w:color="000000"/>
            </w:tcBorders>
          </w:tcPr>
          <w:p w14:paraId="32256BA6"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струк., %</w:t>
            </w:r>
          </w:p>
        </w:tc>
        <w:tc>
          <w:tcPr>
            <w:tcW w:w="1491" w:type="dxa"/>
            <w:vMerge w:val="restart"/>
            <w:tcBorders>
              <w:top w:val="single" w:sz="6" w:space="0" w:color="000000"/>
              <w:left w:val="single" w:sz="6" w:space="0" w:color="000000"/>
              <w:right w:val="single" w:sz="6" w:space="0" w:color="000000"/>
            </w:tcBorders>
          </w:tcPr>
          <w:p w14:paraId="609F9459"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относ., %темп роста</w:t>
            </w:r>
          </w:p>
        </w:tc>
      </w:tr>
      <w:tr w:rsidR="00F1590E" w14:paraId="1098F9C6" w14:textId="77777777">
        <w:trPr>
          <w:trHeight w:val="267"/>
          <w:jc w:val="center"/>
        </w:trPr>
        <w:tc>
          <w:tcPr>
            <w:tcW w:w="3785" w:type="dxa"/>
            <w:vMerge/>
            <w:tcBorders>
              <w:top w:val="single" w:sz="6" w:space="0" w:color="000000"/>
              <w:left w:val="single" w:sz="6" w:space="0" w:color="000000"/>
              <w:bottom w:val="single" w:sz="6" w:space="0" w:color="000000"/>
              <w:right w:val="single" w:sz="6" w:space="0" w:color="000000"/>
            </w:tcBorders>
            <w:vAlign w:val="center"/>
          </w:tcPr>
          <w:p w14:paraId="7134A2EB"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1469" w:type="dxa"/>
            <w:tcBorders>
              <w:top w:val="single" w:sz="6" w:space="0" w:color="000000"/>
              <w:left w:val="single" w:sz="6" w:space="0" w:color="000000"/>
              <w:bottom w:val="single" w:sz="6" w:space="0" w:color="000000"/>
              <w:right w:val="single" w:sz="6" w:space="0" w:color="000000"/>
            </w:tcBorders>
          </w:tcPr>
          <w:p w14:paraId="0B5B1459"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предыдущий год (2023)</w:t>
            </w:r>
          </w:p>
        </w:tc>
        <w:tc>
          <w:tcPr>
            <w:tcW w:w="1340" w:type="dxa"/>
            <w:tcBorders>
              <w:top w:val="single" w:sz="6" w:space="0" w:color="000000"/>
              <w:left w:val="single" w:sz="6" w:space="0" w:color="000000"/>
              <w:bottom w:val="single" w:sz="6" w:space="0" w:color="000000"/>
              <w:right w:val="single" w:sz="6" w:space="0" w:color="000000"/>
            </w:tcBorders>
          </w:tcPr>
          <w:p w14:paraId="4028614A"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отчетный год (2024)</w:t>
            </w:r>
          </w:p>
        </w:tc>
        <w:tc>
          <w:tcPr>
            <w:tcW w:w="1469" w:type="dxa"/>
            <w:tcBorders>
              <w:top w:val="single" w:sz="6" w:space="0" w:color="000000"/>
              <w:left w:val="single" w:sz="6" w:space="0" w:color="000000"/>
              <w:bottom w:val="single" w:sz="6" w:space="0" w:color="000000"/>
              <w:right w:val="single" w:sz="6" w:space="0" w:color="000000"/>
            </w:tcBorders>
          </w:tcPr>
          <w:p w14:paraId="68292E3F"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предыдущий год</w:t>
            </w:r>
          </w:p>
        </w:tc>
        <w:tc>
          <w:tcPr>
            <w:tcW w:w="1603" w:type="dxa"/>
            <w:tcBorders>
              <w:top w:val="single" w:sz="6" w:space="0" w:color="000000"/>
              <w:left w:val="single" w:sz="6" w:space="0" w:color="000000"/>
              <w:bottom w:val="single" w:sz="6" w:space="0" w:color="000000"/>
              <w:right w:val="single" w:sz="6" w:space="0" w:color="000000"/>
            </w:tcBorders>
          </w:tcPr>
          <w:p w14:paraId="0EE002FA"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отчетный год</w:t>
            </w:r>
          </w:p>
        </w:tc>
        <w:tc>
          <w:tcPr>
            <w:tcW w:w="1536" w:type="dxa"/>
            <w:vMerge/>
            <w:tcBorders>
              <w:top w:val="single" w:sz="6" w:space="0" w:color="000000"/>
              <w:left w:val="single" w:sz="6" w:space="0" w:color="000000"/>
              <w:bottom w:val="single" w:sz="6" w:space="0" w:color="000000"/>
              <w:right w:val="single" w:sz="6" w:space="0" w:color="000000"/>
            </w:tcBorders>
          </w:tcPr>
          <w:p w14:paraId="42DEED5D"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320" w:type="dxa"/>
            <w:vMerge/>
            <w:tcBorders>
              <w:top w:val="single" w:sz="6" w:space="0" w:color="000000"/>
              <w:left w:val="single" w:sz="6" w:space="0" w:color="000000"/>
              <w:bottom w:val="single" w:sz="6" w:space="0" w:color="000000"/>
              <w:right w:val="single" w:sz="6" w:space="0" w:color="000000"/>
            </w:tcBorders>
          </w:tcPr>
          <w:p w14:paraId="7D44D9A1"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491" w:type="dxa"/>
            <w:vMerge/>
            <w:tcBorders>
              <w:top w:val="single" w:sz="6" w:space="0" w:color="000000"/>
              <w:left w:val="single" w:sz="6" w:space="0" w:color="000000"/>
              <w:right w:val="single" w:sz="6" w:space="0" w:color="000000"/>
            </w:tcBorders>
          </w:tcPr>
          <w:p w14:paraId="555DF551"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F1590E" w14:paraId="726185D6" w14:textId="77777777">
        <w:trPr>
          <w:trHeight w:val="35"/>
          <w:jc w:val="center"/>
        </w:trPr>
        <w:tc>
          <w:tcPr>
            <w:tcW w:w="3785" w:type="dxa"/>
            <w:tcBorders>
              <w:top w:val="single" w:sz="6" w:space="0" w:color="000000"/>
              <w:left w:val="single" w:sz="6" w:space="0" w:color="000000"/>
              <w:bottom w:val="single" w:sz="6" w:space="0" w:color="000000"/>
              <w:right w:val="single" w:sz="6" w:space="0" w:color="000000"/>
            </w:tcBorders>
            <w:vAlign w:val="center"/>
          </w:tcPr>
          <w:p w14:paraId="57B2D022"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6" w:space="0" w:color="000000"/>
              <w:left w:val="single" w:sz="6" w:space="0" w:color="000000"/>
              <w:bottom w:val="single" w:sz="6" w:space="0" w:color="000000"/>
              <w:right w:val="single" w:sz="6" w:space="0" w:color="000000"/>
            </w:tcBorders>
            <w:vAlign w:val="center"/>
          </w:tcPr>
          <w:p w14:paraId="01E792D4"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0" w:type="dxa"/>
            <w:tcBorders>
              <w:top w:val="single" w:sz="6" w:space="0" w:color="000000"/>
              <w:left w:val="single" w:sz="6" w:space="0" w:color="000000"/>
              <w:bottom w:val="single" w:sz="6" w:space="0" w:color="000000"/>
              <w:right w:val="single" w:sz="6" w:space="0" w:color="000000"/>
            </w:tcBorders>
            <w:vAlign w:val="center"/>
          </w:tcPr>
          <w:p w14:paraId="2BF886C4"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69" w:type="dxa"/>
            <w:tcBorders>
              <w:top w:val="single" w:sz="6" w:space="0" w:color="000000"/>
              <w:left w:val="single" w:sz="6" w:space="0" w:color="000000"/>
              <w:bottom w:val="single" w:sz="6" w:space="0" w:color="000000"/>
              <w:right w:val="single" w:sz="6" w:space="0" w:color="000000"/>
            </w:tcBorders>
            <w:vAlign w:val="center"/>
          </w:tcPr>
          <w:p w14:paraId="7856C613"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03" w:type="dxa"/>
            <w:tcBorders>
              <w:top w:val="single" w:sz="6" w:space="0" w:color="000000"/>
              <w:left w:val="single" w:sz="6" w:space="0" w:color="000000"/>
              <w:bottom w:val="single" w:sz="6" w:space="0" w:color="000000"/>
              <w:right w:val="single" w:sz="6" w:space="0" w:color="000000"/>
            </w:tcBorders>
            <w:vAlign w:val="center"/>
          </w:tcPr>
          <w:p w14:paraId="33F9B293"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36" w:type="dxa"/>
            <w:tcBorders>
              <w:top w:val="single" w:sz="6" w:space="0" w:color="000000"/>
              <w:left w:val="single" w:sz="6" w:space="0" w:color="000000"/>
              <w:bottom w:val="single" w:sz="6" w:space="0" w:color="000000"/>
              <w:right w:val="single" w:sz="6" w:space="0" w:color="000000"/>
            </w:tcBorders>
            <w:vAlign w:val="center"/>
          </w:tcPr>
          <w:p w14:paraId="0D448BFE"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tc>
        <w:tc>
          <w:tcPr>
            <w:tcW w:w="1320" w:type="dxa"/>
            <w:tcBorders>
              <w:top w:val="single" w:sz="6" w:space="0" w:color="000000"/>
              <w:left w:val="single" w:sz="6" w:space="0" w:color="000000"/>
              <w:bottom w:val="single" w:sz="6" w:space="0" w:color="000000"/>
              <w:right w:val="single" w:sz="6" w:space="0" w:color="000000"/>
            </w:tcBorders>
            <w:vAlign w:val="center"/>
          </w:tcPr>
          <w:p w14:paraId="19BB59E8"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91" w:type="dxa"/>
            <w:tcBorders>
              <w:top w:val="single" w:sz="6" w:space="0" w:color="000000"/>
              <w:left w:val="single" w:sz="6" w:space="0" w:color="000000"/>
              <w:bottom w:val="single" w:sz="6" w:space="0" w:color="000000"/>
              <w:right w:val="single" w:sz="6" w:space="0" w:color="000000"/>
            </w:tcBorders>
          </w:tcPr>
          <w:p w14:paraId="4374C976"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r>
      <w:tr w:rsidR="00F1590E" w14:paraId="36AF62B7" w14:textId="77777777">
        <w:trPr>
          <w:jc w:val="center"/>
        </w:trPr>
        <w:tc>
          <w:tcPr>
            <w:tcW w:w="12522" w:type="dxa"/>
            <w:gridSpan w:val="7"/>
            <w:tcBorders>
              <w:top w:val="single" w:sz="6" w:space="0" w:color="000000"/>
              <w:left w:val="single" w:sz="6" w:space="0" w:color="000000"/>
              <w:bottom w:val="single" w:sz="6" w:space="0" w:color="000000"/>
              <w:right w:val="single" w:sz="6" w:space="0" w:color="000000"/>
            </w:tcBorders>
          </w:tcPr>
          <w:p w14:paraId="22585802"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Актив</w:t>
            </w:r>
          </w:p>
        </w:tc>
        <w:tc>
          <w:tcPr>
            <w:tcW w:w="1491" w:type="dxa"/>
            <w:tcBorders>
              <w:top w:val="single" w:sz="6" w:space="0" w:color="000000"/>
              <w:left w:val="single" w:sz="6" w:space="0" w:color="000000"/>
              <w:bottom w:val="single" w:sz="6" w:space="0" w:color="000000"/>
              <w:right w:val="single" w:sz="6" w:space="0" w:color="000000"/>
            </w:tcBorders>
          </w:tcPr>
          <w:p w14:paraId="3235028B" w14:textId="77777777" w:rsidR="00F1590E" w:rsidRDefault="00F1590E">
            <w:pPr>
              <w:spacing w:after="0" w:line="240" w:lineRule="auto"/>
              <w:rPr>
                <w:rFonts w:ascii="Times New Roman" w:eastAsia="Times New Roman" w:hAnsi="Times New Roman" w:cs="Times New Roman"/>
                <w:b/>
                <w:sz w:val="24"/>
                <w:szCs w:val="24"/>
              </w:rPr>
            </w:pPr>
          </w:p>
        </w:tc>
      </w:tr>
      <w:tr w:rsidR="00F1590E" w14:paraId="2FD43DA8"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016AE69E" w14:textId="77777777" w:rsidR="00F1590E" w:rsidRDefault="000C4199">
            <w:p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1. Внеоборотные активы 1100</w:t>
            </w:r>
          </w:p>
        </w:tc>
        <w:tc>
          <w:tcPr>
            <w:tcW w:w="1469" w:type="dxa"/>
            <w:tcBorders>
              <w:top w:val="single" w:sz="6" w:space="0" w:color="000000"/>
              <w:left w:val="single" w:sz="6" w:space="0" w:color="000000"/>
              <w:bottom w:val="single" w:sz="6" w:space="0" w:color="000000"/>
              <w:right w:val="single" w:sz="6" w:space="0" w:color="000000"/>
            </w:tcBorders>
            <w:vAlign w:val="center"/>
          </w:tcPr>
          <w:p w14:paraId="7D1DF09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162 196 096</w:t>
            </w:r>
          </w:p>
        </w:tc>
        <w:tc>
          <w:tcPr>
            <w:tcW w:w="1340" w:type="dxa"/>
            <w:tcBorders>
              <w:top w:val="single" w:sz="6" w:space="0" w:color="000000"/>
              <w:left w:val="single" w:sz="6" w:space="0" w:color="000000"/>
              <w:bottom w:val="single" w:sz="6" w:space="0" w:color="000000"/>
              <w:right w:val="single" w:sz="6" w:space="0" w:color="000000"/>
            </w:tcBorders>
            <w:vAlign w:val="center"/>
          </w:tcPr>
          <w:p w14:paraId="00A3F61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246 338 966</w:t>
            </w:r>
          </w:p>
        </w:tc>
        <w:tc>
          <w:tcPr>
            <w:tcW w:w="1469" w:type="dxa"/>
            <w:tcBorders>
              <w:top w:val="single" w:sz="6" w:space="0" w:color="000000"/>
              <w:left w:val="single" w:sz="6" w:space="0" w:color="000000"/>
              <w:bottom w:val="single" w:sz="6" w:space="0" w:color="000000"/>
              <w:right w:val="single" w:sz="6" w:space="0" w:color="000000"/>
            </w:tcBorders>
            <w:vAlign w:val="center"/>
          </w:tcPr>
          <w:p w14:paraId="2D2409D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56,07%</w:t>
            </w:r>
          </w:p>
        </w:tc>
        <w:tc>
          <w:tcPr>
            <w:tcW w:w="1603" w:type="dxa"/>
            <w:tcBorders>
              <w:top w:val="single" w:sz="6" w:space="0" w:color="000000"/>
              <w:left w:val="single" w:sz="6" w:space="0" w:color="000000"/>
              <w:bottom w:val="single" w:sz="6" w:space="0" w:color="000000"/>
              <w:right w:val="single" w:sz="6" w:space="0" w:color="000000"/>
            </w:tcBorders>
            <w:vAlign w:val="center"/>
          </w:tcPr>
          <w:p w14:paraId="5A9AA69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67,57%</w:t>
            </w:r>
          </w:p>
        </w:tc>
        <w:tc>
          <w:tcPr>
            <w:tcW w:w="1536" w:type="dxa"/>
            <w:tcBorders>
              <w:top w:val="single" w:sz="6" w:space="0" w:color="000000"/>
              <w:left w:val="single" w:sz="6" w:space="0" w:color="000000"/>
              <w:bottom w:val="single" w:sz="6" w:space="0" w:color="000000"/>
              <w:right w:val="single" w:sz="6" w:space="0" w:color="000000"/>
            </w:tcBorders>
            <w:vAlign w:val="center"/>
          </w:tcPr>
          <w:p w14:paraId="79F5F59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84 142 870</w:t>
            </w:r>
          </w:p>
        </w:tc>
        <w:tc>
          <w:tcPr>
            <w:tcW w:w="1320" w:type="dxa"/>
            <w:tcBorders>
              <w:top w:val="single" w:sz="6" w:space="0" w:color="000000"/>
              <w:left w:val="single" w:sz="6" w:space="0" w:color="000000"/>
              <w:bottom w:val="single" w:sz="6" w:space="0" w:color="000000"/>
              <w:right w:val="single" w:sz="6" w:space="0" w:color="000000"/>
            </w:tcBorders>
            <w:vAlign w:val="bottom"/>
          </w:tcPr>
          <w:p w14:paraId="6BDC68D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11,49%</w:t>
            </w:r>
          </w:p>
        </w:tc>
        <w:tc>
          <w:tcPr>
            <w:tcW w:w="1491" w:type="dxa"/>
            <w:tcBorders>
              <w:top w:val="single" w:sz="6" w:space="0" w:color="000000"/>
              <w:left w:val="single" w:sz="6" w:space="0" w:color="000000"/>
              <w:bottom w:val="single" w:sz="6" w:space="0" w:color="000000"/>
              <w:right w:val="single" w:sz="6" w:space="0" w:color="000000"/>
            </w:tcBorders>
            <w:vAlign w:val="center"/>
          </w:tcPr>
          <w:p w14:paraId="01AEF40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151,88%</w:t>
            </w:r>
          </w:p>
        </w:tc>
      </w:tr>
      <w:tr w:rsidR="00F1590E" w14:paraId="5D608F19"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7C4E27B4"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 том числе:</w:t>
            </w:r>
            <w:r>
              <w:rPr>
                <w:rFonts w:ascii="Times New Roman" w:eastAsia="Times New Roman" w:hAnsi="Times New Roman" w:cs="Times New Roman"/>
                <w:sz w:val="24"/>
                <w:szCs w:val="24"/>
              </w:rPr>
              <w:br/>
              <w:t>основные средства 1150</w:t>
            </w:r>
          </w:p>
        </w:tc>
        <w:tc>
          <w:tcPr>
            <w:tcW w:w="1469" w:type="dxa"/>
            <w:tcBorders>
              <w:top w:val="single" w:sz="6" w:space="0" w:color="000000"/>
              <w:left w:val="single" w:sz="6" w:space="0" w:color="000000"/>
              <w:bottom w:val="single" w:sz="6" w:space="0" w:color="000000"/>
              <w:right w:val="single" w:sz="6" w:space="0" w:color="000000"/>
            </w:tcBorders>
            <w:vAlign w:val="center"/>
          </w:tcPr>
          <w:p w14:paraId="5D5614C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65 588 293</w:t>
            </w:r>
          </w:p>
        </w:tc>
        <w:tc>
          <w:tcPr>
            <w:tcW w:w="1340" w:type="dxa"/>
            <w:tcBorders>
              <w:top w:val="single" w:sz="6" w:space="0" w:color="000000"/>
              <w:left w:val="single" w:sz="6" w:space="0" w:color="000000"/>
              <w:bottom w:val="single" w:sz="6" w:space="0" w:color="000000"/>
              <w:right w:val="single" w:sz="6" w:space="0" w:color="000000"/>
            </w:tcBorders>
            <w:vAlign w:val="center"/>
          </w:tcPr>
          <w:p w14:paraId="4A68282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75 837 228</w:t>
            </w:r>
          </w:p>
        </w:tc>
        <w:tc>
          <w:tcPr>
            <w:tcW w:w="1469" w:type="dxa"/>
            <w:tcBorders>
              <w:top w:val="single" w:sz="6" w:space="0" w:color="000000"/>
              <w:left w:val="single" w:sz="6" w:space="0" w:color="000000"/>
              <w:bottom w:val="single" w:sz="6" w:space="0" w:color="000000"/>
              <w:right w:val="single" w:sz="6" w:space="0" w:color="000000"/>
            </w:tcBorders>
            <w:vAlign w:val="center"/>
          </w:tcPr>
          <w:p w14:paraId="18DA394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22,68%</w:t>
            </w:r>
          </w:p>
        </w:tc>
        <w:tc>
          <w:tcPr>
            <w:tcW w:w="1603" w:type="dxa"/>
            <w:tcBorders>
              <w:top w:val="single" w:sz="6" w:space="0" w:color="000000"/>
              <w:left w:val="single" w:sz="6" w:space="0" w:color="000000"/>
              <w:bottom w:val="single" w:sz="6" w:space="0" w:color="000000"/>
              <w:right w:val="single" w:sz="6" w:space="0" w:color="000000"/>
            </w:tcBorders>
            <w:vAlign w:val="center"/>
          </w:tcPr>
          <w:p w14:paraId="06D497C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20,80%</w:t>
            </w:r>
          </w:p>
        </w:tc>
        <w:tc>
          <w:tcPr>
            <w:tcW w:w="1536" w:type="dxa"/>
            <w:tcBorders>
              <w:top w:val="single" w:sz="6" w:space="0" w:color="000000"/>
              <w:left w:val="single" w:sz="6" w:space="0" w:color="000000"/>
              <w:bottom w:val="single" w:sz="6" w:space="0" w:color="000000"/>
              <w:right w:val="single" w:sz="6" w:space="0" w:color="000000"/>
            </w:tcBorders>
            <w:vAlign w:val="center"/>
          </w:tcPr>
          <w:p w14:paraId="24CFD3E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10 248 935</w:t>
            </w:r>
          </w:p>
        </w:tc>
        <w:tc>
          <w:tcPr>
            <w:tcW w:w="1320" w:type="dxa"/>
            <w:tcBorders>
              <w:top w:val="single" w:sz="6" w:space="0" w:color="000000"/>
              <w:left w:val="single" w:sz="6" w:space="0" w:color="000000"/>
              <w:bottom w:val="single" w:sz="6" w:space="0" w:color="000000"/>
              <w:right w:val="single" w:sz="6" w:space="0" w:color="000000"/>
            </w:tcBorders>
            <w:vAlign w:val="bottom"/>
          </w:tcPr>
          <w:p w14:paraId="5402507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-1,87%</w:t>
            </w:r>
          </w:p>
        </w:tc>
        <w:tc>
          <w:tcPr>
            <w:tcW w:w="1491" w:type="dxa"/>
            <w:tcBorders>
              <w:top w:val="single" w:sz="6" w:space="0" w:color="000000"/>
              <w:left w:val="single" w:sz="6" w:space="0" w:color="000000"/>
              <w:bottom w:val="single" w:sz="6" w:space="0" w:color="000000"/>
              <w:right w:val="single" w:sz="6" w:space="0" w:color="000000"/>
            </w:tcBorders>
            <w:vAlign w:val="center"/>
          </w:tcPr>
          <w:p w14:paraId="77D5BA7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115,63%</w:t>
            </w:r>
          </w:p>
        </w:tc>
      </w:tr>
      <w:tr w:rsidR="00F1590E" w14:paraId="0A112E54"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5C5EA0C0"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финансовые вложения 1170</w:t>
            </w:r>
          </w:p>
        </w:tc>
        <w:tc>
          <w:tcPr>
            <w:tcW w:w="1469" w:type="dxa"/>
            <w:tcBorders>
              <w:top w:val="single" w:sz="6" w:space="0" w:color="000000"/>
              <w:left w:val="single" w:sz="6" w:space="0" w:color="000000"/>
              <w:bottom w:val="single" w:sz="6" w:space="0" w:color="000000"/>
              <w:right w:val="single" w:sz="6" w:space="0" w:color="000000"/>
            </w:tcBorders>
            <w:vAlign w:val="center"/>
          </w:tcPr>
          <w:p w14:paraId="3549CA7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87 981 798</w:t>
            </w:r>
          </w:p>
        </w:tc>
        <w:tc>
          <w:tcPr>
            <w:tcW w:w="1340" w:type="dxa"/>
            <w:tcBorders>
              <w:top w:val="single" w:sz="6" w:space="0" w:color="000000"/>
              <w:left w:val="single" w:sz="6" w:space="0" w:color="000000"/>
              <w:bottom w:val="single" w:sz="6" w:space="0" w:color="000000"/>
              <w:right w:val="single" w:sz="6" w:space="0" w:color="000000"/>
            </w:tcBorders>
            <w:vAlign w:val="center"/>
          </w:tcPr>
          <w:p w14:paraId="6AE8A2C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162 542 194</w:t>
            </w:r>
          </w:p>
        </w:tc>
        <w:tc>
          <w:tcPr>
            <w:tcW w:w="1469" w:type="dxa"/>
            <w:tcBorders>
              <w:top w:val="single" w:sz="6" w:space="0" w:color="000000"/>
              <w:left w:val="single" w:sz="6" w:space="0" w:color="000000"/>
              <w:bottom w:val="single" w:sz="6" w:space="0" w:color="000000"/>
              <w:right w:val="single" w:sz="6" w:space="0" w:color="000000"/>
            </w:tcBorders>
            <w:vAlign w:val="center"/>
          </w:tcPr>
          <w:p w14:paraId="79B96F9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30,42%</w:t>
            </w:r>
          </w:p>
        </w:tc>
        <w:tc>
          <w:tcPr>
            <w:tcW w:w="1603" w:type="dxa"/>
            <w:tcBorders>
              <w:top w:val="single" w:sz="6" w:space="0" w:color="000000"/>
              <w:left w:val="single" w:sz="6" w:space="0" w:color="000000"/>
              <w:bottom w:val="single" w:sz="6" w:space="0" w:color="000000"/>
              <w:right w:val="single" w:sz="6" w:space="0" w:color="000000"/>
            </w:tcBorders>
            <w:vAlign w:val="center"/>
          </w:tcPr>
          <w:p w14:paraId="59FA5F1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44,58%</w:t>
            </w:r>
          </w:p>
        </w:tc>
        <w:tc>
          <w:tcPr>
            <w:tcW w:w="1536" w:type="dxa"/>
            <w:tcBorders>
              <w:top w:val="single" w:sz="6" w:space="0" w:color="000000"/>
              <w:left w:val="single" w:sz="6" w:space="0" w:color="000000"/>
              <w:bottom w:val="single" w:sz="6" w:space="0" w:color="000000"/>
              <w:right w:val="single" w:sz="6" w:space="0" w:color="000000"/>
            </w:tcBorders>
            <w:vAlign w:val="center"/>
          </w:tcPr>
          <w:p w14:paraId="751F364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74 560 396</w:t>
            </w:r>
          </w:p>
        </w:tc>
        <w:tc>
          <w:tcPr>
            <w:tcW w:w="1320" w:type="dxa"/>
            <w:tcBorders>
              <w:top w:val="single" w:sz="6" w:space="0" w:color="000000"/>
              <w:left w:val="single" w:sz="6" w:space="0" w:color="000000"/>
              <w:bottom w:val="single" w:sz="6" w:space="0" w:color="000000"/>
              <w:right w:val="single" w:sz="6" w:space="0" w:color="000000"/>
            </w:tcBorders>
            <w:vAlign w:val="bottom"/>
          </w:tcPr>
          <w:p w14:paraId="4972D0E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14,16%</w:t>
            </w:r>
          </w:p>
        </w:tc>
        <w:tc>
          <w:tcPr>
            <w:tcW w:w="1491" w:type="dxa"/>
            <w:tcBorders>
              <w:top w:val="single" w:sz="6" w:space="0" w:color="000000"/>
              <w:left w:val="single" w:sz="6" w:space="0" w:color="000000"/>
              <w:bottom w:val="single" w:sz="6" w:space="0" w:color="000000"/>
              <w:right w:val="single" w:sz="6" w:space="0" w:color="000000"/>
            </w:tcBorders>
            <w:vAlign w:val="center"/>
          </w:tcPr>
          <w:p w14:paraId="54C44ED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184,75%</w:t>
            </w:r>
          </w:p>
        </w:tc>
      </w:tr>
      <w:tr w:rsidR="00F1590E" w14:paraId="05FD6C20"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502B0409" w14:textId="77777777" w:rsidR="00F1590E" w:rsidRDefault="000C4199">
            <w:p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2. Оборотные, всего 1200</w:t>
            </w:r>
          </w:p>
        </w:tc>
        <w:tc>
          <w:tcPr>
            <w:tcW w:w="1469" w:type="dxa"/>
            <w:tcBorders>
              <w:top w:val="single" w:sz="6" w:space="0" w:color="000000"/>
              <w:left w:val="single" w:sz="6" w:space="0" w:color="000000"/>
              <w:bottom w:val="single" w:sz="6" w:space="0" w:color="000000"/>
              <w:right w:val="single" w:sz="6" w:space="0" w:color="000000"/>
            </w:tcBorders>
            <w:vAlign w:val="center"/>
          </w:tcPr>
          <w:p w14:paraId="1D46BDF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127 056 346</w:t>
            </w:r>
          </w:p>
        </w:tc>
        <w:tc>
          <w:tcPr>
            <w:tcW w:w="1340" w:type="dxa"/>
            <w:tcBorders>
              <w:top w:val="single" w:sz="6" w:space="0" w:color="000000"/>
              <w:left w:val="single" w:sz="6" w:space="0" w:color="000000"/>
              <w:bottom w:val="single" w:sz="6" w:space="0" w:color="000000"/>
              <w:right w:val="single" w:sz="6" w:space="0" w:color="000000"/>
            </w:tcBorders>
            <w:vAlign w:val="center"/>
          </w:tcPr>
          <w:p w14:paraId="3DF26766" w14:textId="77777777" w:rsidR="00F1590E" w:rsidRDefault="000C4199">
            <w:pPr>
              <w:jc w:val="center"/>
              <w:rPr>
                <w:rFonts w:ascii="Times New Roman" w:eastAsia="Times New Roman" w:hAnsi="Times New Roman" w:cs="Times New Roman"/>
                <w:color w:val="000000"/>
                <w:sz w:val="24"/>
                <w:szCs w:val="24"/>
              </w:rPr>
            </w:pPr>
            <w:bookmarkStart w:id="0" w:name="bookmark=id.90bcip1ti5jb" w:colFirst="0" w:colLast="0"/>
            <w:bookmarkEnd w:id="0"/>
            <w:r>
              <w:rPr>
                <w:rFonts w:ascii="Times New Roman" w:eastAsia="Times New Roman" w:hAnsi="Times New Roman" w:cs="Times New Roman"/>
                <w:color w:val="000000"/>
              </w:rPr>
              <w:t>118 255 150</w:t>
            </w:r>
          </w:p>
        </w:tc>
        <w:tc>
          <w:tcPr>
            <w:tcW w:w="1469" w:type="dxa"/>
            <w:tcBorders>
              <w:top w:val="single" w:sz="6" w:space="0" w:color="000000"/>
              <w:left w:val="single" w:sz="6" w:space="0" w:color="000000"/>
              <w:bottom w:val="single" w:sz="6" w:space="0" w:color="000000"/>
              <w:right w:val="single" w:sz="6" w:space="0" w:color="000000"/>
            </w:tcBorders>
            <w:vAlign w:val="center"/>
          </w:tcPr>
          <w:p w14:paraId="1775968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43,93%</w:t>
            </w:r>
          </w:p>
        </w:tc>
        <w:tc>
          <w:tcPr>
            <w:tcW w:w="1603" w:type="dxa"/>
            <w:tcBorders>
              <w:top w:val="single" w:sz="6" w:space="0" w:color="000000"/>
              <w:left w:val="single" w:sz="6" w:space="0" w:color="000000"/>
              <w:bottom w:val="single" w:sz="6" w:space="0" w:color="000000"/>
              <w:right w:val="single" w:sz="6" w:space="0" w:color="000000"/>
            </w:tcBorders>
            <w:vAlign w:val="center"/>
          </w:tcPr>
          <w:p w14:paraId="151BECF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32,43%</w:t>
            </w:r>
          </w:p>
        </w:tc>
        <w:tc>
          <w:tcPr>
            <w:tcW w:w="1536" w:type="dxa"/>
            <w:tcBorders>
              <w:top w:val="single" w:sz="6" w:space="0" w:color="000000"/>
              <w:left w:val="single" w:sz="6" w:space="0" w:color="000000"/>
              <w:bottom w:val="single" w:sz="6" w:space="0" w:color="000000"/>
              <w:right w:val="single" w:sz="6" w:space="0" w:color="000000"/>
            </w:tcBorders>
            <w:vAlign w:val="center"/>
          </w:tcPr>
          <w:p w14:paraId="6B5F981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8 801 196</w:t>
            </w:r>
          </w:p>
        </w:tc>
        <w:tc>
          <w:tcPr>
            <w:tcW w:w="1320" w:type="dxa"/>
            <w:tcBorders>
              <w:top w:val="single" w:sz="6" w:space="0" w:color="000000"/>
              <w:left w:val="single" w:sz="6" w:space="0" w:color="000000"/>
              <w:bottom w:val="single" w:sz="6" w:space="0" w:color="000000"/>
              <w:right w:val="single" w:sz="6" w:space="0" w:color="000000"/>
            </w:tcBorders>
            <w:vAlign w:val="bottom"/>
          </w:tcPr>
          <w:p w14:paraId="4D5AF06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-11,49%</w:t>
            </w:r>
          </w:p>
        </w:tc>
        <w:tc>
          <w:tcPr>
            <w:tcW w:w="1491" w:type="dxa"/>
            <w:tcBorders>
              <w:top w:val="single" w:sz="6" w:space="0" w:color="000000"/>
              <w:left w:val="single" w:sz="6" w:space="0" w:color="000000"/>
              <w:bottom w:val="single" w:sz="6" w:space="0" w:color="000000"/>
              <w:right w:val="single" w:sz="6" w:space="0" w:color="000000"/>
            </w:tcBorders>
            <w:vAlign w:val="center"/>
          </w:tcPr>
          <w:p w14:paraId="34C5092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93,07%</w:t>
            </w:r>
          </w:p>
        </w:tc>
      </w:tr>
      <w:tr w:rsidR="00F1590E" w14:paraId="0CDB8BB9"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6629AF43"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 том числе:</w:t>
            </w:r>
            <w:r>
              <w:rPr>
                <w:rFonts w:ascii="Times New Roman" w:eastAsia="Times New Roman" w:hAnsi="Times New Roman" w:cs="Times New Roman"/>
                <w:sz w:val="24"/>
                <w:szCs w:val="24"/>
              </w:rPr>
              <w:br/>
              <w:t>запасы 1210</w:t>
            </w:r>
          </w:p>
        </w:tc>
        <w:tc>
          <w:tcPr>
            <w:tcW w:w="1469" w:type="dxa"/>
            <w:tcBorders>
              <w:top w:val="single" w:sz="6" w:space="0" w:color="000000"/>
              <w:left w:val="single" w:sz="6" w:space="0" w:color="000000"/>
              <w:bottom w:val="single" w:sz="6" w:space="0" w:color="000000"/>
              <w:right w:val="single" w:sz="6" w:space="0" w:color="000000"/>
            </w:tcBorders>
            <w:vAlign w:val="center"/>
          </w:tcPr>
          <w:p w14:paraId="68357A8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17 042 553</w:t>
            </w:r>
          </w:p>
        </w:tc>
        <w:tc>
          <w:tcPr>
            <w:tcW w:w="1340" w:type="dxa"/>
            <w:tcBorders>
              <w:top w:val="single" w:sz="6" w:space="0" w:color="000000"/>
              <w:left w:val="single" w:sz="6" w:space="0" w:color="000000"/>
              <w:bottom w:val="single" w:sz="6" w:space="0" w:color="000000"/>
              <w:right w:val="single" w:sz="6" w:space="0" w:color="000000"/>
            </w:tcBorders>
            <w:vAlign w:val="center"/>
          </w:tcPr>
          <w:p w14:paraId="66AB4B9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19 909 693</w:t>
            </w:r>
          </w:p>
        </w:tc>
        <w:tc>
          <w:tcPr>
            <w:tcW w:w="1469" w:type="dxa"/>
            <w:tcBorders>
              <w:top w:val="single" w:sz="6" w:space="0" w:color="000000"/>
              <w:left w:val="single" w:sz="6" w:space="0" w:color="000000"/>
              <w:bottom w:val="single" w:sz="6" w:space="0" w:color="000000"/>
              <w:right w:val="single" w:sz="6" w:space="0" w:color="000000"/>
            </w:tcBorders>
            <w:vAlign w:val="center"/>
          </w:tcPr>
          <w:p w14:paraId="547EB31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5,89%</w:t>
            </w:r>
          </w:p>
        </w:tc>
        <w:tc>
          <w:tcPr>
            <w:tcW w:w="1603" w:type="dxa"/>
            <w:tcBorders>
              <w:top w:val="single" w:sz="6" w:space="0" w:color="000000"/>
              <w:left w:val="single" w:sz="6" w:space="0" w:color="000000"/>
              <w:bottom w:val="single" w:sz="6" w:space="0" w:color="000000"/>
              <w:right w:val="single" w:sz="6" w:space="0" w:color="000000"/>
            </w:tcBorders>
            <w:vAlign w:val="center"/>
          </w:tcPr>
          <w:p w14:paraId="1BA898A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5,46%</w:t>
            </w:r>
          </w:p>
        </w:tc>
        <w:tc>
          <w:tcPr>
            <w:tcW w:w="1536" w:type="dxa"/>
            <w:tcBorders>
              <w:top w:val="single" w:sz="6" w:space="0" w:color="000000"/>
              <w:left w:val="single" w:sz="6" w:space="0" w:color="000000"/>
              <w:bottom w:val="single" w:sz="6" w:space="0" w:color="000000"/>
              <w:right w:val="single" w:sz="6" w:space="0" w:color="000000"/>
            </w:tcBorders>
            <w:vAlign w:val="center"/>
          </w:tcPr>
          <w:p w14:paraId="2DF3F8D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2 867 140</w:t>
            </w:r>
          </w:p>
        </w:tc>
        <w:tc>
          <w:tcPr>
            <w:tcW w:w="1320" w:type="dxa"/>
            <w:tcBorders>
              <w:top w:val="single" w:sz="6" w:space="0" w:color="000000"/>
              <w:left w:val="single" w:sz="6" w:space="0" w:color="000000"/>
              <w:bottom w:val="single" w:sz="6" w:space="0" w:color="000000"/>
              <w:right w:val="single" w:sz="6" w:space="0" w:color="000000"/>
            </w:tcBorders>
            <w:vAlign w:val="bottom"/>
          </w:tcPr>
          <w:p w14:paraId="039ED56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-0,43%</w:t>
            </w:r>
          </w:p>
        </w:tc>
        <w:tc>
          <w:tcPr>
            <w:tcW w:w="1491" w:type="dxa"/>
            <w:tcBorders>
              <w:top w:val="single" w:sz="6" w:space="0" w:color="000000"/>
              <w:left w:val="single" w:sz="6" w:space="0" w:color="000000"/>
              <w:bottom w:val="single" w:sz="6" w:space="0" w:color="000000"/>
              <w:right w:val="single" w:sz="6" w:space="0" w:color="000000"/>
            </w:tcBorders>
            <w:vAlign w:val="center"/>
          </w:tcPr>
          <w:p w14:paraId="7F6CD2A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116,82%</w:t>
            </w:r>
          </w:p>
        </w:tc>
      </w:tr>
      <w:tr w:rsidR="00F1590E" w14:paraId="0AB86530"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5D8BED54"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дебиторская задолженность 1230</w:t>
            </w:r>
          </w:p>
        </w:tc>
        <w:tc>
          <w:tcPr>
            <w:tcW w:w="1469" w:type="dxa"/>
            <w:tcBorders>
              <w:top w:val="single" w:sz="6" w:space="0" w:color="000000"/>
              <w:left w:val="single" w:sz="6" w:space="0" w:color="000000"/>
              <w:bottom w:val="single" w:sz="6" w:space="0" w:color="000000"/>
              <w:right w:val="single" w:sz="6" w:space="0" w:color="000000"/>
            </w:tcBorders>
            <w:vAlign w:val="center"/>
          </w:tcPr>
          <w:p w14:paraId="5C1CA76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40 715 200</w:t>
            </w:r>
          </w:p>
        </w:tc>
        <w:tc>
          <w:tcPr>
            <w:tcW w:w="1340" w:type="dxa"/>
            <w:tcBorders>
              <w:top w:val="single" w:sz="6" w:space="0" w:color="000000"/>
              <w:left w:val="single" w:sz="6" w:space="0" w:color="000000"/>
              <w:bottom w:val="single" w:sz="6" w:space="0" w:color="000000"/>
              <w:right w:val="single" w:sz="6" w:space="0" w:color="000000"/>
            </w:tcBorders>
            <w:vAlign w:val="center"/>
          </w:tcPr>
          <w:p w14:paraId="524EE5D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51 709 482</w:t>
            </w:r>
          </w:p>
        </w:tc>
        <w:tc>
          <w:tcPr>
            <w:tcW w:w="1469" w:type="dxa"/>
            <w:tcBorders>
              <w:top w:val="single" w:sz="6" w:space="0" w:color="000000"/>
              <w:left w:val="single" w:sz="6" w:space="0" w:color="000000"/>
              <w:bottom w:val="single" w:sz="6" w:space="0" w:color="000000"/>
              <w:right w:val="single" w:sz="6" w:space="0" w:color="000000"/>
            </w:tcBorders>
            <w:vAlign w:val="center"/>
          </w:tcPr>
          <w:p w14:paraId="37D5727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14,08%</w:t>
            </w:r>
          </w:p>
        </w:tc>
        <w:tc>
          <w:tcPr>
            <w:tcW w:w="1603" w:type="dxa"/>
            <w:tcBorders>
              <w:top w:val="single" w:sz="6" w:space="0" w:color="000000"/>
              <w:left w:val="single" w:sz="6" w:space="0" w:color="000000"/>
              <w:bottom w:val="single" w:sz="6" w:space="0" w:color="000000"/>
              <w:right w:val="single" w:sz="6" w:space="0" w:color="000000"/>
            </w:tcBorders>
            <w:vAlign w:val="center"/>
          </w:tcPr>
          <w:p w14:paraId="1295A3B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14,18%</w:t>
            </w:r>
          </w:p>
        </w:tc>
        <w:tc>
          <w:tcPr>
            <w:tcW w:w="1536" w:type="dxa"/>
            <w:tcBorders>
              <w:top w:val="single" w:sz="6" w:space="0" w:color="000000"/>
              <w:left w:val="single" w:sz="6" w:space="0" w:color="000000"/>
              <w:bottom w:val="single" w:sz="6" w:space="0" w:color="000000"/>
              <w:right w:val="single" w:sz="6" w:space="0" w:color="000000"/>
            </w:tcBorders>
            <w:vAlign w:val="center"/>
          </w:tcPr>
          <w:p w14:paraId="11B569F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10 994 282</w:t>
            </w:r>
          </w:p>
        </w:tc>
        <w:tc>
          <w:tcPr>
            <w:tcW w:w="1320" w:type="dxa"/>
            <w:tcBorders>
              <w:top w:val="single" w:sz="6" w:space="0" w:color="000000"/>
              <w:left w:val="single" w:sz="6" w:space="0" w:color="000000"/>
              <w:bottom w:val="single" w:sz="6" w:space="0" w:color="000000"/>
              <w:right w:val="single" w:sz="6" w:space="0" w:color="000000"/>
            </w:tcBorders>
            <w:vAlign w:val="bottom"/>
          </w:tcPr>
          <w:p w14:paraId="77AEBFB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0,11%</w:t>
            </w:r>
          </w:p>
        </w:tc>
        <w:tc>
          <w:tcPr>
            <w:tcW w:w="1491" w:type="dxa"/>
            <w:tcBorders>
              <w:top w:val="single" w:sz="6" w:space="0" w:color="000000"/>
              <w:left w:val="single" w:sz="6" w:space="0" w:color="000000"/>
              <w:bottom w:val="single" w:sz="6" w:space="0" w:color="000000"/>
              <w:right w:val="single" w:sz="6" w:space="0" w:color="000000"/>
            </w:tcBorders>
            <w:vAlign w:val="center"/>
          </w:tcPr>
          <w:p w14:paraId="05FE601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127,00%</w:t>
            </w:r>
          </w:p>
        </w:tc>
      </w:tr>
      <w:tr w:rsidR="00F1590E" w14:paraId="089BE1D0"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5F0EA353"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green"/>
              </w:rPr>
              <w:t>краткосрочные финансовые вложения 1240</w:t>
            </w:r>
          </w:p>
        </w:tc>
        <w:tc>
          <w:tcPr>
            <w:tcW w:w="1469" w:type="dxa"/>
            <w:tcBorders>
              <w:top w:val="single" w:sz="6" w:space="0" w:color="000000"/>
              <w:left w:val="single" w:sz="6" w:space="0" w:color="000000"/>
              <w:bottom w:val="single" w:sz="6" w:space="0" w:color="000000"/>
              <w:right w:val="single" w:sz="6" w:space="0" w:color="000000"/>
            </w:tcBorders>
            <w:vAlign w:val="center"/>
          </w:tcPr>
          <w:p w14:paraId="4F9C8C8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14 617 094</w:t>
            </w:r>
          </w:p>
        </w:tc>
        <w:tc>
          <w:tcPr>
            <w:tcW w:w="1340" w:type="dxa"/>
            <w:tcBorders>
              <w:top w:val="single" w:sz="6" w:space="0" w:color="000000"/>
              <w:left w:val="single" w:sz="6" w:space="0" w:color="000000"/>
              <w:bottom w:val="single" w:sz="6" w:space="0" w:color="000000"/>
              <w:right w:val="single" w:sz="6" w:space="0" w:color="000000"/>
            </w:tcBorders>
            <w:vAlign w:val="center"/>
          </w:tcPr>
          <w:p w14:paraId="43C80E0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17 094</w:t>
            </w:r>
          </w:p>
        </w:tc>
        <w:tc>
          <w:tcPr>
            <w:tcW w:w="1469" w:type="dxa"/>
            <w:tcBorders>
              <w:top w:val="single" w:sz="6" w:space="0" w:color="000000"/>
              <w:left w:val="single" w:sz="6" w:space="0" w:color="000000"/>
              <w:bottom w:val="single" w:sz="6" w:space="0" w:color="000000"/>
              <w:right w:val="single" w:sz="6" w:space="0" w:color="000000"/>
            </w:tcBorders>
            <w:vAlign w:val="center"/>
          </w:tcPr>
          <w:p w14:paraId="6CCF0D7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5,05%</w:t>
            </w:r>
          </w:p>
        </w:tc>
        <w:tc>
          <w:tcPr>
            <w:tcW w:w="1603" w:type="dxa"/>
            <w:tcBorders>
              <w:top w:val="single" w:sz="6" w:space="0" w:color="000000"/>
              <w:left w:val="single" w:sz="6" w:space="0" w:color="000000"/>
              <w:bottom w:val="single" w:sz="6" w:space="0" w:color="000000"/>
              <w:right w:val="single" w:sz="6" w:space="0" w:color="000000"/>
            </w:tcBorders>
            <w:vAlign w:val="center"/>
          </w:tcPr>
          <w:p w14:paraId="5E446FC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0,005%</w:t>
            </w:r>
          </w:p>
        </w:tc>
        <w:tc>
          <w:tcPr>
            <w:tcW w:w="1536" w:type="dxa"/>
            <w:tcBorders>
              <w:top w:val="single" w:sz="6" w:space="0" w:color="000000"/>
              <w:left w:val="single" w:sz="6" w:space="0" w:color="000000"/>
              <w:bottom w:val="single" w:sz="6" w:space="0" w:color="000000"/>
              <w:right w:val="single" w:sz="6" w:space="0" w:color="000000"/>
            </w:tcBorders>
            <w:vAlign w:val="center"/>
          </w:tcPr>
          <w:p w14:paraId="02815F0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- 14 600 000</w:t>
            </w:r>
          </w:p>
        </w:tc>
        <w:tc>
          <w:tcPr>
            <w:tcW w:w="1320" w:type="dxa"/>
            <w:tcBorders>
              <w:top w:val="single" w:sz="6" w:space="0" w:color="000000"/>
              <w:left w:val="single" w:sz="6" w:space="0" w:color="000000"/>
              <w:bottom w:val="single" w:sz="6" w:space="0" w:color="000000"/>
              <w:right w:val="single" w:sz="6" w:space="0" w:color="000000"/>
            </w:tcBorders>
            <w:vAlign w:val="bottom"/>
          </w:tcPr>
          <w:p w14:paraId="3827E77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-5,049%</w:t>
            </w:r>
          </w:p>
        </w:tc>
        <w:tc>
          <w:tcPr>
            <w:tcW w:w="1491" w:type="dxa"/>
            <w:tcBorders>
              <w:top w:val="single" w:sz="6" w:space="0" w:color="000000"/>
              <w:left w:val="single" w:sz="6" w:space="0" w:color="000000"/>
              <w:bottom w:val="single" w:sz="6" w:space="0" w:color="000000"/>
              <w:right w:val="single" w:sz="6" w:space="0" w:color="000000"/>
            </w:tcBorders>
            <w:vAlign w:val="center"/>
          </w:tcPr>
          <w:p w14:paraId="6DE86C9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0,12%</w:t>
            </w:r>
          </w:p>
        </w:tc>
      </w:tr>
      <w:tr w:rsidR="00F1590E" w14:paraId="0322A93B"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5F329824"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green"/>
              </w:rPr>
              <w:t>денежные средства 1250</w:t>
            </w:r>
          </w:p>
        </w:tc>
        <w:tc>
          <w:tcPr>
            <w:tcW w:w="1469" w:type="dxa"/>
            <w:tcBorders>
              <w:top w:val="single" w:sz="6" w:space="0" w:color="000000"/>
              <w:left w:val="single" w:sz="6" w:space="0" w:color="000000"/>
              <w:bottom w:val="single" w:sz="6" w:space="0" w:color="000000"/>
              <w:right w:val="single" w:sz="6" w:space="0" w:color="000000"/>
            </w:tcBorders>
            <w:vAlign w:val="center"/>
          </w:tcPr>
          <w:p w14:paraId="3303840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54 255 551</w:t>
            </w:r>
          </w:p>
        </w:tc>
        <w:tc>
          <w:tcPr>
            <w:tcW w:w="1340" w:type="dxa"/>
            <w:tcBorders>
              <w:top w:val="single" w:sz="6" w:space="0" w:color="000000"/>
              <w:left w:val="single" w:sz="6" w:space="0" w:color="000000"/>
              <w:bottom w:val="single" w:sz="6" w:space="0" w:color="000000"/>
              <w:right w:val="single" w:sz="6" w:space="0" w:color="000000"/>
            </w:tcBorders>
            <w:vAlign w:val="center"/>
          </w:tcPr>
          <w:p w14:paraId="28ECF06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46 228 498</w:t>
            </w:r>
          </w:p>
        </w:tc>
        <w:tc>
          <w:tcPr>
            <w:tcW w:w="1469" w:type="dxa"/>
            <w:tcBorders>
              <w:top w:val="single" w:sz="6" w:space="0" w:color="000000"/>
              <w:left w:val="single" w:sz="6" w:space="0" w:color="000000"/>
              <w:bottom w:val="single" w:sz="6" w:space="0" w:color="000000"/>
              <w:right w:val="single" w:sz="6" w:space="0" w:color="000000"/>
            </w:tcBorders>
            <w:vAlign w:val="center"/>
          </w:tcPr>
          <w:p w14:paraId="24CFCD4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18,76%</w:t>
            </w:r>
          </w:p>
        </w:tc>
        <w:tc>
          <w:tcPr>
            <w:tcW w:w="1603" w:type="dxa"/>
            <w:tcBorders>
              <w:top w:val="single" w:sz="6" w:space="0" w:color="000000"/>
              <w:left w:val="single" w:sz="6" w:space="0" w:color="000000"/>
              <w:bottom w:val="single" w:sz="6" w:space="0" w:color="000000"/>
              <w:right w:val="single" w:sz="6" w:space="0" w:color="000000"/>
            </w:tcBorders>
            <w:vAlign w:val="center"/>
          </w:tcPr>
          <w:p w14:paraId="5301F9A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12,68%</w:t>
            </w:r>
          </w:p>
        </w:tc>
        <w:tc>
          <w:tcPr>
            <w:tcW w:w="1536" w:type="dxa"/>
            <w:tcBorders>
              <w:top w:val="single" w:sz="6" w:space="0" w:color="000000"/>
              <w:left w:val="single" w:sz="6" w:space="0" w:color="000000"/>
              <w:bottom w:val="single" w:sz="6" w:space="0" w:color="000000"/>
              <w:right w:val="single" w:sz="6" w:space="0" w:color="000000"/>
            </w:tcBorders>
            <w:vAlign w:val="center"/>
          </w:tcPr>
          <w:p w14:paraId="0DD42B2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8 027 053</w:t>
            </w:r>
          </w:p>
        </w:tc>
        <w:tc>
          <w:tcPr>
            <w:tcW w:w="1320" w:type="dxa"/>
            <w:tcBorders>
              <w:top w:val="single" w:sz="6" w:space="0" w:color="000000"/>
              <w:left w:val="single" w:sz="6" w:space="0" w:color="000000"/>
              <w:bottom w:val="single" w:sz="6" w:space="0" w:color="000000"/>
              <w:right w:val="single" w:sz="6" w:space="0" w:color="000000"/>
            </w:tcBorders>
            <w:vAlign w:val="bottom"/>
          </w:tcPr>
          <w:p w14:paraId="1F875D3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-6,08%</w:t>
            </w:r>
          </w:p>
        </w:tc>
        <w:tc>
          <w:tcPr>
            <w:tcW w:w="1491" w:type="dxa"/>
            <w:tcBorders>
              <w:top w:val="single" w:sz="6" w:space="0" w:color="000000"/>
              <w:left w:val="single" w:sz="6" w:space="0" w:color="000000"/>
              <w:bottom w:val="single" w:sz="6" w:space="0" w:color="000000"/>
              <w:right w:val="single" w:sz="6" w:space="0" w:color="000000"/>
            </w:tcBorders>
            <w:vAlign w:val="center"/>
          </w:tcPr>
          <w:p w14:paraId="270EF03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85,21%</w:t>
            </w:r>
          </w:p>
        </w:tc>
      </w:tr>
      <w:tr w:rsidR="00F1590E" w14:paraId="61E4420E"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63C2ECD6"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БАЛАНС 1600</w:t>
            </w:r>
          </w:p>
        </w:tc>
        <w:tc>
          <w:tcPr>
            <w:tcW w:w="1469" w:type="dxa"/>
            <w:tcBorders>
              <w:top w:val="single" w:sz="6" w:space="0" w:color="000000"/>
              <w:left w:val="single" w:sz="6" w:space="0" w:color="000000"/>
              <w:bottom w:val="single" w:sz="6" w:space="0" w:color="000000"/>
              <w:right w:val="single" w:sz="6" w:space="0" w:color="000000"/>
            </w:tcBorders>
            <w:vAlign w:val="center"/>
          </w:tcPr>
          <w:p w14:paraId="4804B49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289 252 442</w:t>
            </w:r>
          </w:p>
        </w:tc>
        <w:tc>
          <w:tcPr>
            <w:tcW w:w="1340" w:type="dxa"/>
            <w:tcBorders>
              <w:top w:val="single" w:sz="6" w:space="0" w:color="000000"/>
              <w:left w:val="single" w:sz="6" w:space="0" w:color="000000"/>
              <w:bottom w:val="single" w:sz="6" w:space="0" w:color="000000"/>
              <w:right w:val="single" w:sz="6" w:space="0" w:color="000000"/>
            </w:tcBorders>
            <w:vAlign w:val="center"/>
          </w:tcPr>
          <w:p w14:paraId="7792114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364 594 116</w:t>
            </w:r>
          </w:p>
        </w:tc>
        <w:tc>
          <w:tcPr>
            <w:tcW w:w="1469" w:type="dxa"/>
            <w:tcBorders>
              <w:top w:val="single" w:sz="6" w:space="0" w:color="000000"/>
              <w:left w:val="single" w:sz="6" w:space="0" w:color="000000"/>
              <w:bottom w:val="single" w:sz="6" w:space="0" w:color="000000"/>
              <w:right w:val="single" w:sz="6" w:space="0" w:color="000000"/>
            </w:tcBorders>
            <w:vAlign w:val="bottom"/>
          </w:tcPr>
          <w:p w14:paraId="39AE9323" w14:textId="77777777" w:rsidR="00F1590E" w:rsidRDefault="000C4199">
            <w:pPr>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highlight w:val="yellow"/>
              </w:rPr>
              <w:t>100%</w:t>
            </w:r>
          </w:p>
        </w:tc>
        <w:tc>
          <w:tcPr>
            <w:tcW w:w="1603" w:type="dxa"/>
            <w:tcBorders>
              <w:top w:val="single" w:sz="6" w:space="0" w:color="000000"/>
              <w:left w:val="single" w:sz="6" w:space="0" w:color="000000"/>
              <w:bottom w:val="single" w:sz="6" w:space="0" w:color="000000"/>
              <w:right w:val="single" w:sz="6" w:space="0" w:color="000000"/>
            </w:tcBorders>
            <w:vAlign w:val="bottom"/>
          </w:tcPr>
          <w:p w14:paraId="794F695F" w14:textId="77777777" w:rsidR="00F1590E" w:rsidRDefault="000C4199">
            <w:pPr>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highlight w:val="yellow"/>
              </w:rPr>
              <w:t>100%</w:t>
            </w:r>
          </w:p>
        </w:tc>
        <w:tc>
          <w:tcPr>
            <w:tcW w:w="1536" w:type="dxa"/>
            <w:tcBorders>
              <w:top w:val="single" w:sz="6" w:space="0" w:color="000000"/>
              <w:left w:val="single" w:sz="6" w:space="0" w:color="000000"/>
              <w:bottom w:val="single" w:sz="6" w:space="0" w:color="000000"/>
              <w:right w:val="single" w:sz="6" w:space="0" w:color="000000"/>
            </w:tcBorders>
            <w:vAlign w:val="center"/>
          </w:tcPr>
          <w:p w14:paraId="768A628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75 341 674</w:t>
            </w:r>
          </w:p>
        </w:tc>
        <w:tc>
          <w:tcPr>
            <w:tcW w:w="1320" w:type="dxa"/>
            <w:tcBorders>
              <w:top w:val="single" w:sz="6" w:space="0" w:color="000000"/>
              <w:left w:val="single" w:sz="6" w:space="0" w:color="000000"/>
              <w:bottom w:val="single" w:sz="6" w:space="0" w:color="000000"/>
              <w:right w:val="single" w:sz="6" w:space="0" w:color="000000"/>
            </w:tcBorders>
            <w:vAlign w:val="bottom"/>
          </w:tcPr>
          <w:p w14:paraId="35F319E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491" w:type="dxa"/>
            <w:tcBorders>
              <w:top w:val="single" w:sz="6" w:space="0" w:color="000000"/>
              <w:left w:val="single" w:sz="6" w:space="0" w:color="000000"/>
              <w:bottom w:val="single" w:sz="6" w:space="0" w:color="000000"/>
              <w:right w:val="single" w:sz="6" w:space="0" w:color="000000"/>
            </w:tcBorders>
            <w:vAlign w:val="center"/>
          </w:tcPr>
          <w:p w14:paraId="4A34AD2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126,05%</w:t>
            </w:r>
          </w:p>
        </w:tc>
      </w:tr>
      <w:tr w:rsidR="00F1590E" w14:paraId="281FE200" w14:textId="77777777">
        <w:trPr>
          <w:jc w:val="center"/>
        </w:trPr>
        <w:tc>
          <w:tcPr>
            <w:tcW w:w="12522" w:type="dxa"/>
            <w:gridSpan w:val="7"/>
            <w:tcBorders>
              <w:top w:val="single" w:sz="6" w:space="0" w:color="000000"/>
              <w:left w:val="single" w:sz="6" w:space="0" w:color="000000"/>
              <w:bottom w:val="single" w:sz="6" w:space="0" w:color="000000"/>
              <w:right w:val="single" w:sz="6" w:space="0" w:color="000000"/>
            </w:tcBorders>
          </w:tcPr>
          <w:p w14:paraId="0CC70175" w14:textId="77777777" w:rsidR="00F1590E" w:rsidRDefault="000C4199">
            <w:pPr>
              <w:tabs>
                <w:tab w:val="left" w:pos="1139"/>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Пассив</w:t>
            </w:r>
          </w:p>
        </w:tc>
        <w:tc>
          <w:tcPr>
            <w:tcW w:w="1491" w:type="dxa"/>
            <w:tcBorders>
              <w:top w:val="single" w:sz="6" w:space="0" w:color="000000"/>
              <w:left w:val="single" w:sz="6" w:space="0" w:color="000000"/>
              <w:bottom w:val="single" w:sz="6" w:space="0" w:color="000000"/>
              <w:right w:val="single" w:sz="6" w:space="0" w:color="000000"/>
            </w:tcBorders>
          </w:tcPr>
          <w:p w14:paraId="498FAE55" w14:textId="77777777" w:rsidR="00F1590E" w:rsidRDefault="00F1590E">
            <w:pPr>
              <w:spacing w:after="0" w:line="240" w:lineRule="auto"/>
              <w:rPr>
                <w:rFonts w:ascii="Times New Roman" w:eastAsia="Times New Roman" w:hAnsi="Times New Roman" w:cs="Times New Roman"/>
                <w:b/>
                <w:sz w:val="24"/>
                <w:szCs w:val="24"/>
              </w:rPr>
            </w:pPr>
          </w:p>
        </w:tc>
      </w:tr>
      <w:tr w:rsidR="00F1590E" w14:paraId="439518DA"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6A2DDBC9" w14:textId="77777777" w:rsidR="00F1590E" w:rsidRDefault="000C419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Собственный капитал 1300</w:t>
            </w:r>
          </w:p>
        </w:tc>
        <w:tc>
          <w:tcPr>
            <w:tcW w:w="1469" w:type="dxa"/>
            <w:tcBorders>
              <w:top w:val="single" w:sz="6" w:space="0" w:color="000000"/>
              <w:left w:val="single" w:sz="6" w:space="0" w:color="000000"/>
              <w:bottom w:val="single" w:sz="6" w:space="0" w:color="000000"/>
              <w:right w:val="single" w:sz="6" w:space="0" w:color="000000"/>
            </w:tcBorders>
            <w:vAlign w:val="center"/>
          </w:tcPr>
          <w:p w14:paraId="7C559A4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161 793 760</w:t>
            </w:r>
          </w:p>
        </w:tc>
        <w:tc>
          <w:tcPr>
            <w:tcW w:w="1340" w:type="dxa"/>
            <w:tcBorders>
              <w:top w:val="single" w:sz="6" w:space="0" w:color="000000"/>
              <w:left w:val="single" w:sz="6" w:space="0" w:color="000000"/>
              <w:bottom w:val="single" w:sz="6" w:space="0" w:color="000000"/>
              <w:right w:val="single" w:sz="6" w:space="0" w:color="000000"/>
            </w:tcBorders>
            <w:vAlign w:val="center"/>
          </w:tcPr>
          <w:p w14:paraId="7B0CF4C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161 896 868</w:t>
            </w:r>
          </w:p>
        </w:tc>
        <w:tc>
          <w:tcPr>
            <w:tcW w:w="1469" w:type="dxa"/>
            <w:tcBorders>
              <w:top w:val="single" w:sz="6" w:space="0" w:color="000000"/>
              <w:left w:val="single" w:sz="6" w:space="0" w:color="000000"/>
              <w:bottom w:val="single" w:sz="6" w:space="0" w:color="000000"/>
              <w:right w:val="single" w:sz="6" w:space="0" w:color="000000"/>
            </w:tcBorders>
            <w:vAlign w:val="center"/>
          </w:tcPr>
          <w:p w14:paraId="3B1765B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55,94%</w:t>
            </w:r>
          </w:p>
        </w:tc>
        <w:tc>
          <w:tcPr>
            <w:tcW w:w="1603" w:type="dxa"/>
            <w:tcBorders>
              <w:top w:val="single" w:sz="6" w:space="0" w:color="000000"/>
              <w:left w:val="single" w:sz="6" w:space="0" w:color="000000"/>
              <w:bottom w:val="single" w:sz="6" w:space="0" w:color="000000"/>
              <w:right w:val="single" w:sz="6" w:space="0" w:color="000000"/>
            </w:tcBorders>
            <w:vAlign w:val="center"/>
          </w:tcPr>
          <w:p w14:paraId="0BA5D4D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44,40%</w:t>
            </w:r>
          </w:p>
        </w:tc>
        <w:tc>
          <w:tcPr>
            <w:tcW w:w="1536" w:type="dxa"/>
            <w:tcBorders>
              <w:top w:val="single" w:sz="6" w:space="0" w:color="000000"/>
              <w:left w:val="single" w:sz="6" w:space="0" w:color="000000"/>
              <w:bottom w:val="single" w:sz="6" w:space="0" w:color="000000"/>
              <w:right w:val="single" w:sz="6" w:space="0" w:color="000000"/>
            </w:tcBorders>
            <w:vAlign w:val="center"/>
          </w:tcPr>
          <w:p w14:paraId="73E391F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103 108</w:t>
            </w:r>
          </w:p>
        </w:tc>
        <w:tc>
          <w:tcPr>
            <w:tcW w:w="1320" w:type="dxa"/>
            <w:tcBorders>
              <w:top w:val="single" w:sz="6" w:space="0" w:color="000000"/>
              <w:left w:val="single" w:sz="6" w:space="0" w:color="000000"/>
              <w:bottom w:val="single" w:sz="6" w:space="0" w:color="000000"/>
              <w:right w:val="single" w:sz="6" w:space="0" w:color="000000"/>
            </w:tcBorders>
            <w:vAlign w:val="center"/>
          </w:tcPr>
          <w:p w14:paraId="7C63008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-11,53%</w:t>
            </w:r>
          </w:p>
        </w:tc>
        <w:tc>
          <w:tcPr>
            <w:tcW w:w="1491" w:type="dxa"/>
            <w:tcBorders>
              <w:top w:val="single" w:sz="6" w:space="0" w:color="000000"/>
              <w:left w:val="single" w:sz="6" w:space="0" w:color="000000"/>
              <w:bottom w:val="single" w:sz="6" w:space="0" w:color="000000"/>
              <w:right w:val="single" w:sz="6" w:space="0" w:color="000000"/>
            </w:tcBorders>
            <w:vAlign w:val="center"/>
          </w:tcPr>
          <w:p w14:paraId="7D19030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100,06%</w:t>
            </w:r>
          </w:p>
        </w:tc>
      </w:tr>
      <w:tr w:rsidR="00F1590E" w14:paraId="5B2E0152"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49E734CB" w14:textId="77777777" w:rsidR="00F1590E" w:rsidRDefault="000C4199">
            <w:pPr>
              <w:numPr>
                <w:ilvl w:val="1"/>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green"/>
              </w:rPr>
            </w:pPr>
            <w:r>
              <w:rPr>
                <w:rFonts w:ascii="Times New Roman" w:eastAsia="Times New Roman" w:hAnsi="Times New Roman" w:cs="Times New Roman"/>
                <w:color w:val="000000"/>
                <w:sz w:val="24"/>
                <w:szCs w:val="24"/>
                <w:highlight w:val="green"/>
              </w:rPr>
              <w:t>Нераспределенная прибыль</w:t>
            </w:r>
          </w:p>
        </w:tc>
        <w:tc>
          <w:tcPr>
            <w:tcW w:w="1469" w:type="dxa"/>
            <w:tcBorders>
              <w:top w:val="single" w:sz="6" w:space="0" w:color="000000"/>
              <w:left w:val="single" w:sz="6" w:space="0" w:color="000000"/>
              <w:bottom w:val="single" w:sz="6" w:space="0" w:color="000000"/>
              <w:right w:val="single" w:sz="6" w:space="0" w:color="000000"/>
            </w:tcBorders>
            <w:vAlign w:val="center"/>
          </w:tcPr>
          <w:p w14:paraId="45E1222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160 663 371</w:t>
            </w:r>
          </w:p>
        </w:tc>
        <w:tc>
          <w:tcPr>
            <w:tcW w:w="1340" w:type="dxa"/>
            <w:tcBorders>
              <w:top w:val="single" w:sz="6" w:space="0" w:color="000000"/>
              <w:left w:val="single" w:sz="6" w:space="0" w:color="000000"/>
              <w:bottom w:val="single" w:sz="6" w:space="0" w:color="000000"/>
              <w:right w:val="single" w:sz="6" w:space="0" w:color="000000"/>
            </w:tcBorders>
            <w:vAlign w:val="center"/>
          </w:tcPr>
          <w:p w14:paraId="68E89DF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160 769 501</w:t>
            </w:r>
          </w:p>
        </w:tc>
        <w:tc>
          <w:tcPr>
            <w:tcW w:w="1469" w:type="dxa"/>
            <w:tcBorders>
              <w:top w:val="single" w:sz="6" w:space="0" w:color="000000"/>
              <w:left w:val="single" w:sz="6" w:space="0" w:color="000000"/>
              <w:bottom w:val="single" w:sz="6" w:space="0" w:color="000000"/>
              <w:right w:val="single" w:sz="6" w:space="0" w:color="000000"/>
            </w:tcBorders>
            <w:vAlign w:val="center"/>
          </w:tcPr>
          <w:p w14:paraId="3F00FE7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55,54%</w:t>
            </w:r>
          </w:p>
        </w:tc>
        <w:tc>
          <w:tcPr>
            <w:tcW w:w="1603" w:type="dxa"/>
            <w:tcBorders>
              <w:top w:val="single" w:sz="6" w:space="0" w:color="000000"/>
              <w:left w:val="single" w:sz="6" w:space="0" w:color="000000"/>
              <w:bottom w:val="single" w:sz="6" w:space="0" w:color="000000"/>
              <w:right w:val="single" w:sz="6" w:space="0" w:color="000000"/>
            </w:tcBorders>
            <w:vAlign w:val="center"/>
          </w:tcPr>
          <w:p w14:paraId="242F377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44,10%</w:t>
            </w:r>
          </w:p>
        </w:tc>
        <w:tc>
          <w:tcPr>
            <w:tcW w:w="1536" w:type="dxa"/>
            <w:tcBorders>
              <w:top w:val="single" w:sz="6" w:space="0" w:color="000000"/>
              <w:left w:val="single" w:sz="6" w:space="0" w:color="000000"/>
              <w:bottom w:val="single" w:sz="6" w:space="0" w:color="000000"/>
              <w:right w:val="single" w:sz="6" w:space="0" w:color="000000"/>
            </w:tcBorders>
            <w:vAlign w:val="center"/>
          </w:tcPr>
          <w:p w14:paraId="426F52A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106 130</w:t>
            </w:r>
          </w:p>
        </w:tc>
        <w:tc>
          <w:tcPr>
            <w:tcW w:w="1320" w:type="dxa"/>
            <w:tcBorders>
              <w:top w:val="single" w:sz="6" w:space="0" w:color="000000"/>
              <w:left w:val="single" w:sz="6" w:space="0" w:color="000000"/>
              <w:bottom w:val="single" w:sz="6" w:space="0" w:color="000000"/>
              <w:right w:val="single" w:sz="6" w:space="0" w:color="000000"/>
            </w:tcBorders>
            <w:vAlign w:val="center"/>
          </w:tcPr>
          <w:p w14:paraId="43C1BD2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-11,45%</w:t>
            </w:r>
          </w:p>
        </w:tc>
        <w:tc>
          <w:tcPr>
            <w:tcW w:w="1491" w:type="dxa"/>
            <w:tcBorders>
              <w:top w:val="single" w:sz="6" w:space="0" w:color="000000"/>
              <w:left w:val="single" w:sz="6" w:space="0" w:color="000000"/>
              <w:bottom w:val="single" w:sz="6" w:space="0" w:color="000000"/>
              <w:right w:val="single" w:sz="6" w:space="0" w:color="000000"/>
            </w:tcBorders>
            <w:vAlign w:val="center"/>
          </w:tcPr>
          <w:p w14:paraId="7A81A89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100,07%</w:t>
            </w:r>
          </w:p>
        </w:tc>
      </w:tr>
      <w:tr w:rsidR="00F1590E" w14:paraId="1E7EB11C"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0EF59DDA" w14:textId="77777777" w:rsidR="00F1590E" w:rsidRDefault="000C4199">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green"/>
              </w:rPr>
              <w:t>1.2</w:t>
            </w:r>
            <w:r>
              <w:rPr>
                <w:rFonts w:ascii="Times New Roman" w:eastAsia="Times New Roman" w:hAnsi="Times New Roman" w:cs="Times New Roman"/>
                <w:color w:val="000000"/>
                <w:sz w:val="24"/>
                <w:szCs w:val="24"/>
                <w:highlight w:val="green"/>
              </w:rPr>
              <w:tab/>
              <w:t>Добавленный капитал</w:t>
            </w:r>
          </w:p>
        </w:tc>
        <w:tc>
          <w:tcPr>
            <w:tcW w:w="1469" w:type="dxa"/>
            <w:tcBorders>
              <w:top w:val="single" w:sz="6" w:space="0" w:color="000000"/>
              <w:left w:val="single" w:sz="6" w:space="0" w:color="000000"/>
              <w:bottom w:val="single" w:sz="6" w:space="0" w:color="000000"/>
              <w:right w:val="single" w:sz="6" w:space="0" w:color="000000"/>
            </w:tcBorders>
            <w:vAlign w:val="center"/>
          </w:tcPr>
          <w:p w14:paraId="7FB57FB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340" w:type="dxa"/>
            <w:tcBorders>
              <w:top w:val="single" w:sz="6" w:space="0" w:color="000000"/>
              <w:left w:val="single" w:sz="6" w:space="0" w:color="000000"/>
              <w:bottom w:val="single" w:sz="6" w:space="0" w:color="000000"/>
              <w:right w:val="single" w:sz="6" w:space="0" w:color="000000"/>
            </w:tcBorders>
            <w:vAlign w:val="center"/>
          </w:tcPr>
          <w:p w14:paraId="70F1B9A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469" w:type="dxa"/>
            <w:tcBorders>
              <w:top w:val="single" w:sz="6" w:space="0" w:color="000000"/>
              <w:left w:val="single" w:sz="6" w:space="0" w:color="000000"/>
              <w:bottom w:val="single" w:sz="6" w:space="0" w:color="000000"/>
              <w:right w:val="single" w:sz="6" w:space="0" w:color="000000"/>
            </w:tcBorders>
            <w:vAlign w:val="center"/>
          </w:tcPr>
          <w:p w14:paraId="046BB5E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603" w:type="dxa"/>
            <w:tcBorders>
              <w:top w:val="single" w:sz="6" w:space="0" w:color="000000"/>
              <w:left w:val="single" w:sz="6" w:space="0" w:color="000000"/>
              <w:bottom w:val="single" w:sz="6" w:space="0" w:color="000000"/>
              <w:right w:val="single" w:sz="6" w:space="0" w:color="000000"/>
            </w:tcBorders>
            <w:vAlign w:val="center"/>
          </w:tcPr>
          <w:p w14:paraId="332E12F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536" w:type="dxa"/>
            <w:tcBorders>
              <w:top w:val="single" w:sz="6" w:space="0" w:color="000000"/>
              <w:left w:val="single" w:sz="6" w:space="0" w:color="000000"/>
              <w:bottom w:val="single" w:sz="6" w:space="0" w:color="000000"/>
              <w:right w:val="single" w:sz="6" w:space="0" w:color="000000"/>
            </w:tcBorders>
            <w:vAlign w:val="center"/>
          </w:tcPr>
          <w:p w14:paraId="099B7D5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320" w:type="dxa"/>
            <w:tcBorders>
              <w:top w:val="single" w:sz="6" w:space="0" w:color="000000"/>
              <w:left w:val="single" w:sz="6" w:space="0" w:color="000000"/>
              <w:bottom w:val="single" w:sz="6" w:space="0" w:color="000000"/>
              <w:right w:val="single" w:sz="6" w:space="0" w:color="000000"/>
            </w:tcBorders>
            <w:vAlign w:val="center"/>
          </w:tcPr>
          <w:p w14:paraId="2D23DE4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491" w:type="dxa"/>
            <w:tcBorders>
              <w:top w:val="single" w:sz="6" w:space="0" w:color="000000"/>
              <w:left w:val="single" w:sz="6" w:space="0" w:color="000000"/>
              <w:bottom w:val="single" w:sz="6" w:space="0" w:color="000000"/>
              <w:right w:val="single" w:sz="6" w:space="0" w:color="000000"/>
            </w:tcBorders>
            <w:vAlign w:val="center"/>
          </w:tcPr>
          <w:p w14:paraId="5414013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r>
      <w:tr w:rsidR="00F1590E" w14:paraId="0FB69FE0"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7D5D3FC2"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Долгосрочные обязательства, всего 1400</w:t>
            </w:r>
          </w:p>
        </w:tc>
        <w:tc>
          <w:tcPr>
            <w:tcW w:w="1469" w:type="dxa"/>
            <w:tcBorders>
              <w:top w:val="single" w:sz="6" w:space="0" w:color="000000"/>
              <w:left w:val="single" w:sz="6" w:space="0" w:color="000000"/>
              <w:bottom w:val="single" w:sz="6" w:space="0" w:color="000000"/>
              <w:right w:val="single" w:sz="6" w:space="0" w:color="000000"/>
            </w:tcBorders>
            <w:vAlign w:val="center"/>
          </w:tcPr>
          <w:p w14:paraId="7D63E55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62 439 262</w:t>
            </w:r>
          </w:p>
        </w:tc>
        <w:tc>
          <w:tcPr>
            <w:tcW w:w="1340" w:type="dxa"/>
            <w:tcBorders>
              <w:top w:val="single" w:sz="6" w:space="0" w:color="000000"/>
              <w:left w:val="single" w:sz="6" w:space="0" w:color="000000"/>
              <w:bottom w:val="single" w:sz="6" w:space="0" w:color="000000"/>
              <w:right w:val="single" w:sz="6" w:space="0" w:color="000000"/>
            </w:tcBorders>
            <w:vAlign w:val="center"/>
          </w:tcPr>
          <w:p w14:paraId="7C62422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97 597 479</w:t>
            </w:r>
          </w:p>
        </w:tc>
        <w:tc>
          <w:tcPr>
            <w:tcW w:w="1469" w:type="dxa"/>
            <w:tcBorders>
              <w:top w:val="single" w:sz="6" w:space="0" w:color="000000"/>
              <w:left w:val="single" w:sz="6" w:space="0" w:color="000000"/>
              <w:bottom w:val="single" w:sz="6" w:space="0" w:color="000000"/>
              <w:right w:val="single" w:sz="6" w:space="0" w:color="000000"/>
            </w:tcBorders>
            <w:vAlign w:val="center"/>
          </w:tcPr>
          <w:p w14:paraId="60909C4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21,59%</w:t>
            </w:r>
          </w:p>
        </w:tc>
        <w:tc>
          <w:tcPr>
            <w:tcW w:w="1603" w:type="dxa"/>
            <w:tcBorders>
              <w:top w:val="single" w:sz="6" w:space="0" w:color="000000"/>
              <w:left w:val="single" w:sz="6" w:space="0" w:color="000000"/>
              <w:bottom w:val="single" w:sz="6" w:space="0" w:color="000000"/>
              <w:right w:val="single" w:sz="6" w:space="0" w:color="000000"/>
            </w:tcBorders>
            <w:vAlign w:val="center"/>
          </w:tcPr>
          <w:p w14:paraId="26C7F5A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26,77%</w:t>
            </w:r>
          </w:p>
        </w:tc>
        <w:tc>
          <w:tcPr>
            <w:tcW w:w="1536" w:type="dxa"/>
            <w:tcBorders>
              <w:top w:val="single" w:sz="6" w:space="0" w:color="000000"/>
              <w:left w:val="single" w:sz="6" w:space="0" w:color="000000"/>
              <w:bottom w:val="single" w:sz="6" w:space="0" w:color="000000"/>
              <w:right w:val="single" w:sz="6" w:space="0" w:color="000000"/>
            </w:tcBorders>
            <w:vAlign w:val="center"/>
          </w:tcPr>
          <w:p w14:paraId="6027174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35 158 217</w:t>
            </w:r>
          </w:p>
        </w:tc>
        <w:tc>
          <w:tcPr>
            <w:tcW w:w="1320" w:type="dxa"/>
            <w:tcBorders>
              <w:top w:val="single" w:sz="6" w:space="0" w:color="000000"/>
              <w:left w:val="single" w:sz="6" w:space="0" w:color="000000"/>
              <w:bottom w:val="single" w:sz="6" w:space="0" w:color="000000"/>
              <w:right w:val="single" w:sz="6" w:space="0" w:color="000000"/>
            </w:tcBorders>
            <w:vAlign w:val="center"/>
          </w:tcPr>
          <w:p w14:paraId="56B4C6F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5,18%</w:t>
            </w:r>
          </w:p>
        </w:tc>
        <w:tc>
          <w:tcPr>
            <w:tcW w:w="1491" w:type="dxa"/>
            <w:tcBorders>
              <w:top w:val="single" w:sz="6" w:space="0" w:color="000000"/>
              <w:left w:val="single" w:sz="6" w:space="0" w:color="000000"/>
              <w:bottom w:val="single" w:sz="6" w:space="0" w:color="000000"/>
              <w:right w:val="single" w:sz="6" w:space="0" w:color="000000"/>
            </w:tcBorders>
            <w:vAlign w:val="center"/>
          </w:tcPr>
          <w:p w14:paraId="70412F0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156,31%</w:t>
            </w:r>
          </w:p>
        </w:tc>
      </w:tr>
      <w:tr w:rsidR="00F1590E" w14:paraId="436B25F0"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6C2016FC"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 том числе:</w:t>
            </w:r>
            <w:r>
              <w:rPr>
                <w:rFonts w:ascii="Times New Roman" w:eastAsia="Times New Roman" w:hAnsi="Times New Roman" w:cs="Times New Roman"/>
                <w:sz w:val="24"/>
                <w:szCs w:val="24"/>
              </w:rPr>
              <w:br/>
              <w:t>заемные средства 1410</w:t>
            </w:r>
          </w:p>
        </w:tc>
        <w:tc>
          <w:tcPr>
            <w:tcW w:w="1469" w:type="dxa"/>
            <w:tcBorders>
              <w:top w:val="single" w:sz="6" w:space="0" w:color="000000"/>
              <w:left w:val="single" w:sz="6" w:space="0" w:color="000000"/>
              <w:bottom w:val="single" w:sz="6" w:space="0" w:color="000000"/>
              <w:right w:val="single" w:sz="6" w:space="0" w:color="000000"/>
            </w:tcBorders>
            <w:vAlign w:val="center"/>
          </w:tcPr>
          <w:p w14:paraId="261EADB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52 075 522</w:t>
            </w:r>
          </w:p>
        </w:tc>
        <w:tc>
          <w:tcPr>
            <w:tcW w:w="1340" w:type="dxa"/>
            <w:tcBorders>
              <w:top w:val="single" w:sz="6" w:space="0" w:color="000000"/>
              <w:left w:val="single" w:sz="6" w:space="0" w:color="000000"/>
              <w:bottom w:val="single" w:sz="6" w:space="0" w:color="000000"/>
              <w:right w:val="single" w:sz="6" w:space="0" w:color="000000"/>
            </w:tcBorders>
            <w:vAlign w:val="center"/>
          </w:tcPr>
          <w:p w14:paraId="01FC36F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85 585 546</w:t>
            </w:r>
          </w:p>
        </w:tc>
        <w:tc>
          <w:tcPr>
            <w:tcW w:w="1469" w:type="dxa"/>
            <w:tcBorders>
              <w:top w:val="single" w:sz="6" w:space="0" w:color="000000"/>
              <w:left w:val="single" w:sz="6" w:space="0" w:color="000000"/>
              <w:bottom w:val="single" w:sz="6" w:space="0" w:color="000000"/>
              <w:right w:val="single" w:sz="6" w:space="0" w:color="000000"/>
            </w:tcBorders>
            <w:vAlign w:val="center"/>
          </w:tcPr>
          <w:p w14:paraId="43D4FBD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18,00%</w:t>
            </w:r>
          </w:p>
        </w:tc>
        <w:tc>
          <w:tcPr>
            <w:tcW w:w="1603" w:type="dxa"/>
            <w:tcBorders>
              <w:top w:val="single" w:sz="6" w:space="0" w:color="000000"/>
              <w:left w:val="single" w:sz="6" w:space="0" w:color="000000"/>
              <w:bottom w:val="single" w:sz="6" w:space="0" w:color="000000"/>
              <w:right w:val="single" w:sz="6" w:space="0" w:color="000000"/>
            </w:tcBorders>
            <w:vAlign w:val="center"/>
          </w:tcPr>
          <w:p w14:paraId="5CCD5E3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23,47%</w:t>
            </w:r>
          </w:p>
        </w:tc>
        <w:tc>
          <w:tcPr>
            <w:tcW w:w="1536" w:type="dxa"/>
            <w:tcBorders>
              <w:top w:val="single" w:sz="6" w:space="0" w:color="000000"/>
              <w:left w:val="single" w:sz="6" w:space="0" w:color="000000"/>
              <w:bottom w:val="single" w:sz="6" w:space="0" w:color="000000"/>
              <w:right w:val="single" w:sz="6" w:space="0" w:color="000000"/>
            </w:tcBorders>
            <w:vAlign w:val="center"/>
          </w:tcPr>
          <w:p w14:paraId="4DA433E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33 510 024</w:t>
            </w:r>
          </w:p>
        </w:tc>
        <w:tc>
          <w:tcPr>
            <w:tcW w:w="1320" w:type="dxa"/>
            <w:tcBorders>
              <w:top w:val="single" w:sz="6" w:space="0" w:color="000000"/>
              <w:left w:val="single" w:sz="6" w:space="0" w:color="000000"/>
              <w:bottom w:val="single" w:sz="6" w:space="0" w:color="000000"/>
              <w:right w:val="single" w:sz="6" w:space="0" w:color="000000"/>
            </w:tcBorders>
            <w:vAlign w:val="center"/>
          </w:tcPr>
          <w:p w14:paraId="2F69040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5,47%</w:t>
            </w:r>
          </w:p>
        </w:tc>
        <w:tc>
          <w:tcPr>
            <w:tcW w:w="1491" w:type="dxa"/>
            <w:tcBorders>
              <w:top w:val="single" w:sz="6" w:space="0" w:color="000000"/>
              <w:left w:val="single" w:sz="6" w:space="0" w:color="000000"/>
              <w:bottom w:val="single" w:sz="6" w:space="0" w:color="000000"/>
              <w:right w:val="single" w:sz="6" w:space="0" w:color="000000"/>
            </w:tcBorders>
            <w:vAlign w:val="center"/>
          </w:tcPr>
          <w:p w14:paraId="6ACC873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164,35%</w:t>
            </w:r>
          </w:p>
        </w:tc>
      </w:tr>
      <w:tr w:rsidR="00F1590E" w14:paraId="337F4964"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009B3871"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Краткосрочные обязательства, всего 1500</w:t>
            </w:r>
          </w:p>
        </w:tc>
        <w:tc>
          <w:tcPr>
            <w:tcW w:w="1469" w:type="dxa"/>
            <w:tcBorders>
              <w:top w:val="single" w:sz="6" w:space="0" w:color="000000"/>
              <w:left w:val="single" w:sz="6" w:space="0" w:color="000000"/>
              <w:bottom w:val="single" w:sz="6" w:space="0" w:color="000000"/>
              <w:right w:val="single" w:sz="6" w:space="0" w:color="000000"/>
            </w:tcBorders>
            <w:vAlign w:val="center"/>
          </w:tcPr>
          <w:p w14:paraId="5DD0E8C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65 019 420</w:t>
            </w:r>
          </w:p>
        </w:tc>
        <w:tc>
          <w:tcPr>
            <w:tcW w:w="1340" w:type="dxa"/>
            <w:tcBorders>
              <w:top w:val="single" w:sz="6" w:space="0" w:color="000000"/>
              <w:left w:val="single" w:sz="6" w:space="0" w:color="000000"/>
              <w:bottom w:val="single" w:sz="6" w:space="0" w:color="000000"/>
              <w:right w:val="single" w:sz="6" w:space="0" w:color="000000"/>
            </w:tcBorders>
            <w:vAlign w:val="center"/>
          </w:tcPr>
          <w:p w14:paraId="327E9D5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105 099 769</w:t>
            </w:r>
          </w:p>
        </w:tc>
        <w:tc>
          <w:tcPr>
            <w:tcW w:w="1469" w:type="dxa"/>
            <w:tcBorders>
              <w:top w:val="single" w:sz="6" w:space="0" w:color="000000"/>
              <w:left w:val="single" w:sz="6" w:space="0" w:color="000000"/>
              <w:bottom w:val="single" w:sz="6" w:space="0" w:color="000000"/>
              <w:right w:val="single" w:sz="6" w:space="0" w:color="000000"/>
            </w:tcBorders>
            <w:vAlign w:val="center"/>
          </w:tcPr>
          <w:p w14:paraId="3E67EF3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22,48%</w:t>
            </w:r>
          </w:p>
        </w:tc>
        <w:tc>
          <w:tcPr>
            <w:tcW w:w="1603" w:type="dxa"/>
            <w:tcBorders>
              <w:top w:val="single" w:sz="6" w:space="0" w:color="000000"/>
              <w:left w:val="single" w:sz="6" w:space="0" w:color="000000"/>
              <w:bottom w:val="single" w:sz="6" w:space="0" w:color="000000"/>
              <w:right w:val="single" w:sz="6" w:space="0" w:color="000000"/>
            </w:tcBorders>
            <w:vAlign w:val="center"/>
          </w:tcPr>
          <w:p w14:paraId="3452246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28,83%</w:t>
            </w:r>
          </w:p>
        </w:tc>
        <w:tc>
          <w:tcPr>
            <w:tcW w:w="1536" w:type="dxa"/>
            <w:tcBorders>
              <w:top w:val="single" w:sz="6" w:space="0" w:color="000000"/>
              <w:left w:val="single" w:sz="6" w:space="0" w:color="000000"/>
              <w:bottom w:val="single" w:sz="6" w:space="0" w:color="000000"/>
              <w:right w:val="single" w:sz="6" w:space="0" w:color="000000"/>
            </w:tcBorders>
            <w:vAlign w:val="center"/>
          </w:tcPr>
          <w:p w14:paraId="4E4B0EB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40 080 349</w:t>
            </w:r>
          </w:p>
        </w:tc>
        <w:tc>
          <w:tcPr>
            <w:tcW w:w="1320" w:type="dxa"/>
            <w:tcBorders>
              <w:top w:val="single" w:sz="6" w:space="0" w:color="000000"/>
              <w:left w:val="single" w:sz="6" w:space="0" w:color="000000"/>
              <w:bottom w:val="single" w:sz="6" w:space="0" w:color="000000"/>
              <w:right w:val="single" w:sz="6" w:space="0" w:color="000000"/>
            </w:tcBorders>
            <w:vAlign w:val="center"/>
          </w:tcPr>
          <w:p w14:paraId="3081062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6,35%</w:t>
            </w:r>
          </w:p>
        </w:tc>
        <w:tc>
          <w:tcPr>
            <w:tcW w:w="1491" w:type="dxa"/>
            <w:tcBorders>
              <w:top w:val="single" w:sz="6" w:space="0" w:color="000000"/>
              <w:left w:val="single" w:sz="6" w:space="0" w:color="000000"/>
              <w:bottom w:val="single" w:sz="6" w:space="0" w:color="000000"/>
              <w:right w:val="single" w:sz="6" w:space="0" w:color="000000"/>
            </w:tcBorders>
            <w:vAlign w:val="center"/>
          </w:tcPr>
          <w:p w14:paraId="60D7024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161,64%</w:t>
            </w:r>
          </w:p>
        </w:tc>
      </w:tr>
      <w:tr w:rsidR="00F1590E" w14:paraId="74E6881D"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352F54E0"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 том числе:</w:t>
            </w:r>
            <w:r>
              <w:rPr>
                <w:rFonts w:ascii="Times New Roman" w:eastAsia="Times New Roman" w:hAnsi="Times New Roman" w:cs="Times New Roman"/>
                <w:sz w:val="24"/>
                <w:szCs w:val="24"/>
              </w:rPr>
              <w:br/>
              <w:t>заемные средства 1510</w:t>
            </w:r>
          </w:p>
        </w:tc>
        <w:tc>
          <w:tcPr>
            <w:tcW w:w="1469" w:type="dxa"/>
            <w:tcBorders>
              <w:top w:val="single" w:sz="6" w:space="0" w:color="000000"/>
              <w:left w:val="single" w:sz="6" w:space="0" w:color="000000"/>
              <w:bottom w:val="single" w:sz="6" w:space="0" w:color="000000"/>
              <w:right w:val="single" w:sz="6" w:space="0" w:color="000000"/>
            </w:tcBorders>
            <w:vAlign w:val="center"/>
          </w:tcPr>
          <w:p w14:paraId="73D7DD2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36 605 973</w:t>
            </w:r>
          </w:p>
        </w:tc>
        <w:tc>
          <w:tcPr>
            <w:tcW w:w="1340" w:type="dxa"/>
            <w:tcBorders>
              <w:top w:val="single" w:sz="6" w:space="0" w:color="000000"/>
              <w:left w:val="single" w:sz="6" w:space="0" w:color="000000"/>
              <w:bottom w:val="single" w:sz="6" w:space="0" w:color="000000"/>
              <w:right w:val="single" w:sz="6" w:space="0" w:color="000000"/>
            </w:tcBorders>
            <w:vAlign w:val="center"/>
          </w:tcPr>
          <w:p w14:paraId="3B4C21D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75 823 330</w:t>
            </w:r>
          </w:p>
        </w:tc>
        <w:tc>
          <w:tcPr>
            <w:tcW w:w="1469" w:type="dxa"/>
            <w:tcBorders>
              <w:top w:val="single" w:sz="6" w:space="0" w:color="000000"/>
              <w:left w:val="single" w:sz="6" w:space="0" w:color="000000"/>
              <w:bottom w:val="single" w:sz="6" w:space="0" w:color="000000"/>
              <w:right w:val="single" w:sz="6" w:space="0" w:color="000000"/>
            </w:tcBorders>
            <w:vAlign w:val="center"/>
          </w:tcPr>
          <w:p w14:paraId="72BA4A7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12,66%</w:t>
            </w:r>
          </w:p>
        </w:tc>
        <w:tc>
          <w:tcPr>
            <w:tcW w:w="1603" w:type="dxa"/>
            <w:tcBorders>
              <w:top w:val="single" w:sz="6" w:space="0" w:color="000000"/>
              <w:left w:val="single" w:sz="6" w:space="0" w:color="000000"/>
              <w:bottom w:val="single" w:sz="6" w:space="0" w:color="000000"/>
              <w:right w:val="single" w:sz="6" w:space="0" w:color="000000"/>
            </w:tcBorders>
            <w:vAlign w:val="center"/>
          </w:tcPr>
          <w:p w14:paraId="6FC83EA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20,80%</w:t>
            </w:r>
          </w:p>
        </w:tc>
        <w:tc>
          <w:tcPr>
            <w:tcW w:w="1536" w:type="dxa"/>
            <w:tcBorders>
              <w:top w:val="single" w:sz="6" w:space="0" w:color="000000"/>
              <w:left w:val="single" w:sz="6" w:space="0" w:color="000000"/>
              <w:bottom w:val="single" w:sz="6" w:space="0" w:color="000000"/>
              <w:right w:val="single" w:sz="6" w:space="0" w:color="000000"/>
            </w:tcBorders>
            <w:vAlign w:val="center"/>
          </w:tcPr>
          <w:p w14:paraId="7019658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39 217 357</w:t>
            </w:r>
          </w:p>
        </w:tc>
        <w:tc>
          <w:tcPr>
            <w:tcW w:w="1320" w:type="dxa"/>
            <w:tcBorders>
              <w:top w:val="single" w:sz="6" w:space="0" w:color="000000"/>
              <w:left w:val="single" w:sz="6" w:space="0" w:color="000000"/>
              <w:bottom w:val="single" w:sz="6" w:space="0" w:color="000000"/>
              <w:right w:val="single" w:sz="6" w:space="0" w:color="000000"/>
            </w:tcBorders>
            <w:vAlign w:val="center"/>
          </w:tcPr>
          <w:p w14:paraId="195A22C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8,14%</w:t>
            </w:r>
          </w:p>
        </w:tc>
        <w:tc>
          <w:tcPr>
            <w:tcW w:w="1491" w:type="dxa"/>
            <w:tcBorders>
              <w:top w:val="single" w:sz="6" w:space="0" w:color="000000"/>
              <w:left w:val="single" w:sz="6" w:space="0" w:color="000000"/>
              <w:bottom w:val="single" w:sz="6" w:space="0" w:color="000000"/>
              <w:right w:val="single" w:sz="6" w:space="0" w:color="000000"/>
            </w:tcBorders>
            <w:vAlign w:val="center"/>
          </w:tcPr>
          <w:p w14:paraId="31F3E6B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207,13%</w:t>
            </w:r>
          </w:p>
        </w:tc>
      </w:tr>
      <w:tr w:rsidR="00F1590E" w14:paraId="4D63AE8D"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4B00C2FC"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кредиторская задолженность 1520</w:t>
            </w:r>
          </w:p>
        </w:tc>
        <w:tc>
          <w:tcPr>
            <w:tcW w:w="1469" w:type="dxa"/>
            <w:tcBorders>
              <w:top w:val="single" w:sz="6" w:space="0" w:color="000000"/>
              <w:left w:val="single" w:sz="6" w:space="0" w:color="000000"/>
              <w:bottom w:val="single" w:sz="6" w:space="0" w:color="000000"/>
              <w:right w:val="single" w:sz="6" w:space="0" w:color="000000"/>
            </w:tcBorders>
            <w:vAlign w:val="center"/>
          </w:tcPr>
          <w:p w14:paraId="7745208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21 322 055</w:t>
            </w:r>
          </w:p>
        </w:tc>
        <w:tc>
          <w:tcPr>
            <w:tcW w:w="1340" w:type="dxa"/>
            <w:tcBorders>
              <w:top w:val="single" w:sz="6" w:space="0" w:color="000000"/>
              <w:left w:val="single" w:sz="6" w:space="0" w:color="000000"/>
              <w:bottom w:val="single" w:sz="6" w:space="0" w:color="000000"/>
              <w:right w:val="single" w:sz="6" w:space="0" w:color="000000"/>
            </w:tcBorders>
            <w:vAlign w:val="center"/>
          </w:tcPr>
          <w:p w14:paraId="31FDB2D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26 461 756</w:t>
            </w:r>
          </w:p>
        </w:tc>
        <w:tc>
          <w:tcPr>
            <w:tcW w:w="1469" w:type="dxa"/>
            <w:tcBorders>
              <w:top w:val="single" w:sz="6" w:space="0" w:color="000000"/>
              <w:left w:val="single" w:sz="6" w:space="0" w:color="000000"/>
              <w:bottom w:val="single" w:sz="6" w:space="0" w:color="000000"/>
              <w:right w:val="single" w:sz="6" w:space="0" w:color="000000"/>
            </w:tcBorders>
            <w:vAlign w:val="center"/>
          </w:tcPr>
          <w:p w14:paraId="6CC3774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7,37%</w:t>
            </w:r>
          </w:p>
        </w:tc>
        <w:tc>
          <w:tcPr>
            <w:tcW w:w="1603" w:type="dxa"/>
            <w:tcBorders>
              <w:top w:val="single" w:sz="6" w:space="0" w:color="000000"/>
              <w:left w:val="single" w:sz="6" w:space="0" w:color="000000"/>
              <w:bottom w:val="single" w:sz="6" w:space="0" w:color="000000"/>
              <w:right w:val="single" w:sz="6" w:space="0" w:color="000000"/>
            </w:tcBorders>
            <w:vAlign w:val="center"/>
          </w:tcPr>
          <w:p w14:paraId="21C3414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7,26%</w:t>
            </w:r>
          </w:p>
        </w:tc>
        <w:tc>
          <w:tcPr>
            <w:tcW w:w="1536" w:type="dxa"/>
            <w:tcBorders>
              <w:top w:val="single" w:sz="6" w:space="0" w:color="000000"/>
              <w:left w:val="single" w:sz="6" w:space="0" w:color="000000"/>
              <w:bottom w:val="single" w:sz="6" w:space="0" w:color="000000"/>
              <w:right w:val="single" w:sz="6" w:space="0" w:color="000000"/>
            </w:tcBorders>
            <w:vAlign w:val="center"/>
          </w:tcPr>
          <w:p w14:paraId="5AABDEB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5 139 701</w:t>
            </w:r>
          </w:p>
        </w:tc>
        <w:tc>
          <w:tcPr>
            <w:tcW w:w="1320" w:type="dxa"/>
            <w:tcBorders>
              <w:top w:val="single" w:sz="6" w:space="0" w:color="000000"/>
              <w:left w:val="single" w:sz="6" w:space="0" w:color="000000"/>
              <w:bottom w:val="single" w:sz="6" w:space="0" w:color="000000"/>
              <w:right w:val="single" w:sz="6" w:space="0" w:color="000000"/>
            </w:tcBorders>
            <w:vAlign w:val="center"/>
          </w:tcPr>
          <w:p w14:paraId="0E8AF1F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-0,11%</w:t>
            </w:r>
          </w:p>
        </w:tc>
        <w:tc>
          <w:tcPr>
            <w:tcW w:w="1491" w:type="dxa"/>
            <w:tcBorders>
              <w:top w:val="single" w:sz="6" w:space="0" w:color="000000"/>
              <w:left w:val="single" w:sz="6" w:space="0" w:color="000000"/>
              <w:bottom w:val="single" w:sz="6" w:space="0" w:color="000000"/>
              <w:right w:val="single" w:sz="6" w:space="0" w:color="000000"/>
            </w:tcBorders>
            <w:vAlign w:val="center"/>
          </w:tcPr>
          <w:p w14:paraId="0372278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124,11%</w:t>
            </w:r>
          </w:p>
        </w:tc>
      </w:tr>
      <w:tr w:rsidR="00F1590E" w14:paraId="42DB7035" w14:textId="77777777">
        <w:trPr>
          <w:jc w:val="center"/>
        </w:trPr>
        <w:tc>
          <w:tcPr>
            <w:tcW w:w="3785" w:type="dxa"/>
            <w:tcBorders>
              <w:top w:val="single" w:sz="6" w:space="0" w:color="000000"/>
              <w:left w:val="single" w:sz="6" w:space="0" w:color="000000"/>
              <w:bottom w:val="single" w:sz="6" w:space="0" w:color="000000"/>
              <w:right w:val="single" w:sz="6" w:space="0" w:color="000000"/>
            </w:tcBorders>
          </w:tcPr>
          <w:p w14:paraId="042C33C3"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Валюта баланса</w:t>
            </w:r>
          </w:p>
        </w:tc>
        <w:tc>
          <w:tcPr>
            <w:tcW w:w="1469" w:type="dxa"/>
            <w:tcBorders>
              <w:top w:val="single" w:sz="6" w:space="0" w:color="000000"/>
              <w:left w:val="single" w:sz="6" w:space="0" w:color="000000"/>
              <w:bottom w:val="single" w:sz="6" w:space="0" w:color="000000"/>
              <w:right w:val="single" w:sz="6" w:space="0" w:color="000000"/>
            </w:tcBorders>
            <w:vAlign w:val="center"/>
          </w:tcPr>
          <w:p w14:paraId="2ECA7FD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289 252 442</w:t>
            </w:r>
          </w:p>
        </w:tc>
        <w:tc>
          <w:tcPr>
            <w:tcW w:w="1340" w:type="dxa"/>
            <w:tcBorders>
              <w:top w:val="single" w:sz="6" w:space="0" w:color="000000"/>
              <w:left w:val="single" w:sz="6" w:space="0" w:color="000000"/>
              <w:bottom w:val="single" w:sz="6" w:space="0" w:color="000000"/>
              <w:right w:val="single" w:sz="6" w:space="0" w:color="000000"/>
            </w:tcBorders>
            <w:vAlign w:val="center"/>
          </w:tcPr>
          <w:p w14:paraId="2996C68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364 594 116</w:t>
            </w:r>
          </w:p>
        </w:tc>
        <w:tc>
          <w:tcPr>
            <w:tcW w:w="1469" w:type="dxa"/>
            <w:tcBorders>
              <w:top w:val="single" w:sz="6" w:space="0" w:color="000000"/>
              <w:left w:val="single" w:sz="6" w:space="0" w:color="000000"/>
              <w:bottom w:val="single" w:sz="6" w:space="0" w:color="000000"/>
              <w:right w:val="single" w:sz="6" w:space="0" w:color="000000"/>
            </w:tcBorders>
            <w:vAlign w:val="bottom"/>
          </w:tcPr>
          <w:p w14:paraId="1849F83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100%</w:t>
            </w:r>
          </w:p>
        </w:tc>
        <w:tc>
          <w:tcPr>
            <w:tcW w:w="1603" w:type="dxa"/>
            <w:tcBorders>
              <w:top w:val="single" w:sz="6" w:space="0" w:color="000000"/>
              <w:left w:val="single" w:sz="6" w:space="0" w:color="000000"/>
              <w:bottom w:val="single" w:sz="6" w:space="0" w:color="000000"/>
              <w:right w:val="single" w:sz="6" w:space="0" w:color="000000"/>
            </w:tcBorders>
            <w:vAlign w:val="bottom"/>
          </w:tcPr>
          <w:p w14:paraId="68C4160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100%</w:t>
            </w:r>
          </w:p>
        </w:tc>
        <w:tc>
          <w:tcPr>
            <w:tcW w:w="1536" w:type="dxa"/>
            <w:tcBorders>
              <w:top w:val="single" w:sz="6" w:space="0" w:color="000000"/>
              <w:left w:val="single" w:sz="6" w:space="0" w:color="000000"/>
              <w:bottom w:val="single" w:sz="6" w:space="0" w:color="000000"/>
              <w:right w:val="single" w:sz="6" w:space="0" w:color="000000"/>
            </w:tcBorders>
            <w:vAlign w:val="center"/>
          </w:tcPr>
          <w:p w14:paraId="458E897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75 341 674</w:t>
            </w:r>
          </w:p>
        </w:tc>
        <w:tc>
          <w:tcPr>
            <w:tcW w:w="1320" w:type="dxa"/>
            <w:tcBorders>
              <w:top w:val="single" w:sz="6" w:space="0" w:color="000000"/>
              <w:left w:val="single" w:sz="6" w:space="0" w:color="000000"/>
              <w:bottom w:val="single" w:sz="6" w:space="0" w:color="000000"/>
              <w:right w:val="single" w:sz="6" w:space="0" w:color="000000"/>
            </w:tcBorders>
            <w:vAlign w:val="bottom"/>
          </w:tcPr>
          <w:p w14:paraId="083BD85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w:t>
            </w:r>
          </w:p>
        </w:tc>
        <w:tc>
          <w:tcPr>
            <w:tcW w:w="1491" w:type="dxa"/>
            <w:tcBorders>
              <w:top w:val="single" w:sz="6" w:space="0" w:color="000000"/>
              <w:left w:val="single" w:sz="6" w:space="0" w:color="000000"/>
              <w:bottom w:val="single" w:sz="6" w:space="0" w:color="000000"/>
              <w:right w:val="single" w:sz="6" w:space="0" w:color="000000"/>
            </w:tcBorders>
            <w:vAlign w:val="center"/>
          </w:tcPr>
          <w:p w14:paraId="7AE874F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126,05%</w:t>
            </w:r>
          </w:p>
        </w:tc>
      </w:tr>
    </w:tbl>
    <w:p w14:paraId="776C8AAD" w14:textId="77777777" w:rsidR="00F1590E" w:rsidRDefault="00F1590E">
      <w:pPr>
        <w:pStyle w:val="1"/>
        <w:widowControl w:val="0"/>
        <w:spacing w:before="0" w:after="0" w:line="360" w:lineRule="auto"/>
        <w:ind w:firstLine="708"/>
        <w:jc w:val="both"/>
        <w:rPr>
          <w:rFonts w:ascii="Times New Roman" w:eastAsia="Times New Roman" w:hAnsi="Times New Roman" w:cs="Times New Roman"/>
          <w:sz w:val="28"/>
          <w:szCs w:val="28"/>
        </w:rPr>
      </w:pPr>
    </w:p>
    <w:p w14:paraId="1A10FE7E"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Выводы:</w:t>
      </w:r>
      <w:r>
        <w:rPr>
          <w:rFonts w:ascii="Times New Roman" w:eastAsia="Times New Roman" w:hAnsi="Times New Roman" w:cs="Times New Roman"/>
          <w:b w:val="0"/>
          <w:sz w:val="28"/>
          <w:szCs w:val="28"/>
        </w:rPr>
        <w:t> </w:t>
      </w:r>
    </w:p>
    <w:p w14:paraId="18FFF421"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На основании анализа сравнительного аналитического баланса ПАО «Акрон» и данных о выручке за 2023 и 2024 годы можно дать развернутую и обоснованную предварительную оценку финансового состояния организации.</w:t>
      </w:r>
    </w:p>
    <w:p w14:paraId="2E454CFD"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Прежде всего, следует отметить положительную динамику ключевых показателей: за отчётный период валюта баланса увеличилась на 75 341 674 тыс. руб., или на 26,05%, что свидетельствует о расширении масштабов хозяйственной деятельности компании. При этом выручка от продаж возросла на 16,56%, что также указывает на рост объемов реализации продукции и усиление рыночной активности. Однако наблюдается определённый дисбаланс между темпами роста выручки и структурными изменениями в балансе, что требует более глубокого анализа.</w:t>
      </w:r>
    </w:p>
    <w:p w14:paraId="33A745D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 структуре активов наибольшие изменения связаны с увеличением внеоборотных активов, которые возросли на 84 142 870 тыс. руб. (рост на 51,88%). Их удельный вес в общем объеме активов увеличился с 56,07% до 67,57%. Главный вклад в рост этой группы внесли долгосрочные финансовые вложения, увеличившиеся на 84,75% — с 87 981 798 тыс. руб. до 162 542 194 тыс. руб. Это может свидетельствовать о стратегической направленности компании на инвестиционное развитие, либо о перераспределении ресурсов из оборота в долгосрочные инструменты. Вместе с тем стоит отметить, что рост финансовых вложений более чем в 5 раз превышает темпы роста выручки, что потенциально снижает гибкость и ликвидность активов</w:t>
      </w:r>
    </w:p>
    <w:p w14:paraId="332E872B"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Основные средства увеличились на 15,63%, что близко к темпам роста выручки. Однако их удельный вес в балансе снизился с 22,68% до 20,80%, что может говорить о том, что расширение инвестиционного портфеля происходит быстрее, чем модернизация и расширение производственного потенциала.</w:t>
      </w:r>
    </w:p>
    <w:p w14:paraId="1B045C75"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 то же время оборотные активы сократились на 8 801 196 тыс. руб. (снижение на 6,93%), а их доля в структуре баланса уменьшилась с 43,93% до 32,43%. Особенно значительным было снижение краткосрочных финансовых вложений — почти полное обнуление (снижение на 99,88%). Это может указывать на либо на реализацию временно свободных средств, либо на перераспределение в долгосрочные инвестиции. При этом объём денежных средств также снизился — на 8 027 053 тыс. руб., или на 14,79%. Снижение ликвидных активов при росте выручки может указывать на усиление инвестиционной активности компании, высокие текущие расходы либо на возможные сложности с управлением денежными потоками.</w:t>
      </w:r>
    </w:p>
    <w:p w14:paraId="115BB432"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Особое внимание следует уделить дебиторской задолженности, которая выросла на 27,00%, то есть опережающими темпами по сравнению с выручкой (16,56%). Это может свидетельствовать об увеличении доли продаж с отсрочкой платежа, что в условиях нестабильности рынка несёт риски ухудшения ликвидности и возможного роста безнадёжных долгов. При стабильном или умеренно растущем спросе такая ситуация требует усиленного контроля над расчетами с покупателями, иначе она может привести к кассовым разрывам.</w:t>
      </w:r>
    </w:p>
    <w:p w14:paraId="061CA4C7"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 пассиве баланса наблюдается смещение источников финансирования от собственного капитала в сторону заемного. Собственный капитал остался практически без изменений (рост на 0,06%), при этом его доля в структуре пассива снизилась с 55,94% до 44,40%. В то же время существенный рост показали обязательства: долгосрочные увеличились на 56,31%, а краткосрочные — на 61,64%. Особенно тревожен рост краткосрочных заемных средств на 207,13%, что значительно превышает темпы роста выручки. Это свидетельствует об активном привлечении краткосрочного долга для финансирования текущей деятельности, что создаёт потенциальные риски по обслуживанию обязательств в краткосрочной перспективе.</w:t>
      </w:r>
    </w:p>
    <w:p w14:paraId="13EA2C21"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Наряду с этим необходимо отметить, что кредиторская задолженность увеличилась на 24,11%, что также выше темпа роста выручки. Это может говорить о замедлении расчетов с поставщиками и подрядчиками или об увеличении объёмов закупок и текущих обязательств. В обоих случаях важно контролировать баланс между кредиторской и дебиторской задолженностью, чтобы избежать кассовых разрывов.</w:t>
      </w:r>
    </w:p>
    <w:p w14:paraId="19ABAC8E"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sz w:val="24"/>
          <w:szCs w:val="24"/>
        </w:rPr>
      </w:pPr>
      <w:r>
        <w:br w:type="page"/>
      </w:r>
    </w:p>
    <w:p w14:paraId="6A0790C3"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Задание 2.</w:t>
      </w:r>
      <w:r>
        <w:rPr>
          <w:rFonts w:ascii="Times New Roman" w:eastAsia="Times New Roman" w:hAnsi="Times New Roman" w:cs="Times New Roman"/>
          <w:b w:val="0"/>
          <w:sz w:val="28"/>
          <w:szCs w:val="28"/>
        </w:rPr>
        <w:t xml:space="preserve"> Дать общую оценку динамики финансового состояния за отчетный период путем сопоставления изменения итога баланса с изменениями за отчетный период результатов хозяйственной деятельности (выручкой от продаж) (таблица 2.1).</w:t>
      </w:r>
    </w:p>
    <w:p w14:paraId="3F496620"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2.1</w:t>
      </w:r>
    </w:p>
    <w:p w14:paraId="7DDFB8EE" w14:textId="77777777" w:rsidR="00F1590E" w:rsidRDefault="000C4199">
      <w:pPr>
        <w:pStyle w:val="3"/>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Сопоставление показателей прироста выручки от продаж продукции и прироста среднего значения итога баланса за отчетный период</w:t>
      </w:r>
    </w:p>
    <w:tbl>
      <w:tblPr>
        <w:tblStyle w:val="af3"/>
        <w:tblW w:w="145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44"/>
        <w:gridCol w:w="3643"/>
        <w:gridCol w:w="3458"/>
        <w:gridCol w:w="3840"/>
      </w:tblGrid>
      <w:tr w:rsidR="00F1590E" w14:paraId="079DA25E" w14:textId="77777777">
        <w:trPr>
          <w:trHeight w:val="248"/>
        </w:trPr>
        <w:tc>
          <w:tcPr>
            <w:tcW w:w="3643" w:type="dxa"/>
          </w:tcPr>
          <w:p w14:paraId="0AC68477"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Показатели</w:t>
            </w:r>
          </w:p>
        </w:tc>
        <w:tc>
          <w:tcPr>
            <w:tcW w:w="3643" w:type="dxa"/>
          </w:tcPr>
          <w:p w14:paraId="7CD48266"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Предыдущий год</w:t>
            </w:r>
          </w:p>
        </w:tc>
        <w:tc>
          <w:tcPr>
            <w:tcW w:w="3458" w:type="dxa"/>
          </w:tcPr>
          <w:p w14:paraId="7F9B7398"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Отчетный год</w:t>
            </w:r>
          </w:p>
        </w:tc>
        <w:tc>
          <w:tcPr>
            <w:tcW w:w="3840" w:type="dxa"/>
          </w:tcPr>
          <w:p w14:paraId="09AE87D5"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Темпы прироста, %</w:t>
            </w:r>
          </w:p>
        </w:tc>
      </w:tr>
      <w:tr w:rsidR="00F1590E" w14:paraId="78F6E61A" w14:textId="77777777">
        <w:trPr>
          <w:trHeight w:val="497"/>
        </w:trPr>
        <w:tc>
          <w:tcPr>
            <w:tcW w:w="3643" w:type="dxa"/>
          </w:tcPr>
          <w:p w14:paraId="456A952A" w14:textId="77777777" w:rsidR="00F1590E" w:rsidRDefault="000C4199">
            <w:pPr>
              <w:pStyle w:val="3"/>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Выручка от продаж, тыс. руб.</w:t>
            </w:r>
          </w:p>
        </w:tc>
        <w:tc>
          <w:tcPr>
            <w:tcW w:w="3643" w:type="dxa"/>
            <w:vAlign w:val="center"/>
          </w:tcPr>
          <w:p w14:paraId="24E93BC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126 820 736</w:t>
            </w:r>
          </w:p>
        </w:tc>
        <w:tc>
          <w:tcPr>
            <w:tcW w:w="3458" w:type="dxa"/>
            <w:vAlign w:val="center"/>
          </w:tcPr>
          <w:p w14:paraId="22A6509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147 823 158</w:t>
            </w:r>
          </w:p>
        </w:tc>
        <w:tc>
          <w:tcPr>
            <w:tcW w:w="3840" w:type="dxa"/>
            <w:vAlign w:val="center"/>
          </w:tcPr>
          <w:p w14:paraId="616EF69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16,56%</w:t>
            </w:r>
          </w:p>
        </w:tc>
      </w:tr>
      <w:tr w:rsidR="00F1590E" w14:paraId="3ECE6240" w14:textId="77777777">
        <w:trPr>
          <w:trHeight w:val="773"/>
        </w:trPr>
        <w:tc>
          <w:tcPr>
            <w:tcW w:w="3643" w:type="dxa"/>
          </w:tcPr>
          <w:p w14:paraId="32E67F30" w14:textId="77777777" w:rsidR="00F1590E" w:rsidRDefault="000C4199">
            <w:pPr>
              <w:pStyle w:val="3"/>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Средняя стоимость капитала (итог баланса), тыс. руб.</w:t>
            </w:r>
          </w:p>
        </w:tc>
        <w:tc>
          <w:tcPr>
            <w:tcW w:w="3643" w:type="dxa"/>
            <w:vAlign w:val="center"/>
          </w:tcPr>
          <w:p w14:paraId="4FAA252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289 252 442</w:t>
            </w:r>
          </w:p>
        </w:tc>
        <w:tc>
          <w:tcPr>
            <w:tcW w:w="3458" w:type="dxa"/>
            <w:vAlign w:val="center"/>
          </w:tcPr>
          <w:p w14:paraId="4D5F7B3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364 594 116</w:t>
            </w:r>
          </w:p>
        </w:tc>
        <w:tc>
          <w:tcPr>
            <w:tcW w:w="3840" w:type="dxa"/>
            <w:vAlign w:val="center"/>
          </w:tcPr>
          <w:p w14:paraId="6307D6F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26,05%</w:t>
            </w:r>
          </w:p>
        </w:tc>
      </w:tr>
    </w:tbl>
    <w:p w14:paraId="0E9C04A6" w14:textId="77777777" w:rsidR="00F1590E" w:rsidRDefault="00F1590E">
      <w:pPr>
        <w:pStyle w:val="1"/>
        <w:widowControl w:val="0"/>
        <w:spacing w:before="0" w:after="0" w:line="360" w:lineRule="auto"/>
        <w:ind w:firstLine="708"/>
        <w:jc w:val="both"/>
        <w:rPr>
          <w:rFonts w:ascii="Times New Roman" w:eastAsia="Times New Roman" w:hAnsi="Times New Roman" w:cs="Times New Roman"/>
          <w:sz w:val="24"/>
          <w:szCs w:val="24"/>
        </w:rPr>
      </w:pPr>
    </w:p>
    <w:p w14:paraId="126B0E27"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Если темпы прироста выручки от продаж выше, чем прирост итога баланса, то использование финансовых ресурсов в отчетном периоде было более эффективным, чем в предыдущем. </w:t>
      </w:r>
    </w:p>
    <w:p w14:paraId="300AAA56" w14:textId="77777777" w:rsidR="00F1590E" w:rsidRDefault="000C4199">
      <w:pPr>
        <w:pStyle w:val="1"/>
        <w:widowControl w:val="0"/>
        <w:spacing w:before="0"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Выводы:</w:t>
      </w:r>
    </w:p>
    <w:p w14:paraId="2435799D"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 2024 году наблюдался рост как выручки от продаж, так и средней стоимости капитала (валюта баланса) по сравнению с предыдущим годом:</w:t>
      </w:r>
    </w:p>
    <w:p w14:paraId="328743BE"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Выручка от продаж увеличилась на 16,56% — с 126 820 736 тыс. руб. до 147 823 158 тыс. руб.</w:t>
      </w:r>
    </w:p>
    <w:p w14:paraId="0A3EA359"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Средняя стоимость капитала выросла на 26,05% — с 289 252 442 тыс. руб. до 364 594 116 тыс. руб.</w:t>
      </w:r>
    </w:p>
    <w:p w14:paraId="200D4036"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Общая оценка:</w:t>
      </w:r>
    </w:p>
    <w:p w14:paraId="376517E8"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Темпы прироста валюты баланса превысили темпы прироста выручки от продаж, что свидетельствует о снижении эффективности использования финансовых ресурсов в отчетном периоде по сравнению с предыдущим.</w:t>
      </w:r>
    </w:p>
    <w:p w14:paraId="3C52F347"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Иными словами, несмотря на расширение активов компании, полученный экономический результат (в виде выручки)  рос более медленно, что может указывать:</w:t>
      </w:r>
    </w:p>
    <w:p w14:paraId="554BB605"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на менее эффективное использование вложенных ресурсов;</w:t>
      </w:r>
    </w:p>
    <w:p w14:paraId="5492C5BE"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на опережающее инвестирование с расчетом на долгосрочную отдачу;</w:t>
      </w:r>
    </w:p>
    <w:p w14:paraId="1DB8E164"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либо на временное замедление оборачиваемости капитала.</w:t>
      </w:r>
    </w:p>
    <w:p w14:paraId="58AB8B39"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Заключение:</w:t>
      </w:r>
    </w:p>
    <w:p w14:paraId="4808F800"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Динамика финансового состояния оценивается как умеренно положительная, но с признаками снижения рентабельности активов. Компании стоит уделить внимание повышению эффективности текущих вложений и активизации отдачи от наращенного капитала.</w:t>
      </w:r>
    </w:p>
    <w:p w14:paraId="1B1F003A" w14:textId="77777777" w:rsidR="00F1590E" w:rsidRDefault="00F1590E">
      <w:pPr>
        <w:pStyle w:val="1"/>
        <w:widowControl w:val="0"/>
        <w:spacing w:before="0" w:after="0" w:line="360" w:lineRule="auto"/>
        <w:ind w:firstLine="708"/>
        <w:jc w:val="both"/>
        <w:rPr>
          <w:rFonts w:ascii="Times New Roman" w:eastAsia="Times New Roman" w:hAnsi="Times New Roman" w:cs="Times New Roman"/>
          <w:sz w:val="24"/>
          <w:szCs w:val="24"/>
        </w:rPr>
      </w:pPr>
    </w:p>
    <w:p w14:paraId="0F587DF3" w14:textId="77777777" w:rsidR="00F1590E" w:rsidRDefault="000C4199">
      <w:pPr>
        <w:rPr>
          <w:rFonts w:ascii="Times New Roman" w:eastAsia="Times New Roman" w:hAnsi="Times New Roman" w:cs="Times New Roman"/>
          <w:b/>
          <w:sz w:val="24"/>
          <w:szCs w:val="24"/>
        </w:rPr>
      </w:pPr>
      <w:r>
        <w:br w:type="page"/>
      </w:r>
    </w:p>
    <w:p w14:paraId="50E494B0"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Задание 3. </w:t>
      </w:r>
      <w:r>
        <w:rPr>
          <w:rFonts w:ascii="Times New Roman" w:eastAsia="Times New Roman" w:hAnsi="Times New Roman" w:cs="Times New Roman"/>
          <w:b w:val="0"/>
          <w:sz w:val="28"/>
          <w:szCs w:val="28"/>
        </w:rPr>
        <w:t>Определить величину чистых активов предприятия и тенденцию их изменения за анализируемый период (таблица 3.1).</w:t>
      </w:r>
    </w:p>
    <w:p w14:paraId="6C2913BA" w14:textId="77777777" w:rsidR="00F1590E" w:rsidRDefault="000C4199">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Стоимость чистых активов определяется по данным бухгалтерского баланса по формуле (</w:t>
      </w:r>
      <w:r>
        <w:rPr>
          <w:rFonts w:ascii="Times New Roman" w:eastAsia="Times New Roman" w:hAnsi="Times New Roman" w:cs="Times New Roman"/>
          <w:sz w:val="28"/>
          <w:szCs w:val="28"/>
          <w:highlight w:val="white"/>
        </w:rPr>
        <w:t>Приказ Минфина России от 28 августа 2014 г. N 84н «Об утверждении Порядка определения стоимости чистых активов»</w:t>
      </w:r>
      <w:r>
        <w:rPr>
          <w:rFonts w:ascii="Times New Roman" w:eastAsia="Times New Roman" w:hAnsi="Times New Roman" w:cs="Times New Roman"/>
          <w:sz w:val="28"/>
          <w:szCs w:val="28"/>
        </w:rPr>
        <w:t>):</w:t>
      </w:r>
    </w:p>
    <w:p w14:paraId="7EE6C712" w14:textId="77777777" w:rsidR="00F1590E" w:rsidRDefault="000C4199">
      <w:pPr>
        <w:spacing w:after="0"/>
        <w:rPr>
          <w:rFonts w:ascii="Georgia" w:eastAsia="Georgia" w:hAnsi="Georgia" w:cs="Georgia"/>
          <w:color w:val="000000"/>
          <w:sz w:val="24"/>
          <w:szCs w:val="24"/>
        </w:rPr>
      </w:pPr>
      <w:r>
        <w:rPr>
          <w:rFonts w:ascii="Georgia" w:eastAsia="Georgia" w:hAnsi="Georgia" w:cs="Georgia"/>
          <w:noProof/>
          <w:color w:val="000000"/>
          <w:sz w:val="24"/>
          <w:szCs w:val="24"/>
        </w:rPr>
        <w:drawing>
          <wp:inline distT="0" distB="0" distL="0" distR="0" wp14:anchorId="1D294890" wp14:editId="53D17808">
            <wp:extent cx="5524500" cy="781050"/>
            <wp:effectExtent l="0" t="0" r="0" b="0"/>
            <wp:docPr id="11" name="image2.jpg" descr="Стоимость чистых активов"/>
            <wp:cNvGraphicFramePr/>
            <a:graphic xmlns:a="http://schemas.openxmlformats.org/drawingml/2006/main">
              <a:graphicData uri="http://schemas.openxmlformats.org/drawingml/2006/picture">
                <pic:pic xmlns:pic="http://schemas.openxmlformats.org/drawingml/2006/picture">
                  <pic:nvPicPr>
                    <pic:cNvPr id="0" name="image2.jpg" descr="Стоимость чистых активов"/>
                    <pic:cNvPicPr preferRelativeResize="0"/>
                  </pic:nvPicPr>
                  <pic:blipFill>
                    <a:blip r:embed="rId10" cstate="print"/>
                    <a:srcRect/>
                    <a:stretch>
                      <a:fillRect/>
                    </a:stretch>
                  </pic:blipFill>
                  <pic:spPr>
                    <a:xfrm>
                      <a:off x="0" y="0"/>
                      <a:ext cx="5524500" cy="781050"/>
                    </a:xfrm>
                    <a:prstGeom prst="rect">
                      <a:avLst/>
                    </a:prstGeom>
                    <a:ln/>
                  </pic:spPr>
                </pic:pic>
              </a:graphicData>
            </a:graphic>
          </wp:inline>
        </w:drawing>
      </w:r>
    </w:p>
    <w:p w14:paraId="766FEB28" w14:textId="77777777" w:rsidR="00F1590E" w:rsidRDefault="00F1590E">
      <w:pPr>
        <w:pStyle w:val="1"/>
        <w:widowControl w:val="0"/>
        <w:spacing w:before="0" w:after="0" w:line="360" w:lineRule="auto"/>
        <w:ind w:firstLine="708"/>
        <w:jc w:val="both"/>
        <w:rPr>
          <w:rFonts w:ascii="Times New Roman" w:eastAsia="Times New Roman" w:hAnsi="Times New Roman" w:cs="Times New Roman"/>
          <w:b w:val="0"/>
          <w:sz w:val="24"/>
          <w:szCs w:val="24"/>
        </w:rPr>
      </w:pPr>
    </w:p>
    <w:p w14:paraId="3E9D53D8"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3.1</w:t>
      </w:r>
    </w:p>
    <w:p w14:paraId="34A6581E"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стоимости чистых активов организации</w:t>
      </w:r>
    </w:p>
    <w:tbl>
      <w:tblPr>
        <w:tblStyle w:val="af4"/>
        <w:tblW w:w="14630"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68"/>
        <w:gridCol w:w="2327"/>
        <w:gridCol w:w="1827"/>
        <w:gridCol w:w="2260"/>
        <w:gridCol w:w="1874"/>
        <w:gridCol w:w="1140"/>
        <w:gridCol w:w="1134"/>
      </w:tblGrid>
      <w:tr w:rsidR="00F1590E" w14:paraId="099303A5" w14:textId="77777777">
        <w:trPr>
          <w:jc w:val="center"/>
        </w:trPr>
        <w:tc>
          <w:tcPr>
            <w:tcW w:w="4068" w:type="dxa"/>
            <w:vMerge w:val="restart"/>
            <w:tcBorders>
              <w:top w:val="single" w:sz="6" w:space="0" w:color="000000"/>
              <w:left w:val="single" w:sz="6" w:space="0" w:color="000000"/>
              <w:bottom w:val="single" w:sz="6" w:space="0" w:color="000000"/>
              <w:right w:val="single" w:sz="6" w:space="0" w:color="000000"/>
            </w:tcBorders>
            <w:vAlign w:val="center"/>
          </w:tcPr>
          <w:p w14:paraId="6C8F37C9"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Показатель</w:t>
            </w:r>
          </w:p>
        </w:tc>
        <w:tc>
          <w:tcPr>
            <w:tcW w:w="8288" w:type="dxa"/>
            <w:gridSpan w:val="4"/>
            <w:tcBorders>
              <w:top w:val="single" w:sz="6" w:space="0" w:color="000000"/>
              <w:left w:val="single" w:sz="6" w:space="0" w:color="000000"/>
              <w:bottom w:val="single" w:sz="6" w:space="0" w:color="000000"/>
              <w:right w:val="single" w:sz="6" w:space="0" w:color="000000"/>
            </w:tcBorders>
          </w:tcPr>
          <w:p w14:paraId="4D5BFF66"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Значение показателя</w:t>
            </w:r>
          </w:p>
        </w:tc>
        <w:tc>
          <w:tcPr>
            <w:tcW w:w="2274" w:type="dxa"/>
            <w:gridSpan w:val="2"/>
            <w:tcBorders>
              <w:top w:val="single" w:sz="6" w:space="0" w:color="000000"/>
              <w:left w:val="single" w:sz="6" w:space="0" w:color="000000"/>
              <w:bottom w:val="single" w:sz="6" w:space="0" w:color="000000"/>
              <w:right w:val="single" w:sz="6" w:space="0" w:color="000000"/>
            </w:tcBorders>
          </w:tcPr>
          <w:p w14:paraId="5D61BCC0"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Изменение</w:t>
            </w:r>
          </w:p>
        </w:tc>
      </w:tr>
      <w:tr w:rsidR="00F1590E" w14:paraId="12D8EE1D" w14:textId="77777777">
        <w:trPr>
          <w:jc w:val="center"/>
        </w:trPr>
        <w:tc>
          <w:tcPr>
            <w:tcW w:w="4068" w:type="dxa"/>
            <w:vMerge/>
            <w:tcBorders>
              <w:top w:val="single" w:sz="6" w:space="0" w:color="000000"/>
              <w:left w:val="single" w:sz="6" w:space="0" w:color="000000"/>
              <w:bottom w:val="single" w:sz="6" w:space="0" w:color="000000"/>
              <w:right w:val="single" w:sz="6" w:space="0" w:color="000000"/>
            </w:tcBorders>
            <w:vAlign w:val="center"/>
          </w:tcPr>
          <w:p w14:paraId="67FF8803"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4154" w:type="dxa"/>
            <w:gridSpan w:val="2"/>
            <w:tcBorders>
              <w:top w:val="single" w:sz="6" w:space="0" w:color="000000"/>
              <w:left w:val="single" w:sz="6" w:space="0" w:color="000000"/>
              <w:bottom w:val="single" w:sz="6" w:space="0" w:color="000000"/>
              <w:right w:val="single" w:sz="6" w:space="0" w:color="000000"/>
            </w:tcBorders>
          </w:tcPr>
          <w:p w14:paraId="5111C856"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 тыс. руб.</w:t>
            </w:r>
          </w:p>
        </w:tc>
        <w:tc>
          <w:tcPr>
            <w:tcW w:w="4134" w:type="dxa"/>
            <w:gridSpan w:val="2"/>
            <w:tcBorders>
              <w:top w:val="single" w:sz="6" w:space="0" w:color="000000"/>
              <w:left w:val="single" w:sz="6" w:space="0" w:color="000000"/>
              <w:bottom w:val="single" w:sz="6" w:space="0" w:color="000000"/>
              <w:right w:val="single" w:sz="6" w:space="0" w:color="000000"/>
            </w:tcBorders>
          </w:tcPr>
          <w:p w14:paraId="323F5EA3"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 % к валюте баланса</w:t>
            </w:r>
          </w:p>
        </w:tc>
        <w:tc>
          <w:tcPr>
            <w:tcW w:w="1140" w:type="dxa"/>
            <w:vMerge w:val="restart"/>
            <w:tcBorders>
              <w:top w:val="single" w:sz="6" w:space="0" w:color="000000"/>
              <w:left w:val="single" w:sz="6" w:space="0" w:color="000000"/>
              <w:bottom w:val="single" w:sz="6" w:space="0" w:color="000000"/>
              <w:right w:val="single" w:sz="6" w:space="0" w:color="000000"/>
            </w:tcBorders>
          </w:tcPr>
          <w:p w14:paraId="441E736C"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тыс. руб.</w:t>
            </w:r>
          </w:p>
        </w:tc>
        <w:tc>
          <w:tcPr>
            <w:tcW w:w="1134" w:type="dxa"/>
            <w:vMerge w:val="restart"/>
            <w:tcBorders>
              <w:top w:val="single" w:sz="6" w:space="0" w:color="000000"/>
              <w:left w:val="single" w:sz="6" w:space="0" w:color="000000"/>
              <w:bottom w:val="single" w:sz="6" w:space="0" w:color="000000"/>
              <w:right w:val="single" w:sz="6" w:space="0" w:color="000000"/>
            </w:tcBorders>
          </w:tcPr>
          <w:p w14:paraId="5F3ED8C3"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090EAB93" w14:textId="77777777" w:rsidR="00F1590E" w:rsidRDefault="000C419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Темп роста</w:t>
            </w:r>
          </w:p>
        </w:tc>
      </w:tr>
      <w:tr w:rsidR="00F1590E" w14:paraId="7DB6AF14" w14:textId="77777777">
        <w:trPr>
          <w:jc w:val="center"/>
        </w:trPr>
        <w:tc>
          <w:tcPr>
            <w:tcW w:w="4068" w:type="dxa"/>
            <w:vMerge/>
            <w:tcBorders>
              <w:top w:val="single" w:sz="6" w:space="0" w:color="000000"/>
              <w:left w:val="single" w:sz="6" w:space="0" w:color="000000"/>
              <w:bottom w:val="single" w:sz="6" w:space="0" w:color="000000"/>
              <w:right w:val="single" w:sz="6" w:space="0" w:color="000000"/>
            </w:tcBorders>
            <w:vAlign w:val="center"/>
          </w:tcPr>
          <w:p w14:paraId="27337B7E"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2327" w:type="dxa"/>
            <w:tcBorders>
              <w:top w:val="single" w:sz="6" w:space="0" w:color="000000"/>
              <w:left w:val="single" w:sz="6" w:space="0" w:color="000000"/>
              <w:bottom w:val="single" w:sz="6" w:space="0" w:color="000000"/>
              <w:right w:val="single" w:sz="6" w:space="0" w:color="000000"/>
            </w:tcBorders>
          </w:tcPr>
          <w:p w14:paraId="7D156A02"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Предыдущий год</w:t>
            </w:r>
          </w:p>
        </w:tc>
        <w:tc>
          <w:tcPr>
            <w:tcW w:w="1827" w:type="dxa"/>
            <w:tcBorders>
              <w:top w:val="single" w:sz="6" w:space="0" w:color="000000"/>
              <w:left w:val="single" w:sz="6" w:space="0" w:color="000000"/>
              <w:bottom w:val="single" w:sz="6" w:space="0" w:color="000000"/>
              <w:right w:val="single" w:sz="6" w:space="0" w:color="000000"/>
            </w:tcBorders>
          </w:tcPr>
          <w:p w14:paraId="3990DBBE"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Отчетный год</w:t>
            </w:r>
          </w:p>
        </w:tc>
        <w:tc>
          <w:tcPr>
            <w:tcW w:w="2260" w:type="dxa"/>
            <w:tcBorders>
              <w:top w:val="single" w:sz="6" w:space="0" w:color="000000"/>
              <w:left w:val="single" w:sz="6" w:space="0" w:color="000000"/>
              <w:bottom w:val="single" w:sz="6" w:space="0" w:color="000000"/>
              <w:right w:val="single" w:sz="6" w:space="0" w:color="000000"/>
            </w:tcBorders>
          </w:tcPr>
          <w:p w14:paraId="054ADC2C"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Предыдущий год</w:t>
            </w:r>
          </w:p>
        </w:tc>
        <w:tc>
          <w:tcPr>
            <w:tcW w:w="1874" w:type="dxa"/>
            <w:tcBorders>
              <w:top w:val="single" w:sz="6" w:space="0" w:color="000000"/>
              <w:left w:val="single" w:sz="6" w:space="0" w:color="000000"/>
              <w:bottom w:val="single" w:sz="6" w:space="0" w:color="000000"/>
              <w:right w:val="single" w:sz="6" w:space="0" w:color="000000"/>
            </w:tcBorders>
          </w:tcPr>
          <w:p w14:paraId="23ED36CA" w14:textId="77777777" w:rsidR="00F1590E" w:rsidRDefault="000C4199">
            <w:pPr>
              <w:pStyle w:val="3"/>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Отчетный год</w:t>
            </w:r>
          </w:p>
        </w:tc>
        <w:tc>
          <w:tcPr>
            <w:tcW w:w="1140" w:type="dxa"/>
            <w:vMerge/>
            <w:tcBorders>
              <w:top w:val="single" w:sz="6" w:space="0" w:color="000000"/>
              <w:left w:val="single" w:sz="6" w:space="0" w:color="000000"/>
              <w:bottom w:val="single" w:sz="6" w:space="0" w:color="000000"/>
              <w:right w:val="single" w:sz="6" w:space="0" w:color="000000"/>
            </w:tcBorders>
          </w:tcPr>
          <w:p w14:paraId="5E5B9CB4"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134" w:type="dxa"/>
            <w:vMerge/>
            <w:tcBorders>
              <w:top w:val="single" w:sz="6" w:space="0" w:color="000000"/>
              <w:left w:val="single" w:sz="6" w:space="0" w:color="000000"/>
              <w:bottom w:val="single" w:sz="6" w:space="0" w:color="000000"/>
              <w:right w:val="single" w:sz="6" w:space="0" w:color="000000"/>
            </w:tcBorders>
          </w:tcPr>
          <w:p w14:paraId="7B977D81"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F1590E" w14:paraId="78A1ED04" w14:textId="77777777">
        <w:trPr>
          <w:trHeight w:val="188"/>
          <w:jc w:val="center"/>
        </w:trPr>
        <w:tc>
          <w:tcPr>
            <w:tcW w:w="4068" w:type="dxa"/>
            <w:tcBorders>
              <w:top w:val="single" w:sz="6" w:space="0" w:color="000000"/>
              <w:left w:val="single" w:sz="6" w:space="0" w:color="000000"/>
              <w:bottom w:val="single" w:sz="6" w:space="0" w:color="000000"/>
              <w:right w:val="single" w:sz="6" w:space="0" w:color="000000"/>
            </w:tcBorders>
            <w:vAlign w:val="center"/>
          </w:tcPr>
          <w:p w14:paraId="64677DC9"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27" w:type="dxa"/>
            <w:tcBorders>
              <w:top w:val="single" w:sz="6" w:space="0" w:color="000000"/>
              <w:left w:val="single" w:sz="6" w:space="0" w:color="000000"/>
              <w:bottom w:val="single" w:sz="6" w:space="0" w:color="000000"/>
              <w:right w:val="single" w:sz="6" w:space="0" w:color="000000"/>
            </w:tcBorders>
            <w:vAlign w:val="center"/>
          </w:tcPr>
          <w:p w14:paraId="71517B08"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27" w:type="dxa"/>
            <w:tcBorders>
              <w:top w:val="single" w:sz="6" w:space="0" w:color="000000"/>
              <w:left w:val="single" w:sz="6" w:space="0" w:color="000000"/>
              <w:bottom w:val="single" w:sz="6" w:space="0" w:color="000000"/>
              <w:right w:val="single" w:sz="6" w:space="0" w:color="000000"/>
            </w:tcBorders>
            <w:vAlign w:val="center"/>
          </w:tcPr>
          <w:p w14:paraId="5DE9DB24"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60" w:type="dxa"/>
            <w:tcBorders>
              <w:top w:val="single" w:sz="6" w:space="0" w:color="000000"/>
              <w:left w:val="single" w:sz="6" w:space="0" w:color="000000"/>
              <w:bottom w:val="single" w:sz="6" w:space="0" w:color="000000"/>
              <w:right w:val="single" w:sz="6" w:space="0" w:color="000000"/>
            </w:tcBorders>
            <w:vAlign w:val="center"/>
          </w:tcPr>
          <w:p w14:paraId="6F88CA05"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74" w:type="dxa"/>
            <w:tcBorders>
              <w:top w:val="single" w:sz="6" w:space="0" w:color="000000"/>
              <w:left w:val="single" w:sz="6" w:space="0" w:color="000000"/>
              <w:bottom w:val="single" w:sz="6" w:space="0" w:color="000000"/>
              <w:right w:val="single" w:sz="6" w:space="0" w:color="000000"/>
            </w:tcBorders>
            <w:vAlign w:val="center"/>
          </w:tcPr>
          <w:p w14:paraId="6DBB08C4"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40" w:type="dxa"/>
            <w:tcBorders>
              <w:top w:val="single" w:sz="6" w:space="0" w:color="000000"/>
              <w:left w:val="single" w:sz="6" w:space="0" w:color="000000"/>
              <w:bottom w:val="single" w:sz="6" w:space="0" w:color="000000"/>
              <w:right w:val="single" w:sz="6" w:space="0" w:color="000000"/>
            </w:tcBorders>
            <w:vAlign w:val="center"/>
          </w:tcPr>
          <w:p w14:paraId="3B4C3739"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34" w:type="dxa"/>
            <w:tcBorders>
              <w:top w:val="single" w:sz="6" w:space="0" w:color="000000"/>
              <w:left w:val="single" w:sz="6" w:space="0" w:color="000000"/>
              <w:bottom w:val="single" w:sz="6" w:space="0" w:color="000000"/>
              <w:right w:val="single" w:sz="6" w:space="0" w:color="000000"/>
            </w:tcBorders>
            <w:vAlign w:val="center"/>
          </w:tcPr>
          <w:p w14:paraId="75EF4E76" w14:textId="77777777" w:rsidR="00F1590E" w:rsidRDefault="000C419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1590E" w14:paraId="3E975C8D" w14:textId="77777777">
        <w:trPr>
          <w:jc w:val="center"/>
        </w:trPr>
        <w:tc>
          <w:tcPr>
            <w:tcW w:w="4068" w:type="dxa"/>
            <w:tcBorders>
              <w:top w:val="single" w:sz="6" w:space="0" w:color="000000"/>
              <w:left w:val="single" w:sz="6" w:space="0" w:color="000000"/>
              <w:bottom w:val="single" w:sz="6" w:space="0" w:color="000000"/>
              <w:right w:val="single" w:sz="6" w:space="0" w:color="000000"/>
            </w:tcBorders>
            <w:vAlign w:val="center"/>
          </w:tcPr>
          <w:p w14:paraId="770E9EDF"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Чистые активы</w:t>
            </w:r>
          </w:p>
        </w:tc>
        <w:tc>
          <w:tcPr>
            <w:tcW w:w="2327" w:type="dxa"/>
            <w:tcBorders>
              <w:top w:val="single" w:sz="6" w:space="0" w:color="000000"/>
              <w:left w:val="single" w:sz="6" w:space="0" w:color="000000"/>
              <w:bottom w:val="single" w:sz="6" w:space="0" w:color="000000"/>
              <w:right w:val="single" w:sz="6" w:space="0" w:color="000000"/>
            </w:tcBorders>
            <w:vAlign w:val="center"/>
          </w:tcPr>
          <w:p w14:paraId="06F1CAE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161 844 218</w:t>
            </w:r>
          </w:p>
        </w:tc>
        <w:tc>
          <w:tcPr>
            <w:tcW w:w="1827" w:type="dxa"/>
            <w:tcBorders>
              <w:top w:val="single" w:sz="6" w:space="0" w:color="000000"/>
              <w:left w:val="single" w:sz="6" w:space="0" w:color="000000"/>
              <w:bottom w:val="single" w:sz="6" w:space="0" w:color="000000"/>
              <w:right w:val="single" w:sz="6" w:space="0" w:color="000000"/>
            </w:tcBorders>
            <w:vAlign w:val="bottom"/>
          </w:tcPr>
          <w:p w14:paraId="0502879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161 943 826</w:t>
            </w:r>
          </w:p>
        </w:tc>
        <w:tc>
          <w:tcPr>
            <w:tcW w:w="2260" w:type="dxa"/>
            <w:tcBorders>
              <w:top w:val="single" w:sz="6" w:space="0" w:color="000000"/>
              <w:left w:val="single" w:sz="6" w:space="0" w:color="000000"/>
              <w:bottom w:val="single" w:sz="6" w:space="0" w:color="000000"/>
              <w:right w:val="single" w:sz="6" w:space="0" w:color="000000"/>
            </w:tcBorders>
            <w:vAlign w:val="bottom"/>
          </w:tcPr>
          <w:p w14:paraId="4D188D1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55,95%</w:t>
            </w:r>
          </w:p>
        </w:tc>
        <w:tc>
          <w:tcPr>
            <w:tcW w:w="1874" w:type="dxa"/>
            <w:tcBorders>
              <w:top w:val="single" w:sz="6" w:space="0" w:color="000000"/>
              <w:left w:val="single" w:sz="6" w:space="0" w:color="000000"/>
              <w:bottom w:val="single" w:sz="6" w:space="0" w:color="000000"/>
              <w:right w:val="single" w:sz="6" w:space="0" w:color="000000"/>
            </w:tcBorders>
            <w:vAlign w:val="bottom"/>
          </w:tcPr>
          <w:p w14:paraId="41EA628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44,42%</w:t>
            </w:r>
          </w:p>
        </w:tc>
        <w:tc>
          <w:tcPr>
            <w:tcW w:w="1140" w:type="dxa"/>
            <w:tcBorders>
              <w:top w:val="single" w:sz="6" w:space="0" w:color="000000"/>
              <w:left w:val="single" w:sz="6" w:space="0" w:color="000000"/>
              <w:bottom w:val="single" w:sz="6" w:space="0" w:color="000000"/>
              <w:right w:val="single" w:sz="6" w:space="0" w:color="000000"/>
            </w:tcBorders>
            <w:vAlign w:val="center"/>
          </w:tcPr>
          <w:p w14:paraId="57D2E2C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99 608</w:t>
            </w:r>
          </w:p>
        </w:tc>
        <w:tc>
          <w:tcPr>
            <w:tcW w:w="1134" w:type="dxa"/>
            <w:tcBorders>
              <w:top w:val="single" w:sz="6" w:space="0" w:color="000000"/>
              <w:left w:val="single" w:sz="6" w:space="0" w:color="000000"/>
              <w:bottom w:val="single" w:sz="6" w:space="0" w:color="000000"/>
              <w:right w:val="single" w:sz="6" w:space="0" w:color="000000"/>
            </w:tcBorders>
            <w:vAlign w:val="bottom"/>
          </w:tcPr>
          <w:p w14:paraId="5053EC2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100,06%</w:t>
            </w:r>
          </w:p>
        </w:tc>
      </w:tr>
      <w:tr w:rsidR="00F1590E" w14:paraId="603D7CC9" w14:textId="77777777">
        <w:trPr>
          <w:jc w:val="center"/>
        </w:trPr>
        <w:tc>
          <w:tcPr>
            <w:tcW w:w="4068" w:type="dxa"/>
            <w:tcBorders>
              <w:top w:val="single" w:sz="6" w:space="0" w:color="000000"/>
              <w:left w:val="single" w:sz="6" w:space="0" w:color="000000"/>
              <w:bottom w:val="single" w:sz="6" w:space="0" w:color="000000"/>
              <w:right w:val="single" w:sz="6" w:space="0" w:color="000000"/>
            </w:tcBorders>
            <w:vAlign w:val="center"/>
          </w:tcPr>
          <w:p w14:paraId="4FC65288"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Уставный капитал</w:t>
            </w:r>
          </w:p>
        </w:tc>
        <w:tc>
          <w:tcPr>
            <w:tcW w:w="2327" w:type="dxa"/>
            <w:tcBorders>
              <w:top w:val="single" w:sz="6" w:space="0" w:color="000000"/>
              <w:left w:val="single" w:sz="6" w:space="0" w:color="000000"/>
              <w:bottom w:val="single" w:sz="6" w:space="0" w:color="000000"/>
              <w:right w:val="single" w:sz="6" w:space="0" w:color="000000"/>
            </w:tcBorders>
            <w:vAlign w:val="center"/>
          </w:tcPr>
          <w:p w14:paraId="065905E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183 786</w:t>
            </w:r>
          </w:p>
        </w:tc>
        <w:tc>
          <w:tcPr>
            <w:tcW w:w="1827" w:type="dxa"/>
            <w:tcBorders>
              <w:top w:val="single" w:sz="6" w:space="0" w:color="000000"/>
              <w:left w:val="single" w:sz="6" w:space="0" w:color="000000"/>
              <w:bottom w:val="single" w:sz="6" w:space="0" w:color="000000"/>
              <w:right w:val="single" w:sz="6" w:space="0" w:color="000000"/>
            </w:tcBorders>
            <w:vAlign w:val="center"/>
          </w:tcPr>
          <w:p w14:paraId="2044F266"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183 786</w:t>
            </w:r>
          </w:p>
        </w:tc>
        <w:tc>
          <w:tcPr>
            <w:tcW w:w="2260" w:type="dxa"/>
            <w:tcBorders>
              <w:top w:val="single" w:sz="6" w:space="0" w:color="000000"/>
              <w:left w:val="single" w:sz="6" w:space="0" w:color="000000"/>
              <w:bottom w:val="single" w:sz="6" w:space="0" w:color="000000"/>
              <w:right w:val="single" w:sz="6" w:space="0" w:color="000000"/>
            </w:tcBorders>
            <w:vAlign w:val="bottom"/>
          </w:tcPr>
          <w:p w14:paraId="1013E75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1874" w:type="dxa"/>
            <w:tcBorders>
              <w:top w:val="single" w:sz="6" w:space="0" w:color="000000"/>
              <w:left w:val="single" w:sz="6" w:space="0" w:color="000000"/>
              <w:bottom w:val="single" w:sz="6" w:space="0" w:color="000000"/>
              <w:right w:val="single" w:sz="6" w:space="0" w:color="000000"/>
            </w:tcBorders>
            <w:vAlign w:val="bottom"/>
          </w:tcPr>
          <w:p w14:paraId="669F5FA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w:t>
            </w:r>
          </w:p>
        </w:tc>
        <w:tc>
          <w:tcPr>
            <w:tcW w:w="1140" w:type="dxa"/>
            <w:tcBorders>
              <w:top w:val="single" w:sz="6" w:space="0" w:color="000000"/>
              <w:left w:val="single" w:sz="6" w:space="0" w:color="000000"/>
              <w:bottom w:val="single" w:sz="6" w:space="0" w:color="000000"/>
              <w:right w:val="single" w:sz="6" w:space="0" w:color="000000"/>
            </w:tcBorders>
            <w:vAlign w:val="center"/>
          </w:tcPr>
          <w:p w14:paraId="0B25827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134" w:type="dxa"/>
            <w:tcBorders>
              <w:top w:val="single" w:sz="6" w:space="0" w:color="000000"/>
              <w:left w:val="single" w:sz="6" w:space="0" w:color="000000"/>
              <w:bottom w:val="single" w:sz="6" w:space="0" w:color="000000"/>
              <w:right w:val="single" w:sz="6" w:space="0" w:color="000000"/>
            </w:tcBorders>
            <w:vAlign w:val="bottom"/>
          </w:tcPr>
          <w:p w14:paraId="390A6E7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r>
      <w:tr w:rsidR="00F1590E" w14:paraId="1BBD6275" w14:textId="77777777">
        <w:trPr>
          <w:jc w:val="center"/>
        </w:trPr>
        <w:tc>
          <w:tcPr>
            <w:tcW w:w="4068" w:type="dxa"/>
            <w:tcBorders>
              <w:top w:val="single" w:sz="6" w:space="0" w:color="000000"/>
              <w:left w:val="single" w:sz="6" w:space="0" w:color="000000"/>
              <w:bottom w:val="single" w:sz="6" w:space="0" w:color="000000"/>
              <w:right w:val="single" w:sz="6" w:space="0" w:color="000000"/>
            </w:tcBorders>
            <w:vAlign w:val="center"/>
          </w:tcPr>
          <w:p w14:paraId="31E920E2"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Превышение чистых активов над уставным капиталом (стр.1-стр.2)</w:t>
            </w:r>
          </w:p>
        </w:tc>
        <w:tc>
          <w:tcPr>
            <w:tcW w:w="2327" w:type="dxa"/>
            <w:tcBorders>
              <w:top w:val="single" w:sz="6" w:space="0" w:color="000000"/>
              <w:left w:val="single" w:sz="6" w:space="0" w:color="000000"/>
              <w:bottom w:val="single" w:sz="6" w:space="0" w:color="000000"/>
              <w:right w:val="single" w:sz="6" w:space="0" w:color="000000"/>
            </w:tcBorders>
            <w:vAlign w:val="center"/>
          </w:tcPr>
          <w:p w14:paraId="579F4D3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161 660 432</w:t>
            </w:r>
          </w:p>
        </w:tc>
        <w:tc>
          <w:tcPr>
            <w:tcW w:w="1827" w:type="dxa"/>
            <w:tcBorders>
              <w:top w:val="single" w:sz="6" w:space="0" w:color="000000"/>
              <w:left w:val="single" w:sz="6" w:space="0" w:color="000000"/>
              <w:bottom w:val="single" w:sz="6" w:space="0" w:color="000000"/>
              <w:right w:val="single" w:sz="6" w:space="0" w:color="000000"/>
            </w:tcBorders>
            <w:vAlign w:val="center"/>
          </w:tcPr>
          <w:p w14:paraId="15627CB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161 760 040</w:t>
            </w:r>
          </w:p>
        </w:tc>
        <w:tc>
          <w:tcPr>
            <w:tcW w:w="2260" w:type="dxa"/>
            <w:tcBorders>
              <w:top w:val="single" w:sz="6" w:space="0" w:color="000000"/>
              <w:left w:val="single" w:sz="6" w:space="0" w:color="000000"/>
              <w:bottom w:val="single" w:sz="6" w:space="0" w:color="000000"/>
              <w:right w:val="single" w:sz="6" w:space="0" w:color="000000"/>
            </w:tcBorders>
            <w:vAlign w:val="bottom"/>
          </w:tcPr>
          <w:p w14:paraId="7E575FB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55,89%</w:t>
            </w:r>
          </w:p>
        </w:tc>
        <w:tc>
          <w:tcPr>
            <w:tcW w:w="1874" w:type="dxa"/>
            <w:tcBorders>
              <w:top w:val="single" w:sz="6" w:space="0" w:color="000000"/>
              <w:left w:val="single" w:sz="6" w:space="0" w:color="000000"/>
              <w:bottom w:val="single" w:sz="6" w:space="0" w:color="000000"/>
              <w:right w:val="single" w:sz="6" w:space="0" w:color="000000"/>
            </w:tcBorders>
            <w:vAlign w:val="bottom"/>
          </w:tcPr>
          <w:p w14:paraId="79006E4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44,37%</w:t>
            </w:r>
          </w:p>
        </w:tc>
        <w:tc>
          <w:tcPr>
            <w:tcW w:w="1140" w:type="dxa"/>
            <w:tcBorders>
              <w:top w:val="single" w:sz="6" w:space="0" w:color="000000"/>
              <w:left w:val="single" w:sz="6" w:space="0" w:color="000000"/>
              <w:bottom w:val="single" w:sz="6" w:space="0" w:color="000000"/>
              <w:right w:val="single" w:sz="6" w:space="0" w:color="000000"/>
            </w:tcBorders>
            <w:vAlign w:val="center"/>
          </w:tcPr>
          <w:p w14:paraId="2094C3C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99 608</w:t>
            </w:r>
          </w:p>
        </w:tc>
        <w:tc>
          <w:tcPr>
            <w:tcW w:w="1134" w:type="dxa"/>
            <w:tcBorders>
              <w:top w:val="single" w:sz="6" w:space="0" w:color="000000"/>
              <w:left w:val="single" w:sz="6" w:space="0" w:color="000000"/>
              <w:bottom w:val="single" w:sz="6" w:space="0" w:color="000000"/>
              <w:right w:val="single" w:sz="6" w:space="0" w:color="000000"/>
            </w:tcBorders>
            <w:vAlign w:val="bottom"/>
          </w:tcPr>
          <w:p w14:paraId="0626DB7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100,06%</w:t>
            </w:r>
          </w:p>
        </w:tc>
      </w:tr>
      <w:tr w:rsidR="00F1590E" w14:paraId="37B5FC4F" w14:textId="77777777">
        <w:trPr>
          <w:jc w:val="center"/>
        </w:trPr>
        <w:tc>
          <w:tcPr>
            <w:tcW w:w="4068" w:type="dxa"/>
            <w:tcBorders>
              <w:top w:val="single" w:sz="6" w:space="0" w:color="000000"/>
              <w:left w:val="single" w:sz="6" w:space="0" w:color="000000"/>
              <w:bottom w:val="single" w:sz="6" w:space="0" w:color="000000"/>
              <w:right w:val="single" w:sz="6" w:space="0" w:color="000000"/>
            </w:tcBorders>
            <w:vAlign w:val="center"/>
          </w:tcPr>
          <w:p w14:paraId="4B76E544" w14:textId="77777777" w:rsidR="00F1590E" w:rsidRDefault="000C4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БАЛАНС</w:t>
            </w:r>
          </w:p>
        </w:tc>
        <w:tc>
          <w:tcPr>
            <w:tcW w:w="2327" w:type="dxa"/>
            <w:tcBorders>
              <w:top w:val="single" w:sz="6" w:space="0" w:color="000000"/>
              <w:left w:val="single" w:sz="6" w:space="0" w:color="000000"/>
              <w:bottom w:val="single" w:sz="6" w:space="0" w:color="000000"/>
              <w:right w:val="single" w:sz="6" w:space="0" w:color="000000"/>
            </w:tcBorders>
            <w:vAlign w:val="center"/>
          </w:tcPr>
          <w:p w14:paraId="2B46357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289 252 442</w:t>
            </w:r>
          </w:p>
        </w:tc>
        <w:tc>
          <w:tcPr>
            <w:tcW w:w="1827" w:type="dxa"/>
            <w:tcBorders>
              <w:top w:val="single" w:sz="6" w:space="0" w:color="000000"/>
              <w:left w:val="single" w:sz="6" w:space="0" w:color="000000"/>
              <w:bottom w:val="single" w:sz="6" w:space="0" w:color="000000"/>
              <w:right w:val="single" w:sz="6" w:space="0" w:color="000000"/>
            </w:tcBorders>
            <w:vAlign w:val="center"/>
          </w:tcPr>
          <w:p w14:paraId="3F7E3FA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364 594 116</w:t>
            </w:r>
          </w:p>
        </w:tc>
        <w:tc>
          <w:tcPr>
            <w:tcW w:w="2260" w:type="dxa"/>
            <w:tcBorders>
              <w:top w:val="single" w:sz="6" w:space="0" w:color="000000"/>
              <w:left w:val="single" w:sz="6" w:space="0" w:color="000000"/>
              <w:bottom w:val="single" w:sz="6" w:space="0" w:color="000000"/>
              <w:right w:val="single" w:sz="6" w:space="0" w:color="000000"/>
            </w:tcBorders>
            <w:vAlign w:val="bottom"/>
          </w:tcPr>
          <w:p w14:paraId="695C6AD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874" w:type="dxa"/>
            <w:tcBorders>
              <w:top w:val="single" w:sz="6" w:space="0" w:color="000000"/>
              <w:left w:val="single" w:sz="6" w:space="0" w:color="000000"/>
              <w:bottom w:val="single" w:sz="6" w:space="0" w:color="000000"/>
              <w:right w:val="single" w:sz="6" w:space="0" w:color="000000"/>
            </w:tcBorders>
            <w:vAlign w:val="bottom"/>
          </w:tcPr>
          <w:p w14:paraId="197C9CE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140" w:type="dxa"/>
            <w:tcBorders>
              <w:top w:val="single" w:sz="6" w:space="0" w:color="000000"/>
              <w:left w:val="single" w:sz="6" w:space="0" w:color="000000"/>
              <w:bottom w:val="single" w:sz="6" w:space="0" w:color="000000"/>
              <w:right w:val="single" w:sz="6" w:space="0" w:color="000000"/>
            </w:tcBorders>
            <w:vAlign w:val="center"/>
          </w:tcPr>
          <w:p w14:paraId="5C9BB34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75 341 674</w:t>
            </w:r>
          </w:p>
        </w:tc>
        <w:tc>
          <w:tcPr>
            <w:tcW w:w="1134" w:type="dxa"/>
            <w:tcBorders>
              <w:top w:val="single" w:sz="6" w:space="0" w:color="000000"/>
              <w:left w:val="single" w:sz="6" w:space="0" w:color="000000"/>
              <w:bottom w:val="single" w:sz="6" w:space="0" w:color="000000"/>
              <w:right w:val="single" w:sz="6" w:space="0" w:color="000000"/>
            </w:tcBorders>
            <w:vAlign w:val="bottom"/>
          </w:tcPr>
          <w:p w14:paraId="5C39FD4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126,05%</w:t>
            </w:r>
          </w:p>
        </w:tc>
      </w:tr>
    </w:tbl>
    <w:p w14:paraId="5B9D3E09" w14:textId="77777777" w:rsidR="00F1590E" w:rsidRDefault="00F1590E">
      <w:pPr>
        <w:pStyle w:val="1"/>
        <w:widowControl w:val="0"/>
        <w:spacing w:before="0" w:after="0" w:line="360" w:lineRule="auto"/>
        <w:ind w:firstLine="708"/>
        <w:jc w:val="both"/>
        <w:rPr>
          <w:rFonts w:ascii="Times New Roman" w:eastAsia="Times New Roman" w:hAnsi="Times New Roman" w:cs="Times New Roman"/>
          <w:sz w:val="28"/>
          <w:szCs w:val="28"/>
        </w:rPr>
      </w:pPr>
    </w:p>
    <w:p w14:paraId="3A61C938" w14:textId="77777777" w:rsidR="00F1590E" w:rsidRDefault="000C4199">
      <w:pPr>
        <w:pStyle w:val="1"/>
        <w:widowControl w:val="0"/>
        <w:spacing w:before="0"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Выводы: </w:t>
      </w:r>
    </w:p>
    <w:p w14:paraId="54713D0A"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Динамика чистых активов</w:t>
      </w:r>
    </w:p>
    <w:p w14:paraId="173F7E5B"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Чистые активы увеличились незначительно: с 161 844 218 тыс. руб. до 161 943 826 тыс. руб. (+99 608 тыс. руб., темп роста — 100,06%).</w:t>
      </w:r>
    </w:p>
    <w:p w14:paraId="79DF14BD"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В относительном выражении доля чистых активов в валюте баланса существенно снизилась: с 55,95% до 44,42% (на 11,53 п.п.).</w:t>
      </w:r>
    </w:p>
    <w:p w14:paraId="7E2B92E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Сравнение с уставным капиталом</w:t>
      </w:r>
    </w:p>
    <w:p w14:paraId="68AF14F5"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Уставный капитал остался неизменным — 183 786 тыс. руб.</w:t>
      </w:r>
    </w:p>
    <w:p w14:paraId="1FC3FD02"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Превышение чистых активов над уставным капиталом по-прежнему значительно (в 2024 году — 161 760 040 тыс. руб.), что соответствует требованиям законодательства и говорит о формальной финансовой устойчивости компании.</w:t>
      </w:r>
    </w:p>
    <w:p w14:paraId="3CCDEED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Общая тенденция</w:t>
      </w:r>
    </w:p>
    <w:p w14:paraId="434FD7DD"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Несмотря на абсолютный рост чистых активов, их доля в структуре баланса снизилась, что свидетельствует об опережающем росте заемного капитала.</w:t>
      </w:r>
    </w:p>
    <w:p w14:paraId="69191080"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Это может указывать на:</w:t>
      </w:r>
    </w:p>
    <w:p w14:paraId="019AE8D4"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увеличение долговой нагрузки;</w:t>
      </w:r>
    </w:p>
    <w:p w14:paraId="2EE2B6D4"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снижение финансовой независимости;</w:t>
      </w:r>
    </w:p>
    <w:p w14:paraId="4A8CA421"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потенциальное увеличение рисков платежеспособности в долгосрочной перспективе.</w:t>
      </w:r>
    </w:p>
    <w:p w14:paraId="1081656A"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Заключение:</w:t>
      </w:r>
    </w:p>
    <w:p w14:paraId="4F1C4004"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Финансовое положение ПАО «Акрон» по критерию чистых активов формально стабильно, однако тенденция к снижению их доли в общем объеме активов вызывает обеспокоенность. Для поддержания устойчивости и инвестиционной привлекательности организации желательно контролировать темпы роста обязательств и повышать рентабельность активов.</w:t>
      </w:r>
    </w:p>
    <w:p w14:paraId="09D0AF40" w14:textId="77777777" w:rsidR="00F1590E" w:rsidRDefault="00F1590E">
      <w:pPr>
        <w:pStyle w:val="1"/>
        <w:widowControl w:val="0"/>
        <w:spacing w:before="0" w:after="0" w:line="360" w:lineRule="auto"/>
        <w:ind w:firstLine="708"/>
        <w:jc w:val="both"/>
        <w:rPr>
          <w:rFonts w:ascii="Times New Roman" w:eastAsia="Times New Roman" w:hAnsi="Times New Roman" w:cs="Times New Roman"/>
          <w:sz w:val="28"/>
          <w:szCs w:val="28"/>
        </w:rPr>
      </w:pPr>
    </w:p>
    <w:p w14:paraId="25DFDCE7" w14:textId="77777777" w:rsidR="00F1590E" w:rsidRDefault="000C4199">
      <w:pPr>
        <w:pStyle w:val="1"/>
        <w:widowControl w:val="0"/>
        <w:spacing w:before="0" w:after="0" w:line="360" w:lineRule="auto"/>
        <w:jc w:val="both"/>
        <w:rPr>
          <w:rFonts w:ascii="Times New Roman" w:eastAsia="Times New Roman" w:hAnsi="Times New Roman" w:cs="Times New Roman"/>
          <w:b w:val="0"/>
          <w:sz w:val="24"/>
          <w:szCs w:val="24"/>
        </w:rPr>
      </w:pPr>
      <w:r>
        <w:br w:type="page"/>
      </w:r>
    </w:p>
    <w:p w14:paraId="182A5BAB"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Анализ ликвидности и платежеспособности организации</w:t>
      </w:r>
    </w:p>
    <w:p w14:paraId="2C0B691E" w14:textId="77777777" w:rsidR="00F1590E" w:rsidRDefault="000C4199">
      <w:pPr>
        <w:pStyle w:val="1"/>
        <w:widowControl w:val="0"/>
        <w:spacing w:before="0"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Задание 4. </w:t>
      </w:r>
      <w:r>
        <w:rPr>
          <w:rFonts w:ascii="Times New Roman" w:eastAsia="Times New Roman" w:hAnsi="Times New Roman" w:cs="Times New Roman"/>
          <w:b w:val="0"/>
          <w:sz w:val="28"/>
          <w:szCs w:val="28"/>
        </w:rPr>
        <w:t>Оценить ликвидность баланса предприятия</w:t>
      </w:r>
      <w:r>
        <w:rPr>
          <w:rFonts w:ascii="Times New Roman" w:eastAsia="Times New Roman" w:hAnsi="Times New Roman" w:cs="Times New Roman"/>
          <w:sz w:val="28"/>
          <w:szCs w:val="28"/>
        </w:rPr>
        <w:t>.</w:t>
      </w:r>
    </w:p>
    <w:p w14:paraId="4CCC6E01"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Анализ заключается в сравнении средств по активу, сгруппированных по степени их ликвидности и расположенных в порядке убывания ликвидности, с обязательствами по пассиву, объединенными по срокам их погашения и в порядке возрастания сроков (таблица 4.1).</w:t>
      </w:r>
    </w:p>
    <w:p w14:paraId="59A4E87D"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Баланс считается абсолютно ликвидным, если по первым 3 составляющим баланса имеется превышение активов над пассивами, а по 4-й – наоборот, т.е. излишек обеспечения, собственный капитал больше внеоборотных активов.</w:t>
      </w:r>
    </w:p>
    <w:p w14:paraId="2677F23B"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4 .1</w:t>
      </w:r>
    </w:p>
    <w:p w14:paraId="62948DB5"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Анализ соотношения активов по степени ликвидности и обязательств по сроку погашения</w:t>
      </w:r>
    </w:p>
    <w:tbl>
      <w:tblPr>
        <w:tblStyle w:val="af5"/>
        <w:tblW w:w="15052"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924"/>
        <w:gridCol w:w="1501"/>
        <w:gridCol w:w="1417"/>
        <w:gridCol w:w="1134"/>
        <w:gridCol w:w="2138"/>
        <w:gridCol w:w="1406"/>
        <w:gridCol w:w="1417"/>
        <w:gridCol w:w="1489"/>
        <w:gridCol w:w="1626"/>
      </w:tblGrid>
      <w:tr w:rsidR="00F1590E" w14:paraId="12F64112" w14:textId="77777777">
        <w:trPr>
          <w:trHeight w:val="116"/>
          <w:jc w:val="center"/>
        </w:trPr>
        <w:tc>
          <w:tcPr>
            <w:tcW w:w="2924" w:type="dxa"/>
            <w:vMerge w:val="restart"/>
            <w:tcBorders>
              <w:top w:val="single" w:sz="6" w:space="0" w:color="000000"/>
              <w:left w:val="single" w:sz="6" w:space="0" w:color="000000"/>
              <w:right w:val="single" w:sz="6" w:space="0" w:color="000000"/>
            </w:tcBorders>
            <w:vAlign w:val="center"/>
          </w:tcPr>
          <w:p w14:paraId="780D5582"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Активы по степени ликвидности</w:t>
            </w:r>
          </w:p>
        </w:tc>
        <w:tc>
          <w:tcPr>
            <w:tcW w:w="2918" w:type="dxa"/>
            <w:gridSpan w:val="2"/>
            <w:tcBorders>
              <w:top w:val="single" w:sz="6" w:space="0" w:color="000000"/>
              <w:left w:val="single" w:sz="6" w:space="0" w:color="000000"/>
              <w:bottom w:val="single" w:sz="6" w:space="0" w:color="000000"/>
              <w:right w:val="single" w:sz="6" w:space="0" w:color="000000"/>
            </w:tcBorders>
            <w:vAlign w:val="center"/>
          </w:tcPr>
          <w:p w14:paraId="329646A0"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Значение, тыс. руб.</w:t>
            </w:r>
          </w:p>
        </w:tc>
        <w:tc>
          <w:tcPr>
            <w:tcW w:w="1134" w:type="dxa"/>
            <w:vMerge w:val="restart"/>
            <w:tcBorders>
              <w:top w:val="single" w:sz="6" w:space="0" w:color="000000"/>
              <w:left w:val="single" w:sz="6" w:space="0" w:color="000000"/>
              <w:right w:val="single" w:sz="6" w:space="0" w:color="000000"/>
            </w:tcBorders>
            <w:vAlign w:val="center"/>
          </w:tcPr>
          <w:p w14:paraId="4A203F44"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Норм. соотно-шение</w:t>
            </w:r>
          </w:p>
        </w:tc>
        <w:tc>
          <w:tcPr>
            <w:tcW w:w="2138" w:type="dxa"/>
            <w:vMerge w:val="restart"/>
            <w:tcBorders>
              <w:top w:val="single" w:sz="6" w:space="0" w:color="000000"/>
              <w:left w:val="single" w:sz="6" w:space="0" w:color="000000"/>
              <w:right w:val="single" w:sz="6" w:space="0" w:color="000000"/>
            </w:tcBorders>
            <w:vAlign w:val="center"/>
          </w:tcPr>
          <w:p w14:paraId="5227F70F"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Пассивы по сроку погашения</w:t>
            </w:r>
          </w:p>
        </w:tc>
        <w:tc>
          <w:tcPr>
            <w:tcW w:w="2823" w:type="dxa"/>
            <w:gridSpan w:val="2"/>
            <w:tcBorders>
              <w:top w:val="single" w:sz="6" w:space="0" w:color="000000"/>
              <w:left w:val="single" w:sz="6" w:space="0" w:color="000000"/>
              <w:bottom w:val="single" w:sz="6" w:space="0" w:color="000000"/>
              <w:right w:val="single" w:sz="6" w:space="0" w:color="000000"/>
            </w:tcBorders>
          </w:tcPr>
          <w:p w14:paraId="623DCEBE"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Значение, тыс. руб.</w:t>
            </w:r>
          </w:p>
        </w:tc>
        <w:tc>
          <w:tcPr>
            <w:tcW w:w="3115" w:type="dxa"/>
            <w:gridSpan w:val="2"/>
            <w:tcBorders>
              <w:top w:val="single" w:sz="6" w:space="0" w:color="000000"/>
              <w:left w:val="single" w:sz="6" w:space="0" w:color="000000"/>
              <w:bottom w:val="single" w:sz="6" w:space="0" w:color="000000"/>
              <w:right w:val="single" w:sz="6" w:space="0" w:color="000000"/>
            </w:tcBorders>
          </w:tcPr>
          <w:p w14:paraId="7831361F"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Излишек/</w:t>
            </w:r>
            <w:r>
              <w:rPr>
                <w:rFonts w:ascii="Times New Roman" w:eastAsia="Times New Roman" w:hAnsi="Times New Roman" w:cs="Times New Roman"/>
                <w:b/>
                <w:sz w:val="24"/>
                <w:szCs w:val="24"/>
              </w:rPr>
              <w:br/>
              <w:t>недостаток</w:t>
            </w:r>
            <w:r>
              <w:rPr>
                <w:rFonts w:ascii="Times New Roman" w:eastAsia="Times New Roman" w:hAnsi="Times New Roman" w:cs="Times New Roman"/>
                <w:b/>
                <w:sz w:val="24"/>
                <w:szCs w:val="24"/>
              </w:rPr>
              <w:br/>
              <w:t>платеж. средств</w:t>
            </w:r>
            <w:r>
              <w:rPr>
                <w:rFonts w:ascii="Times New Roman" w:eastAsia="Times New Roman" w:hAnsi="Times New Roman" w:cs="Times New Roman"/>
                <w:b/>
                <w:sz w:val="24"/>
                <w:szCs w:val="24"/>
              </w:rPr>
              <w:br/>
              <w:t>тыс. руб.,</w:t>
            </w:r>
          </w:p>
        </w:tc>
      </w:tr>
      <w:tr w:rsidR="00F1590E" w14:paraId="42C797ED" w14:textId="77777777">
        <w:trPr>
          <w:trHeight w:val="35"/>
          <w:jc w:val="center"/>
        </w:trPr>
        <w:tc>
          <w:tcPr>
            <w:tcW w:w="2924" w:type="dxa"/>
            <w:vMerge/>
            <w:tcBorders>
              <w:top w:val="single" w:sz="6" w:space="0" w:color="000000"/>
              <w:left w:val="single" w:sz="6" w:space="0" w:color="000000"/>
              <w:right w:val="single" w:sz="6" w:space="0" w:color="000000"/>
            </w:tcBorders>
            <w:vAlign w:val="center"/>
          </w:tcPr>
          <w:p w14:paraId="0C2B021F"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1501" w:type="dxa"/>
            <w:tcBorders>
              <w:top w:val="single" w:sz="6" w:space="0" w:color="000000"/>
              <w:left w:val="single" w:sz="6" w:space="0" w:color="000000"/>
              <w:bottom w:val="single" w:sz="6" w:space="0" w:color="000000"/>
              <w:right w:val="single" w:sz="6" w:space="0" w:color="000000"/>
            </w:tcBorders>
            <w:vAlign w:val="center"/>
          </w:tcPr>
          <w:p w14:paraId="68FD03AD"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начало отчетного периода</w:t>
            </w:r>
          </w:p>
        </w:tc>
        <w:tc>
          <w:tcPr>
            <w:tcW w:w="1417" w:type="dxa"/>
            <w:tcBorders>
              <w:top w:val="single" w:sz="6" w:space="0" w:color="000000"/>
              <w:left w:val="single" w:sz="6" w:space="0" w:color="000000"/>
              <w:bottom w:val="single" w:sz="6" w:space="0" w:color="000000"/>
              <w:right w:val="single" w:sz="6" w:space="0" w:color="000000"/>
            </w:tcBorders>
          </w:tcPr>
          <w:p w14:paraId="4D82E853"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конец отчетного периода</w:t>
            </w:r>
          </w:p>
        </w:tc>
        <w:tc>
          <w:tcPr>
            <w:tcW w:w="1134" w:type="dxa"/>
            <w:vMerge/>
            <w:tcBorders>
              <w:top w:val="single" w:sz="6" w:space="0" w:color="000000"/>
              <w:left w:val="single" w:sz="6" w:space="0" w:color="000000"/>
              <w:right w:val="single" w:sz="6" w:space="0" w:color="000000"/>
            </w:tcBorders>
            <w:vAlign w:val="center"/>
          </w:tcPr>
          <w:p w14:paraId="3217A83F"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2138" w:type="dxa"/>
            <w:vMerge/>
            <w:tcBorders>
              <w:top w:val="single" w:sz="6" w:space="0" w:color="000000"/>
              <w:left w:val="single" w:sz="6" w:space="0" w:color="000000"/>
              <w:right w:val="single" w:sz="6" w:space="0" w:color="000000"/>
            </w:tcBorders>
            <w:vAlign w:val="center"/>
          </w:tcPr>
          <w:p w14:paraId="509E4889"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1406" w:type="dxa"/>
            <w:tcBorders>
              <w:top w:val="single" w:sz="6" w:space="0" w:color="000000"/>
              <w:left w:val="single" w:sz="6" w:space="0" w:color="000000"/>
              <w:bottom w:val="single" w:sz="6" w:space="0" w:color="000000"/>
              <w:right w:val="single" w:sz="6" w:space="0" w:color="000000"/>
            </w:tcBorders>
          </w:tcPr>
          <w:p w14:paraId="63518CD4"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начало отчетного периода</w:t>
            </w:r>
          </w:p>
        </w:tc>
        <w:tc>
          <w:tcPr>
            <w:tcW w:w="1417" w:type="dxa"/>
            <w:tcBorders>
              <w:top w:val="single" w:sz="6" w:space="0" w:color="000000"/>
              <w:left w:val="single" w:sz="6" w:space="0" w:color="000000"/>
              <w:bottom w:val="single" w:sz="6" w:space="0" w:color="000000"/>
              <w:right w:val="single" w:sz="6" w:space="0" w:color="000000"/>
            </w:tcBorders>
            <w:vAlign w:val="center"/>
          </w:tcPr>
          <w:p w14:paraId="4A9491C8"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конец отчетного периода</w:t>
            </w:r>
          </w:p>
        </w:tc>
        <w:tc>
          <w:tcPr>
            <w:tcW w:w="1489" w:type="dxa"/>
            <w:tcBorders>
              <w:top w:val="single" w:sz="6" w:space="0" w:color="000000"/>
              <w:left w:val="single" w:sz="6" w:space="0" w:color="000000"/>
              <w:bottom w:val="single" w:sz="6" w:space="0" w:color="000000"/>
              <w:right w:val="single" w:sz="6" w:space="0" w:color="000000"/>
            </w:tcBorders>
          </w:tcPr>
          <w:p w14:paraId="40A98DA8"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начало отчетного периода</w:t>
            </w:r>
          </w:p>
        </w:tc>
        <w:tc>
          <w:tcPr>
            <w:tcW w:w="1626" w:type="dxa"/>
            <w:tcBorders>
              <w:top w:val="single" w:sz="6" w:space="0" w:color="000000"/>
              <w:left w:val="single" w:sz="6" w:space="0" w:color="000000"/>
              <w:bottom w:val="single" w:sz="6" w:space="0" w:color="000000"/>
              <w:right w:val="single" w:sz="6" w:space="0" w:color="000000"/>
            </w:tcBorders>
            <w:vAlign w:val="center"/>
          </w:tcPr>
          <w:p w14:paraId="43AC445E" w14:textId="77777777" w:rsidR="00F1590E" w:rsidRDefault="000C4199">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конец отчетного периода</w:t>
            </w:r>
          </w:p>
        </w:tc>
      </w:tr>
      <w:tr w:rsidR="00F1590E" w14:paraId="4AEC3912" w14:textId="77777777">
        <w:trPr>
          <w:trHeight w:val="274"/>
          <w:jc w:val="center"/>
        </w:trPr>
        <w:tc>
          <w:tcPr>
            <w:tcW w:w="2924" w:type="dxa"/>
            <w:tcBorders>
              <w:top w:val="single" w:sz="6" w:space="0" w:color="000000"/>
              <w:left w:val="single" w:sz="6" w:space="0" w:color="000000"/>
              <w:bottom w:val="single" w:sz="6" w:space="0" w:color="000000"/>
              <w:right w:val="single" w:sz="6" w:space="0" w:color="000000"/>
            </w:tcBorders>
            <w:vAlign w:val="center"/>
          </w:tcPr>
          <w:p w14:paraId="7E1C2766"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01" w:type="dxa"/>
            <w:tcBorders>
              <w:top w:val="single" w:sz="6" w:space="0" w:color="000000"/>
              <w:left w:val="single" w:sz="6" w:space="0" w:color="000000"/>
              <w:bottom w:val="single" w:sz="6" w:space="0" w:color="000000"/>
              <w:right w:val="single" w:sz="6" w:space="0" w:color="000000"/>
            </w:tcBorders>
            <w:vAlign w:val="center"/>
          </w:tcPr>
          <w:p w14:paraId="19207F20"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17" w:type="dxa"/>
            <w:tcBorders>
              <w:top w:val="single" w:sz="6" w:space="0" w:color="000000"/>
              <w:left w:val="single" w:sz="6" w:space="0" w:color="000000"/>
              <w:bottom w:val="single" w:sz="6" w:space="0" w:color="000000"/>
              <w:right w:val="single" w:sz="6" w:space="0" w:color="000000"/>
            </w:tcBorders>
          </w:tcPr>
          <w:p w14:paraId="0EB9A6E6"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34" w:type="dxa"/>
            <w:tcBorders>
              <w:top w:val="single" w:sz="6" w:space="0" w:color="000000"/>
              <w:left w:val="single" w:sz="6" w:space="0" w:color="000000"/>
              <w:bottom w:val="single" w:sz="6" w:space="0" w:color="000000"/>
              <w:right w:val="single" w:sz="6" w:space="0" w:color="000000"/>
            </w:tcBorders>
            <w:vAlign w:val="center"/>
          </w:tcPr>
          <w:p w14:paraId="034488D8"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38" w:type="dxa"/>
            <w:tcBorders>
              <w:top w:val="single" w:sz="6" w:space="0" w:color="000000"/>
              <w:left w:val="single" w:sz="6" w:space="0" w:color="000000"/>
              <w:bottom w:val="single" w:sz="6" w:space="0" w:color="000000"/>
              <w:right w:val="single" w:sz="6" w:space="0" w:color="000000"/>
            </w:tcBorders>
            <w:vAlign w:val="center"/>
          </w:tcPr>
          <w:p w14:paraId="77427E4A"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06" w:type="dxa"/>
            <w:tcBorders>
              <w:top w:val="single" w:sz="6" w:space="0" w:color="000000"/>
              <w:left w:val="single" w:sz="6" w:space="0" w:color="000000"/>
              <w:bottom w:val="single" w:sz="6" w:space="0" w:color="000000"/>
              <w:right w:val="single" w:sz="6" w:space="0" w:color="000000"/>
            </w:tcBorders>
          </w:tcPr>
          <w:p w14:paraId="4CF3C316"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17" w:type="dxa"/>
            <w:tcBorders>
              <w:top w:val="single" w:sz="6" w:space="0" w:color="000000"/>
              <w:left w:val="single" w:sz="6" w:space="0" w:color="000000"/>
              <w:bottom w:val="single" w:sz="6" w:space="0" w:color="000000"/>
              <w:right w:val="single" w:sz="6" w:space="0" w:color="000000"/>
            </w:tcBorders>
            <w:vAlign w:val="center"/>
          </w:tcPr>
          <w:p w14:paraId="3E900A9E"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89" w:type="dxa"/>
            <w:tcBorders>
              <w:top w:val="single" w:sz="6" w:space="0" w:color="000000"/>
              <w:left w:val="single" w:sz="6" w:space="0" w:color="000000"/>
              <w:bottom w:val="single" w:sz="6" w:space="0" w:color="000000"/>
              <w:right w:val="single" w:sz="6" w:space="0" w:color="000000"/>
            </w:tcBorders>
          </w:tcPr>
          <w:p w14:paraId="36F43141"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8=2-6</w:t>
            </w:r>
          </w:p>
        </w:tc>
        <w:tc>
          <w:tcPr>
            <w:tcW w:w="1626" w:type="dxa"/>
            <w:tcBorders>
              <w:top w:val="single" w:sz="6" w:space="0" w:color="000000"/>
              <w:left w:val="single" w:sz="6" w:space="0" w:color="000000"/>
              <w:bottom w:val="single" w:sz="6" w:space="0" w:color="000000"/>
              <w:right w:val="single" w:sz="6" w:space="0" w:color="000000"/>
            </w:tcBorders>
            <w:vAlign w:val="center"/>
          </w:tcPr>
          <w:p w14:paraId="51126CFE" w14:textId="77777777" w:rsidR="00F1590E" w:rsidRDefault="000C41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9=3-7</w:t>
            </w:r>
          </w:p>
        </w:tc>
      </w:tr>
      <w:tr w:rsidR="00F1590E" w14:paraId="58047AA4" w14:textId="77777777">
        <w:trPr>
          <w:trHeight w:val="1614"/>
          <w:jc w:val="center"/>
        </w:trPr>
        <w:tc>
          <w:tcPr>
            <w:tcW w:w="2924" w:type="dxa"/>
            <w:tcBorders>
              <w:top w:val="single" w:sz="6" w:space="0" w:color="000000"/>
              <w:left w:val="single" w:sz="6" w:space="0" w:color="000000"/>
              <w:bottom w:val="single" w:sz="6" w:space="0" w:color="000000"/>
              <w:right w:val="single" w:sz="6" w:space="0" w:color="000000"/>
            </w:tcBorders>
          </w:tcPr>
          <w:p w14:paraId="6356377C"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А1. Наиболее ликвидные активы (денежные средства + краткосрочные фин. Вложения)</w:t>
            </w:r>
          </w:p>
        </w:tc>
        <w:tc>
          <w:tcPr>
            <w:tcW w:w="1501" w:type="dxa"/>
            <w:tcBorders>
              <w:top w:val="single" w:sz="6" w:space="0" w:color="000000"/>
              <w:left w:val="single" w:sz="6" w:space="0" w:color="000000"/>
              <w:bottom w:val="single" w:sz="6" w:space="0" w:color="000000"/>
              <w:right w:val="single" w:sz="6" w:space="0" w:color="000000"/>
            </w:tcBorders>
            <w:vAlign w:val="center"/>
          </w:tcPr>
          <w:p w14:paraId="7D9B88F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68 872 645</w:t>
            </w:r>
          </w:p>
        </w:tc>
        <w:tc>
          <w:tcPr>
            <w:tcW w:w="1417" w:type="dxa"/>
            <w:tcBorders>
              <w:top w:val="single" w:sz="6" w:space="0" w:color="000000"/>
              <w:left w:val="single" w:sz="6" w:space="0" w:color="000000"/>
              <w:bottom w:val="single" w:sz="6" w:space="0" w:color="000000"/>
              <w:right w:val="single" w:sz="6" w:space="0" w:color="000000"/>
            </w:tcBorders>
            <w:vAlign w:val="center"/>
          </w:tcPr>
          <w:p w14:paraId="52E2E57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46 245 592</w:t>
            </w:r>
          </w:p>
        </w:tc>
        <w:tc>
          <w:tcPr>
            <w:tcW w:w="1134" w:type="dxa"/>
            <w:tcBorders>
              <w:top w:val="single" w:sz="6" w:space="0" w:color="000000"/>
              <w:left w:val="single" w:sz="6" w:space="0" w:color="000000"/>
              <w:bottom w:val="single" w:sz="6" w:space="0" w:color="000000"/>
              <w:right w:val="single" w:sz="6" w:space="0" w:color="000000"/>
            </w:tcBorders>
            <w:vAlign w:val="center"/>
          </w:tcPr>
          <w:p w14:paraId="6589EFCD" w14:textId="77777777" w:rsidR="00F1590E" w:rsidRDefault="00000000">
            <w:pPr>
              <w:widowControl w:val="0"/>
              <w:spacing w:after="0" w:line="240" w:lineRule="auto"/>
              <w:jc w:val="center"/>
              <w:rPr>
                <w:rFonts w:ascii="Times New Roman" w:eastAsia="Times New Roman" w:hAnsi="Times New Roman" w:cs="Times New Roman"/>
                <w:sz w:val="24"/>
                <w:szCs w:val="24"/>
              </w:rPr>
            </w:pPr>
            <w:sdt>
              <w:sdtPr>
                <w:tag w:val="goog_rdk_0"/>
                <w:id w:val="-1305088747"/>
              </w:sdtPr>
              <w:sdtContent>
                <w:r w:rsidR="000C4199">
                  <w:rPr>
                    <w:rFonts w:ascii="Gungsuh" w:eastAsia="Gungsuh" w:hAnsi="Gungsuh" w:cs="Gungsuh"/>
                    <w:b/>
                    <w:sz w:val="24"/>
                    <w:szCs w:val="24"/>
                  </w:rPr>
                  <w:t>≥</w:t>
                </w:r>
              </w:sdtContent>
            </w:sdt>
          </w:p>
        </w:tc>
        <w:tc>
          <w:tcPr>
            <w:tcW w:w="2138" w:type="dxa"/>
            <w:tcBorders>
              <w:top w:val="single" w:sz="6" w:space="0" w:color="000000"/>
              <w:left w:val="single" w:sz="6" w:space="0" w:color="000000"/>
              <w:bottom w:val="single" w:sz="6" w:space="0" w:color="000000"/>
              <w:right w:val="single" w:sz="6" w:space="0" w:color="000000"/>
            </w:tcBorders>
          </w:tcPr>
          <w:p w14:paraId="77C1890D"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П1. Наиболее срочные пассивы (привлеченные средства) (текущ. Кред. Задолж.)</w:t>
            </w:r>
          </w:p>
        </w:tc>
        <w:tc>
          <w:tcPr>
            <w:tcW w:w="1406" w:type="dxa"/>
            <w:tcBorders>
              <w:top w:val="single" w:sz="6" w:space="0" w:color="000000"/>
              <w:left w:val="single" w:sz="6" w:space="0" w:color="000000"/>
              <w:bottom w:val="single" w:sz="6" w:space="0" w:color="000000"/>
              <w:right w:val="single" w:sz="6" w:space="0" w:color="000000"/>
            </w:tcBorders>
            <w:vAlign w:val="center"/>
          </w:tcPr>
          <w:p w14:paraId="56B3A20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21 322 055</w:t>
            </w:r>
          </w:p>
        </w:tc>
        <w:tc>
          <w:tcPr>
            <w:tcW w:w="1417" w:type="dxa"/>
            <w:tcBorders>
              <w:top w:val="single" w:sz="6" w:space="0" w:color="000000"/>
              <w:left w:val="single" w:sz="6" w:space="0" w:color="000000"/>
              <w:bottom w:val="single" w:sz="6" w:space="0" w:color="000000"/>
              <w:right w:val="single" w:sz="6" w:space="0" w:color="000000"/>
            </w:tcBorders>
            <w:vAlign w:val="center"/>
          </w:tcPr>
          <w:p w14:paraId="445C769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26 461 756</w:t>
            </w:r>
          </w:p>
        </w:tc>
        <w:tc>
          <w:tcPr>
            <w:tcW w:w="1489" w:type="dxa"/>
            <w:tcBorders>
              <w:top w:val="single" w:sz="6" w:space="0" w:color="000000"/>
              <w:left w:val="single" w:sz="6" w:space="0" w:color="000000"/>
              <w:bottom w:val="single" w:sz="6" w:space="0" w:color="000000"/>
              <w:right w:val="single" w:sz="6" w:space="0" w:color="000000"/>
            </w:tcBorders>
            <w:vAlign w:val="center"/>
          </w:tcPr>
          <w:p w14:paraId="2A3F06C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47 550 590</w:t>
            </w:r>
          </w:p>
        </w:tc>
        <w:tc>
          <w:tcPr>
            <w:tcW w:w="1626" w:type="dxa"/>
            <w:tcBorders>
              <w:top w:val="single" w:sz="6" w:space="0" w:color="000000"/>
              <w:left w:val="single" w:sz="6" w:space="0" w:color="000000"/>
              <w:bottom w:val="single" w:sz="6" w:space="0" w:color="000000"/>
              <w:right w:val="single" w:sz="6" w:space="0" w:color="000000"/>
            </w:tcBorders>
            <w:vAlign w:val="center"/>
          </w:tcPr>
          <w:p w14:paraId="4EF2E9E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19 783 836</w:t>
            </w:r>
          </w:p>
        </w:tc>
      </w:tr>
      <w:tr w:rsidR="00F1590E" w14:paraId="54C3750A" w14:textId="77777777">
        <w:trPr>
          <w:trHeight w:val="1614"/>
          <w:jc w:val="center"/>
        </w:trPr>
        <w:tc>
          <w:tcPr>
            <w:tcW w:w="2924" w:type="dxa"/>
            <w:tcBorders>
              <w:top w:val="single" w:sz="6" w:space="0" w:color="000000"/>
              <w:left w:val="single" w:sz="6" w:space="0" w:color="000000"/>
              <w:bottom w:val="single" w:sz="6" w:space="0" w:color="000000"/>
              <w:right w:val="single" w:sz="6" w:space="0" w:color="000000"/>
            </w:tcBorders>
          </w:tcPr>
          <w:p w14:paraId="3EE1CE1A"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А2. Быстрореализуемые активы (дебиторская задолженность и прочие активы)</w:t>
            </w:r>
          </w:p>
        </w:tc>
        <w:tc>
          <w:tcPr>
            <w:tcW w:w="1501" w:type="dxa"/>
            <w:tcBorders>
              <w:top w:val="single" w:sz="6" w:space="0" w:color="000000"/>
              <w:left w:val="single" w:sz="6" w:space="0" w:color="000000"/>
              <w:bottom w:val="single" w:sz="6" w:space="0" w:color="000000"/>
              <w:right w:val="single" w:sz="6" w:space="0" w:color="000000"/>
            </w:tcBorders>
            <w:vAlign w:val="center"/>
          </w:tcPr>
          <w:p w14:paraId="77ACA43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40 919 740</w:t>
            </w:r>
          </w:p>
        </w:tc>
        <w:tc>
          <w:tcPr>
            <w:tcW w:w="1417" w:type="dxa"/>
            <w:tcBorders>
              <w:top w:val="single" w:sz="6" w:space="0" w:color="000000"/>
              <w:left w:val="single" w:sz="6" w:space="0" w:color="000000"/>
              <w:bottom w:val="single" w:sz="6" w:space="0" w:color="000000"/>
              <w:right w:val="single" w:sz="6" w:space="0" w:color="000000"/>
            </w:tcBorders>
            <w:vAlign w:val="center"/>
          </w:tcPr>
          <w:p w14:paraId="3523E97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51 870 257</w:t>
            </w:r>
          </w:p>
        </w:tc>
        <w:tc>
          <w:tcPr>
            <w:tcW w:w="1134" w:type="dxa"/>
            <w:tcBorders>
              <w:top w:val="single" w:sz="6" w:space="0" w:color="000000"/>
              <w:left w:val="single" w:sz="6" w:space="0" w:color="000000"/>
              <w:bottom w:val="single" w:sz="6" w:space="0" w:color="000000"/>
              <w:right w:val="single" w:sz="6" w:space="0" w:color="000000"/>
            </w:tcBorders>
            <w:vAlign w:val="center"/>
          </w:tcPr>
          <w:p w14:paraId="3DBFF882" w14:textId="77777777" w:rsidR="00F1590E" w:rsidRDefault="00000000">
            <w:pPr>
              <w:widowControl w:val="0"/>
              <w:spacing w:after="0" w:line="240" w:lineRule="auto"/>
              <w:jc w:val="center"/>
              <w:rPr>
                <w:rFonts w:ascii="Times New Roman" w:eastAsia="Times New Roman" w:hAnsi="Times New Roman" w:cs="Times New Roman"/>
                <w:sz w:val="24"/>
                <w:szCs w:val="24"/>
              </w:rPr>
            </w:pPr>
            <w:sdt>
              <w:sdtPr>
                <w:tag w:val="goog_rdk_1"/>
                <w:id w:val="-1245871911"/>
              </w:sdtPr>
              <w:sdtContent>
                <w:r w:rsidR="000C4199">
                  <w:rPr>
                    <w:rFonts w:ascii="Gungsuh" w:eastAsia="Gungsuh" w:hAnsi="Gungsuh" w:cs="Gungsuh"/>
                    <w:b/>
                    <w:sz w:val="24"/>
                    <w:szCs w:val="24"/>
                  </w:rPr>
                  <w:t>≥</w:t>
                </w:r>
              </w:sdtContent>
            </w:sdt>
          </w:p>
        </w:tc>
        <w:tc>
          <w:tcPr>
            <w:tcW w:w="2138" w:type="dxa"/>
            <w:tcBorders>
              <w:top w:val="single" w:sz="6" w:space="0" w:color="000000"/>
              <w:left w:val="single" w:sz="6" w:space="0" w:color="000000"/>
              <w:bottom w:val="single" w:sz="6" w:space="0" w:color="000000"/>
              <w:right w:val="single" w:sz="6" w:space="0" w:color="000000"/>
            </w:tcBorders>
          </w:tcPr>
          <w:p w14:paraId="08AD6640"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П2. Краткосрочные пассивы (краткосроч. Кредиты и заемные средства)</w:t>
            </w:r>
          </w:p>
        </w:tc>
        <w:tc>
          <w:tcPr>
            <w:tcW w:w="1406" w:type="dxa"/>
            <w:tcBorders>
              <w:top w:val="single" w:sz="6" w:space="0" w:color="000000"/>
              <w:left w:val="single" w:sz="6" w:space="0" w:color="000000"/>
              <w:bottom w:val="single" w:sz="6" w:space="0" w:color="000000"/>
              <w:right w:val="single" w:sz="6" w:space="0" w:color="000000"/>
            </w:tcBorders>
            <w:vAlign w:val="center"/>
          </w:tcPr>
          <w:p w14:paraId="7F38629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37 149 555</w:t>
            </w:r>
          </w:p>
        </w:tc>
        <w:tc>
          <w:tcPr>
            <w:tcW w:w="1417" w:type="dxa"/>
            <w:tcBorders>
              <w:top w:val="single" w:sz="6" w:space="0" w:color="000000"/>
              <w:left w:val="single" w:sz="6" w:space="0" w:color="000000"/>
              <w:bottom w:val="single" w:sz="6" w:space="0" w:color="000000"/>
              <w:right w:val="single" w:sz="6" w:space="0" w:color="000000"/>
            </w:tcBorders>
            <w:vAlign w:val="center"/>
          </w:tcPr>
          <w:p w14:paraId="312C182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75 824 324</w:t>
            </w:r>
          </w:p>
        </w:tc>
        <w:tc>
          <w:tcPr>
            <w:tcW w:w="1489" w:type="dxa"/>
            <w:tcBorders>
              <w:top w:val="single" w:sz="6" w:space="0" w:color="000000"/>
              <w:left w:val="single" w:sz="6" w:space="0" w:color="000000"/>
              <w:bottom w:val="single" w:sz="6" w:space="0" w:color="000000"/>
              <w:right w:val="single" w:sz="6" w:space="0" w:color="000000"/>
            </w:tcBorders>
            <w:vAlign w:val="center"/>
          </w:tcPr>
          <w:p w14:paraId="03A822A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3 770 185</w:t>
            </w:r>
          </w:p>
        </w:tc>
        <w:tc>
          <w:tcPr>
            <w:tcW w:w="1626" w:type="dxa"/>
            <w:tcBorders>
              <w:top w:val="single" w:sz="6" w:space="0" w:color="000000"/>
              <w:left w:val="single" w:sz="6" w:space="0" w:color="000000"/>
              <w:bottom w:val="single" w:sz="6" w:space="0" w:color="000000"/>
              <w:right w:val="single" w:sz="6" w:space="0" w:color="000000"/>
            </w:tcBorders>
            <w:vAlign w:val="center"/>
          </w:tcPr>
          <w:p w14:paraId="644561B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23 954 067</w:t>
            </w:r>
          </w:p>
        </w:tc>
      </w:tr>
      <w:tr w:rsidR="00F1590E" w14:paraId="56D1B25C" w14:textId="77777777">
        <w:trPr>
          <w:trHeight w:val="807"/>
          <w:jc w:val="center"/>
        </w:trPr>
        <w:tc>
          <w:tcPr>
            <w:tcW w:w="2924" w:type="dxa"/>
            <w:tcBorders>
              <w:top w:val="single" w:sz="6" w:space="0" w:color="000000"/>
              <w:left w:val="single" w:sz="6" w:space="0" w:color="000000"/>
              <w:bottom w:val="single" w:sz="6" w:space="0" w:color="000000"/>
              <w:right w:val="single" w:sz="6" w:space="0" w:color="000000"/>
            </w:tcBorders>
          </w:tcPr>
          <w:p w14:paraId="696DD141"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А3. Медленно реализуемые активы (запасы + долгосрочные финансовые вложения)</w:t>
            </w:r>
          </w:p>
        </w:tc>
        <w:tc>
          <w:tcPr>
            <w:tcW w:w="1501" w:type="dxa"/>
            <w:tcBorders>
              <w:top w:val="single" w:sz="6" w:space="0" w:color="000000"/>
              <w:left w:val="single" w:sz="6" w:space="0" w:color="000000"/>
              <w:bottom w:val="single" w:sz="6" w:space="0" w:color="000000"/>
              <w:right w:val="single" w:sz="6" w:space="0" w:color="000000"/>
            </w:tcBorders>
            <w:vAlign w:val="center"/>
          </w:tcPr>
          <w:p w14:paraId="3501958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105 245 759</w:t>
            </w:r>
          </w:p>
        </w:tc>
        <w:tc>
          <w:tcPr>
            <w:tcW w:w="1417" w:type="dxa"/>
            <w:tcBorders>
              <w:top w:val="single" w:sz="6" w:space="0" w:color="000000"/>
              <w:left w:val="single" w:sz="6" w:space="0" w:color="000000"/>
              <w:bottom w:val="single" w:sz="6" w:space="0" w:color="000000"/>
              <w:right w:val="single" w:sz="6" w:space="0" w:color="000000"/>
            </w:tcBorders>
            <w:vAlign w:val="center"/>
          </w:tcPr>
          <w:p w14:paraId="18D28A5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182 681 495</w:t>
            </w:r>
          </w:p>
        </w:tc>
        <w:tc>
          <w:tcPr>
            <w:tcW w:w="1134" w:type="dxa"/>
            <w:tcBorders>
              <w:top w:val="single" w:sz="6" w:space="0" w:color="000000"/>
              <w:left w:val="single" w:sz="6" w:space="0" w:color="000000"/>
              <w:bottom w:val="single" w:sz="6" w:space="0" w:color="000000"/>
              <w:right w:val="single" w:sz="6" w:space="0" w:color="000000"/>
            </w:tcBorders>
            <w:vAlign w:val="center"/>
          </w:tcPr>
          <w:p w14:paraId="60117F06" w14:textId="77777777" w:rsidR="00F1590E" w:rsidRDefault="00000000">
            <w:pPr>
              <w:widowControl w:val="0"/>
              <w:spacing w:after="0" w:line="240" w:lineRule="auto"/>
              <w:jc w:val="center"/>
              <w:rPr>
                <w:rFonts w:ascii="Times New Roman" w:eastAsia="Times New Roman" w:hAnsi="Times New Roman" w:cs="Times New Roman"/>
                <w:sz w:val="24"/>
                <w:szCs w:val="24"/>
              </w:rPr>
            </w:pPr>
            <w:sdt>
              <w:sdtPr>
                <w:tag w:val="goog_rdk_2"/>
                <w:id w:val="1782831578"/>
              </w:sdtPr>
              <w:sdtContent>
                <w:r w:rsidR="000C4199">
                  <w:rPr>
                    <w:rFonts w:ascii="Gungsuh" w:eastAsia="Gungsuh" w:hAnsi="Gungsuh" w:cs="Gungsuh"/>
                    <w:b/>
                    <w:sz w:val="24"/>
                    <w:szCs w:val="24"/>
                  </w:rPr>
                  <w:t>≥</w:t>
                </w:r>
              </w:sdtContent>
            </w:sdt>
          </w:p>
        </w:tc>
        <w:tc>
          <w:tcPr>
            <w:tcW w:w="2138" w:type="dxa"/>
            <w:tcBorders>
              <w:top w:val="single" w:sz="6" w:space="0" w:color="000000"/>
              <w:left w:val="single" w:sz="6" w:space="0" w:color="000000"/>
              <w:bottom w:val="single" w:sz="6" w:space="0" w:color="000000"/>
              <w:right w:val="single" w:sz="6" w:space="0" w:color="000000"/>
            </w:tcBorders>
          </w:tcPr>
          <w:p w14:paraId="1A42E019"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П3. Долгосрочные пассивы (долгосрочные кредиты и заемные средства)</w:t>
            </w:r>
          </w:p>
        </w:tc>
        <w:tc>
          <w:tcPr>
            <w:tcW w:w="1406" w:type="dxa"/>
            <w:tcBorders>
              <w:top w:val="single" w:sz="6" w:space="0" w:color="000000"/>
              <w:left w:val="single" w:sz="6" w:space="0" w:color="000000"/>
              <w:bottom w:val="single" w:sz="6" w:space="0" w:color="000000"/>
              <w:right w:val="single" w:sz="6" w:space="0" w:color="000000"/>
            </w:tcBorders>
            <w:vAlign w:val="center"/>
          </w:tcPr>
          <w:p w14:paraId="129BED8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62 439 262</w:t>
            </w:r>
          </w:p>
        </w:tc>
        <w:tc>
          <w:tcPr>
            <w:tcW w:w="1417" w:type="dxa"/>
            <w:tcBorders>
              <w:top w:val="single" w:sz="6" w:space="0" w:color="000000"/>
              <w:left w:val="single" w:sz="6" w:space="0" w:color="000000"/>
              <w:bottom w:val="single" w:sz="6" w:space="0" w:color="000000"/>
              <w:right w:val="single" w:sz="6" w:space="0" w:color="000000"/>
            </w:tcBorders>
            <w:vAlign w:val="center"/>
          </w:tcPr>
          <w:p w14:paraId="02F45B11"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97 597 479</w:t>
            </w:r>
          </w:p>
        </w:tc>
        <w:tc>
          <w:tcPr>
            <w:tcW w:w="1489" w:type="dxa"/>
            <w:tcBorders>
              <w:top w:val="single" w:sz="6" w:space="0" w:color="000000"/>
              <w:left w:val="single" w:sz="6" w:space="0" w:color="000000"/>
              <w:bottom w:val="single" w:sz="6" w:space="0" w:color="000000"/>
              <w:right w:val="single" w:sz="6" w:space="0" w:color="000000"/>
            </w:tcBorders>
            <w:vAlign w:val="center"/>
          </w:tcPr>
          <w:p w14:paraId="73565AC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42 806 497</w:t>
            </w:r>
          </w:p>
        </w:tc>
        <w:tc>
          <w:tcPr>
            <w:tcW w:w="1626" w:type="dxa"/>
            <w:tcBorders>
              <w:top w:val="single" w:sz="6" w:space="0" w:color="000000"/>
              <w:left w:val="single" w:sz="6" w:space="0" w:color="000000"/>
              <w:bottom w:val="single" w:sz="6" w:space="0" w:color="000000"/>
              <w:right w:val="single" w:sz="6" w:space="0" w:color="000000"/>
            </w:tcBorders>
            <w:vAlign w:val="center"/>
          </w:tcPr>
          <w:p w14:paraId="52E5D96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85 084 016</w:t>
            </w:r>
          </w:p>
        </w:tc>
      </w:tr>
      <w:tr w:rsidR="00F1590E" w14:paraId="0FE5B111" w14:textId="77777777">
        <w:trPr>
          <w:trHeight w:val="1081"/>
          <w:jc w:val="center"/>
        </w:trPr>
        <w:tc>
          <w:tcPr>
            <w:tcW w:w="2924" w:type="dxa"/>
            <w:tcBorders>
              <w:top w:val="single" w:sz="6" w:space="0" w:color="000000"/>
              <w:left w:val="single" w:sz="6" w:space="0" w:color="000000"/>
              <w:bottom w:val="single" w:sz="6" w:space="0" w:color="000000"/>
              <w:right w:val="single" w:sz="6" w:space="0" w:color="000000"/>
            </w:tcBorders>
          </w:tcPr>
          <w:p w14:paraId="45B455E1"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А4. Труднореализуемые активы (внеоборотные активы – долгосрочные фин.вложения)</w:t>
            </w:r>
          </w:p>
        </w:tc>
        <w:tc>
          <w:tcPr>
            <w:tcW w:w="1501" w:type="dxa"/>
            <w:tcBorders>
              <w:top w:val="single" w:sz="6" w:space="0" w:color="000000"/>
              <w:left w:val="single" w:sz="6" w:space="0" w:color="000000"/>
              <w:bottom w:val="single" w:sz="6" w:space="0" w:color="000000"/>
              <w:right w:val="single" w:sz="6" w:space="0" w:color="000000"/>
            </w:tcBorders>
            <w:vAlign w:val="center"/>
          </w:tcPr>
          <w:p w14:paraId="324F662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74 214 298</w:t>
            </w:r>
          </w:p>
        </w:tc>
        <w:tc>
          <w:tcPr>
            <w:tcW w:w="1417" w:type="dxa"/>
            <w:tcBorders>
              <w:top w:val="single" w:sz="6" w:space="0" w:color="000000"/>
              <w:left w:val="single" w:sz="6" w:space="0" w:color="000000"/>
              <w:bottom w:val="single" w:sz="6" w:space="0" w:color="000000"/>
              <w:right w:val="single" w:sz="6" w:space="0" w:color="000000"/>
            </w:tcBorders>
            <w:vAlign w:val="center"/>
          </w:tcPr>
          <w:p w14:paraId="2B0E3EE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83 796 772</w:t>
            </w:r>
          </w:p>
        </w:tc>
        <w:tc>
          <w:tcPr>
            <w:tcW w:w="1134" w:type="dxa"/>
            <w:tcBorders>
              <w:top w:val="single" w:sz="6" w:space="0" w:color="000000"/>
              <w:left w:val="single" w:sz="6" w:space="0" w:color="000000"/>
              <w:bottom w:val="single" w:sz="6" w:space="0" w:color="000000"/>
              <w:right w:val="single" w:sz="6" w:space="0" w:color="000000"/>
            </w:tcBorders>
            <w:vAlign w:val="center"/>
          </w:tcPr>
          <w:p w14:paraId="5C901D3A" w14:textId="77777777" w:rsidR="00F1590E" w:rsidRDefault="00000000">
            <w:pPr>
              <w:widowControl w:val="0"/>
              <w:spacing w:after="0" w:line="240" w:lineRule="auto"/>
              <w:jc w:val="center"/>
              <w:rPr>
                <w:rFonts w:ascii="Times New Roman" w:eastAsia="Times New Roman" w:hAnsi="Times New Roman" w:cs="Times New Roman"/>
                <w:sz w:val="24"/>
                <w:szCs w:val="24"/>
              </w:rPr>
            </w:pPr>
            <w:sdt>
              <w:sdtPr>
                <w:tag w:val="goog_rdk_3"/>
                <w:id w:val="-101883700"/>
              </w:sdtPr>
              <w:sdtContent>
                <w:r w:rsidR="000C4199">
                  <w:rPr>
                    <w:rFonts w:ascii="Gungsuh" w:eastAsia="Gungsuh" w:hAnsi="Gungsuh" w:cs="Gungsuh"/>
                    <w:b/>
                    <w:sz w:val="24"/>
                    <w:szCs w:val="24"/>
                  </w:rPr>
                  <w:t>≤</w:t>
                </w:r>
              </w:sdtContent>
            </w:sdt>
          </w:p>
        </w:tc>
        <w:tc>
          <w:tcPr>
            <w:tcW w:w="2138" w:type="dxa"/>
            <w:tcBorders>
              <w:top w:val="single" w:sz="6" w:space="0" w:color="000000"/>
              <w:left w:val="single" w:sz="6" w:space="0" w:color="000000"/>
              <w:bottom w:val="single" w:sz="6" w:space="0" w:color="000000"/>
              <w:right w:val="single" w:sz="6" w:space="0" w:color="000000"/>
            </w:tcBorders>
          </w:tcPr>
          <w:p w14:paraId="1FBE16D5"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П4. Постоянные пассивы (собственный капитал)</w:t>
            </w:r>
          </w:p>
        </w:tc>
        <w:tc>
          <w:tcPr>
            <w:tcW w:w="1406" w:type="dxa"/>
            <w:tcBorders>
              <w:top w:val="single" w:sz="6" w:space="0" w:color="000000"/>
              <w:left w:val="single" w:sz="6" w:space="0" w:color="000000"/>
              <w:bottom w:val="single" w:sz="6" w:space="0" w:color="000000"/>
              <w:right w:val="single" w:sz="6" w:space="0" w:color="000000"/>
            </w:tcBorders>
            <w:vAlign w:val="center"/>
          </w:tcPr>
          <w:p w14:paraId="5A7EBE4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168 341 570</w:t>
            </w:r>
          </w:p>
        </w:tc>
        <w:tc>
          <w:tcPr>
            <w:tcW w:w="1417" w:type="dxa"/>
            <w:tcBorders>
              <w:top w:val="single" w:sz="6" w:space="0" w:color="000000"/>
              <w:left w:val="single" w:sz="6" w:space="0" w:color="000000"/>
              <w:bottom w:val="single" w:sz="6" w:space="0" w:color="000000"/>
              <w:right w:val="single" w:sz="6" w:space="0" w:color="000000"/>
            </w:tcBorders>
            <w:vAlign w:val="center"/>
          </w:tcPr>
          <w:p w14:paraId="4B56558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164 710 557</w:t>
            </w:r>
          </w:p>
        </w:tc>
        <w:tc>
          <w:tcPr>
            <w:tcW w:w="1489" w:type="dxa"/>
            <w:tcBorders>
              <w:top w:val="single" w:sz="6" w:space="0" w:color="000000"/>
              <w:left w:val="single" w:sz="6" w:space="0" w:color="000000"/>
              <w:bottom w:val="single" w:sz="6" w:space="0" w:color="000000"/>
              <w:right w:val="single" w:sz="6" w:space="0" w:color="000000"/>
            </w:tcBorders>
            <w:vAlign w:val="center"/>
          </w:tcPr>
          <w:p w14:paraId="4A1CDF0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94 127 272</w:t>
            </w:r>
          </w:p>
        </w:tc>
        <w:tc>
          <w:tcPr>
            <w:tcW w:w="1626" w:type="dxa"/>
            <w:tcBorders>
              <w:top w:val="single" w:sz="6" w:space="0" w:color="000000"/>
              <w:left w:val="single" w:sz="6" w:space="0" w:color="000000"/>
              <w:bottom w:val="single" w:sz="6" w:space="0" w:color="000000"/>
              <w:right w:val="single" w:sz="6" w:space="0" w:color="000000"/>
            </w:tcBorders>
            <w:vAlign w:val="center"/>
          </w:tcPr>
          <w:p w14:paraId="50A61E5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80 913 785</w:t>
            </w:r>
          </w:p>
        </w:tc>
      </w:tr>
      <w:tr w:rsidR="00F1590E" w14:paraId="57B3C889" w14:textId="77777777">
        <w:trPr>
          <w:trHeight w:val="1081"/>
          <w:jc w:val="center"/>
        </w:trPr>
        <w:tc>
          <w:tcPr>
            <w:tcW w:w="2924" w:type="dxa"/>
            <w:tcBorders>
              <w:top w:val="single" w:sz="6" w:space="0" w:color="000000"/>
              <w:left w:val="single" w:sz="6" w:space="0" w:color="000000"/>
              <w:bottom w:val="single" w:sz="6" w:space="0" w:color="000000"/>
              <w:right w:val="single" w:sz="6" w:space="0" w:color="000000"/>
            </w:tcBorders>
          </w:tcPr>
          <w:p w14:paraId="79C69005"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БАЛАНС</w:t>
            </w:r>
          </w:p>
        </w:tc>
        <w:tc>
          <w:tcPr>
            <w:tcW w:w="1501" w:type="dxa"/>
            <w:tcBorders>
              <w:top w:val="single" w:sz="6" w:space="0" w:color="000000"/>
              <w:left w:val="single" w:sz="6" w:space="0" w:color="000000"/>
              <w:bottom w:val="single" w:sz="6" w:space="0" w:color="000000"/>
              <w:right w:val="single" w:sz="6" w:space="0" w:color="000000"/>
            </w:tcBorders>
            <w:vAlign w:val="center"/>
          </w:tcPr>
          <w:p w14:paraId="51900E85"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289 252 442</w:t>
            </w:r>
          </w:p>
        </w:tc>
        <w:tc>
          <w:tcPr>
            <w:tcW w:w="1417" w:type="dxa"/>
            <w:tcBorders>
              <w:top w:val="single" w:sz="6" w:space="0" w:color="000000"/>
              <w:left w:val="single" w:sz="6" w:space="0" w:color="000000"/>
              <w:bottom w:val="single" w:sz="6" w:space="0" w:color="000000"/>
              <w:right w:val="single" w:sz="6" w:space="0" w:color="000000"/>
            </w:tcBorders>
            <w:vAlign w:val="center"/>
          </w:tcPr>
          <w:p w14:paraId="1E89E42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364 594 116</w:t>
            </w:r>
          </w:p>
        </w:tc>
        <w:tc>
          <w:tcPr>
            <w:tcW w:w="1134" w:type="dxa"/>
            <w:tcBorders>
              <w:top w:val="single" w:sz="6" w:space="0" w:color="000000"/>
              <w:left w:val="single" w:sz="6" w:space="0" w:color="000000"/>
              <w:bottom w:val="single" w:sz="6" w:space="0" w:color="000000"/>
              <w:right w:val="single" w:sz="6" w:space="0" w:color="000000"/>
            </w:tcBorders>
            <w:vAlign w:val="center"/>
          </w:tcPr>
          <w:p w14:paraId="2B026BDC" w14:textId="77777777" w:rsidR="00F1590E" w:rsidRDefault="00F1590E">
            <w:pPr>
              <w:widowControl w:val="0"/>
              <w:spacing w:after="0" w:line="240" w:lineRule="auto"/>
              <w:jc w:val="center"/>
              <w:rPr>
                <w:rFonts w:ascii="Times New Roman" w:eastAsia="Times New Roman" w:hAnsi="Times New Roman" w:cs="Times New Roman"/>
                <w:b/>
                <w:sz w:val="24"/>
                <w:szCs w:val="24"/>
              </w:rPr>
            </w:pPr>
          </w:p>
        </w:tc>
        <w:tc>
          <w:tcPr>
            <w:tcW w:w="2138" w:type="dxa"/>
            <w:tcBorders>
              <w:top w:val="single" w:sz="6" w:space="0" w:color="000000"/>
              <w:left w:val="single" w:sz="6" w:space="0" w:color="000000"/>
              <w:bottom w:val="single" w:sz="6" w:space="0" w:color="000000"/>
              <w:right w:val="single" w:sz="6" w:space="0" w:color="000000"/>
            </w:tcBorders>
          </w:tcPr>
          <w:p w14:paraId="16F09989" w14:textId="77777777" w:rsidR="00F1590E" w:rsidRDefault="000C4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БАЛАНС</w:t>
            </w:r>
          </w:p>
        </w:tc>
        <w:tc>
          <w:tcPr>
            <w:tcW w:w="1406" w:type="dxa"/>
            <w:tcBorders>
              <w:top w:val="single" w:sz="6" w:space="0" w:color="000000"/>
              <w:left w:val="single" w:sz="6" w:space="0" w:color="000000"/>
              <w:bottom w:val="single" w:sz="6" w:space="0" w:color="000000"/>
              <w:right w:val="single" w:sz="6" w:space="0" w:color="000000"/>
            </w:tcBorders>
            <w:vAlign w:val="center"/>
          </w:tcPr>
          <w:p w14:paraId="273EE29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289 252 442</w:t>
            </w:r>
          </w:p>
        </w:tc>
        <w:tc>
          <w:tcPr>
            <w:tcW w:w="1417" w:type="dxa"/>
            <w:tcBorders>
              <w:top w:val="single" w:sz="6" w:space="0" w:color="000000"/>
              <w:left w:val="single" w:sz="6" w:space="0" w:color="000000"/>
              <w:bottom w:val="single" w:sz="6" w:space="0" w:color="000000"/>
              <w:right w:val="single" w:sz="6" w:space="0" w:color="000000"/>
            </w:tcBorders>
            <w:vAlign w:val="center"/>
          </w:tcPr>
          <w:p w14:paraId="328812E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364 594 116</w:t>
            </w:r>
          </w:p>
        </w:tc>
        <w:tc>
          <w:tcPr>
            <w:tcW w:w="1489" w:type="dxa"/>
            <w:tcBorders>
              <w:top w:val="single" w:sz="6" w:space="0" w:color="000000"/>
              <w:left w:val="single" w:sz="6" w:space="0" w:color="000000"/>
              <w:bottom w:val="single" w:sz="6" w:space="0" w:color="000000"/>
              <w:right w:val="single" w:sz="6" w:space="0" w:color="000000"/>
            </w:tcBorders>
            <w:vAlign w:val="center"/>
          </w:tcPr>
          <w:p w14:paraId="2948E88E" w14:textId="77777777" w:rsidR="00F1590E" w:rsidRDefault="00F1590E">
            <w:pPr>
              <w:jc w:val="center"/>
              <w:rPr>
                <w:rFonts w:ascii="Times New Roman" w:eastAsia="Times New Roman" w:hAnsi="Times New Roman" w:cs="Times New Roman"/>
                <w:color w:val="000000"/>
                <w:sz w:val="24"/>
                <w:szCs w:val="24"/>
              </w:rPr>
            </w:pPr>
          </w:p>
        </w:tc>
        <w:tc>
          <w:tcPr>
            <w:tcW w:w="1626" w:type="dxa"/>
            <w:tcBorders>
              <w:top w:val="single" w:sz="6" w:space="0" w:color="000000"/>
              <w:left w:val="single" w:sz="6" w:space="0" w:color="000000"/>
              <w:bottom w:val="single" w:sz="6" w:space="0" w:color="000000"/>
              <w:right w:val="single" w:sz="6" w:space="0" w:color="000000"/>
            </w:tcBorders>
            <w:vAlign w:val="center"/>
          </w:tcPr>
          <w:p w14:paraId="6D0E4682" w14:textId="77777777" w:rsidR="00F1590E" w:rsidRDefault="00F1590E">
            <w:pPr>
              <w:jc w:val="center"/>
              <w:rPr>
                <w:rFonts w:ascii="Times New Roman" w:eastAsia="Times New Roman" w:hAnsi="Times New Roman" w:cs="Times New Roman"/>
                <w:color w:val="000000"/>
                <w:sz w:val="24"/>
                <w:szCs w:val="24"/>
              </w:rPr>
            </w:pPr>
          </w:p>
        </w:tc>
      </w:tr>
    </w:tbl>
    <w:p w14:paraId="27210B69" w14:textId="77777777" w:rsidR="00F1590E" w:rsidRDefault="00F1590E">
      <w:pPr>
        <w:pStyle w:val="1"/>
        <w:widowControl w:val="0"/>
        <w:spacing w:before="0" w:after="0" w:line="360" w:lineRule="auto"/>
        <w:ind w:firstLine="708"/>
        <w:jc w:val="both"/>
        <w:rPr>
          <w:rFonts w:ascii="Times New Roman" w:eastAsia="Times New Roman" w:hAnsi="Times New Roman" w:cs="Times New Roman"/>
          <w:b w:val="0"/>
          <w:sz w:val="28"/>
          <w:szCs w:val="28"/>
        </w:rPr>
      </w:pPr>
    </w:p>
    <w:p w14:paraId="39BF743E"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Вывод:</w:t>
      </w:r>
    </w:p>
    <w:p w14:paraId="00DB31BD"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На начало отчетного периода (2023 год):</w:t>
      </w:r>
    </w:p>
    <w:p w14:paraId="740FD08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Баланс соответствует критериям абсолютной ликвидности.</w:t>
      </w:r>
    </w:p>
    <w:p w14:paraId="1DBF1BEB"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А1 (наиболее ликвидные активы) = 68 872 645 тыс. руб.</w:t>
      </w:r>
    </w:p>
    <w:p w14:paraId="479EBBCB"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П1 (наиболее срочные обязательства) = 21 322 055 тыс. руб.</w:t>
      </w:r>
    </w:p>
    <w:p w14:paraId="2F974825"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4"/>
          <w:id w:val="-772393572"/>
        </w:sdtPr>
        <w:sdtContent>
          <w:r w:rsidR="000C4199" w:rsidRPr="00EE7B14">
            <w:rPr>
              <w:rFonts w:ascii="Times New Roman" w:eastAsia="Times New Roman" w:hAnsi="Times New Roman" w:cs="Times New Roman"/>
              <w:b w:val="0"/>
              <w:sz w:val="28"/>
              <w:szCs w:val="28"/>
            </w:rPr>
            <w:t>→ Превышение: +47 550 590 тыс. руб. (норма соблюдена)</w:t>
          </w:r>
        </w:sdtContent>
      </w:sdt>
    </w:p>
    <w:p w14:paraId="59B76E69"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А2 (быстрореализуемые активы) = 40 919 740 тыс. руб.</w:t>
      </w:r>
    </w:p>
    <w:p w14:paraId="6D138A1C"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П2 (краткосрочные обязательства) = 37 149 555 тыс. руб.</w:t>
      </w:r>
    </w:p>
    <w:p w14:paraId="21A63774"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5"/>
          <w:id w:val="-419484021"/>
        </w:sdtPr>
        <w:sdtContent>
          <w:r w:rsidR="000C4199" w:rsidRPr="00EE7B14">
            <w:rPr>
              <w:rFonts w:ascii="Times New Roman" w:eastAsia="Times New Roman" w:hAnsi="Times New Roman" w:cs="Times New Roman"/>
              <w:b w:val="0"/>
              <w:sz w:val="28"/>
              <w:szCs w:val="28"/>
            </w:rPr>
            <w:t>→ Превышение: +3 770 185 тыс. руб. (норма соблюдена)</w:t>
          </w:r>
        </w:sdtContent>
      </w:sdt>
    </w:p>
    <w:p w14:paraId="00AA2A8C"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А3 (медленно реализуемые активы) = 105 245 759 тыс. руб.</w:t>
      </w:r>
    </w:p>
    <w:p w14:paraId="1B2EE25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П3 (долгосрочные обязательства) = 62 439 262 тыс. руб.</w:t>
      </w:r>
    </w:p>
    <w:p w14:paraId="70AD5D19"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6"/>
          <w:id w:val="-940677903"/>
        </w:sdtPr>
        <w:sdtContent>
          <w:r w:rsidR="000C4199" w:rsidRPr="00EE7B14">
            <w:rPr>
              <w:rFonts w:ascii="Times New Roman" w:eastAsia="Times New Roman" w:hAnsi="Times New Roman" w:cs="Times New Roman"/>
              <w:b w:val="0"/>
              <w:sz w:val="28"/>
              <w:szCs w:val="28"/>
            </w:rPr>
            <w:t>→ Превышение: +42 806 497 тыс. руб. (норма соблюдена)</w:t>
          </w:r>
        </w:sdtContent>
      </w:sdt>
    </w:p>
    <w:p w14:paraId="45D97058"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А4 (труднореализуемые активы) = 74 214 298 тыс. руб.</w:t>
      </w:r>
    </w:p>
    <w:p w14:paraId="41B7C38C"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П4 (постоянные пассивы / собственный капитал) = 168 341 570 тыс. руб.</w:t>
      </w:r>
    </w:p>
    <w:p w14:paraId="41D5BB0F" w14:textId="77777777" w:rsidR="00F1590E" w:rsidRDefault="00000000" w:rsidP="00EE7B14">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7"/>
          <w:id w:val="-870293880"/>
        </w:sdtPr>
        <w:sdtContent>
          <w:r w:rsidR="000C4199" w:rsidRPr="00EE7B14">
            <w:rPr>
              <w:rFonts w:ascii="Times New Roman" w:eastAsia="Times New Roman" w:hAnsi="Times New Roman" w:cs="Times New Roman"/>
              <w:b w:val="0"/>
              <w:sz w:val="28"/>
              <w:szCs w:val="28"/>
            </w:rPr>
            <w:t>→ Превышение: +94 127 272 тыс. руб. (условие выполняется: П4 &gt; А4)</w:t>
          </w:r>
        </w:sdtContent>
      </w:sdt>
    </w:p>
    <w:p w14:paraId="3F760930"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Вывод: на начало года баланс абсолютно ликвиден по всем четырем критериям.</w:t>
      </w:r>
    </w:p>
    <w:p w14:paraId="2E4B4F01" w14:textId="77777777" w:rsidR="00F1590E" w:rsidRPr="00EE7B14"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sidRPr="00EE7B14">
        <w:rPr>
          <w:rFonts w:ascii="Times New Roman" w:eastAsia="Times New Roman" w:hAnsi="Times New Roman" w:cs="Times New Roman"/>
          <w:b w:val="0"/>
          <w:sz w:val="28"/>
          <w:szCs w:val="28"/>
        </w:rPr>
        <w:t>2. На конец отчетного периода (2024 год):</w:t>
      </w:r>
    </w:p>
    <w:p w14:paraId="1A22A7AA"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Ухудшение ликвидности, один из критериев не соблюдается.</w:t>
      </w:r>
    </w:p>
    <w:p w14:paraId="3E86F77B"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А1 = 46 245 592 тыс. руб.</w:t>
      </w:r>
    </w:p>
    <w:p w14:paraId="5AD0F18A"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П1 = 26 461 756 тыс. руб.</w:t>
      </w:r>
    </w:p>
    <w:p w14:paraId="1CCF1C64"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8"/>
          <w:id w:val="-348636929"/>
        </w:sdtPr>
        <w:sdtContent>
          <w:r w:rsidR="000C4199" w:rsidRPr="00EE7B14">
            <w:rPr>
              <w:rFonts w:ascii="Times New Roman" w:eastAsia="Times New Roman" w:hAnsi="Times New Roman" w:cs="Times New Roman"/>
              <w:b w:val="0"/>
              <w:sz w:val="28"/>
              <w:szCs w:val="28"/>
            </w:rPr>
            <w:t>→ Превышение: +19 783 836 тыс. руб. (норма соблюдена)</w:t>
          </w:r>
        </w:sdtContent>
      </w:sdt>
    </w:p>
    <w:p w14:paraId="5080F95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А2 = 51 870 257 тыс. руб.</w:t>
      </w:r>
    </w:p>
    <w:p w14:paraId="7EE9CC8D"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П2 = 75 824 324 тыс. руб.</w:t>
      </w:r>
    </w:p>
    <w:p w14:paraId="6A593089"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9"/>
          <w:id w:val="-499129161"/>
        </w:sdtPr>
        <w:sdtContent>
          <w:r w:rsidR="000C4199" w:rsidRPr="00EE7B14">
            <w:rPr>
              <w:rFonts w:ascii="Times New Roman" w:eastAsia="Times New Roman" w:hAnsi="Times New Roman" w:cs="Times New Roman"/>
              <w:b w:val="0"/>
              <w:sz w:val="28"/>
              <w:szCs w:val="28"/>
            </w:rPr>
            <w:t>→ Недостаток: –23 954 067 тыс. руб. (норма не соблюдена)</w:t>
          </w:r>
        </w:sdtContent>
      </w:sdt>
    </w:p>
    <w:p w14:paraId="7AA7E696"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А3 = 182 681 495 тыс. руб.</w:t>
      </w:r>
    </w:p>
    <w:p w14:paraId="1645FB2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П3 = 97 597 479 тыс. руб.</w:t>
      </w:r>
    </w:p>
    <w:p w14:paraId="15C01DE6"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10"/>
          <w:id w:val="-1372535619"/>
        </w:sdtPr>
        <w:sdtContent>
          <w:r w:rsidR="000C4199" w:rsidRPr="00EE7B14">
            <w:rPr>
              <w:rFonts w:ascii="Times New Roman" w:eastAsia="Times New Roman" w:hAnsi="Times New Roman" w:cs="Times New Roman"/>
              <w:b w:val="0"/>
              <w:sz w:val="28"/>
              <w:szCs w:val="28"/>
            </w:rPr>
            <w:t>→ Превышение: +85 084 016 тыс. руб. (норма соблюдена)</w:t>
          </w:r>
        </w:sdtContent>
      </w:sdt>
    </w:p>
    <w:p w14:paraId="0647AC2B"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А4 = 83 796 772 тыс. руб.</w:t>
      </w:r>
    </w:p>
    <w:p w14:paraId="06A49629"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П4 = 164 710 557 тыс. руб.</w:t>
      </w:r>
    </w:p>
    <w:p w14:paraId="732160A2" w14:textId="77777777" w:rsidR="00F1590E" w:rsidRDefault="00000000">
      <w:pPr>
        <w:pStyle w:val="1"/>
        <w:widowControl w:val="0"/>
        <w:spacing w:before="280" w:after="28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11"/>
          <w:id w:val="-536433348"/>
        </w:sdtPr>
        <w:sdtContent>
          <w:r w:rsidR="000C4199" w:rsidRPr="00EE7B14">
            <w:rPr>
              <w:rFonts w:ascii="Times New Roman" w:eastAsia="Times New Roman" w:hAnsi="Times New Roman" w:cs="Times New Roman"/>
              <w:b w:val="0"/>
              <w:sz w:val="28"/>
              <w:szCs w:val="28"/>
            </w:rPr>
            <w:t>→ Превышение: +80 913 785 тыс. руб. (условие выполняется: П4 &gt; А4)</w:t>
          </w:r>
        </w:sdtContent>
      </w:sdt>
    </w:p>
    <w:p w14:paraId="62851A77"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Вывод: на конец года баланс не является абсолютно ликвидным. Нарушено одно из четырёх условий — по группе А2–П2 (быстрореализуемые активы не покрывают краткосрочные обязательства).</w:t>
      </w:r>
    </w:p>
    <w:p w14:paraId="27552B90" w14:textId="77777777" w:rsidR="00F1590E" w:rsidRPr="00EE7B14"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sidRPr="00EE7B14">
        <w:rPr>
          <w:rFonts w:ascii="Times New Roman" w:eastAsia="Times New Roman" w:hAnsi="Times New Roman" w:cs="Times New Roman"/>
          <w:b w:val="0"/>
          <w:sz w:val="28"/>
          <w:szCs w:val="28"/>
        </w:rPr>
        <w:t>3. Общий итог по задаче:</w:t>
      </w:r>
    </w:p>
    <w:p w14:paraId="0974EF1C"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Ликвидность баланса ухудшилась в течение отчетного года.</w:t>
      </w:r>
    </w:p>
    <w:p w14:paraId="6605B6B3"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Причиной стало резкое увеличение краткосрочных обязательств (П2), которое не было компенсировано ростом быстрореализуемых активов (А2).</w:t>
      </w:r>
    </w:p>
    <w:p w14:paraId="043ECD58" w14:textId="77777777" w:rsidR="00F1590E" w:rsidRDefault="000C4199">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Хотя по остальным группам сохраняется превышение активов над пассивами, нарушение по одной ключевой позиции не позволяет считать баланс полностью ликвидным.</w:t>
      </w:r>
    </w:p>
    <w:p w14:paraId="7858540D" w14:textId="77777777" w:rsidR="00F1590E" w:rsidRDefault="000C4199" w:rsidP="00EE7B14">
      <w:pPr>
        <w:pStyle w:val="1"/>
        <w:widowControl w:val="0"/>
        <w:spacing w:before="280" w:after="28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 Предприятию рекомендуется обратить внимание на оптимизацию краткосрочной задолженности и повышение оборачиваемости дебиторской задолженности.</w:t>
      </w:r>
    </w:p>
    <w:p w14:paraId="6F9D6191" w14:textId="77777777" w:rsidR="00F1590E" w:rsidRDefault="00F1590E">
      <w:pPr>
        <w:pStyle w:val="1"/>
        <w:widowControl w:val="0"/>
        <w:spacing w:before="0" w:after="0" w:line="360" w:lineRule="auto"/>
        <w:ind w:firstLine="708"/>
        <w:jc w:val="both"/>
        <w:rPr>
          <w:rFonts w:ascii="Times New Roman" w:eastAsia="Times New Roman" w:hAnsi="Times New Roman" w:cs="Times New Roman"/>
          <w:b w:val="0"/>
          <w:sz w:val="28"/>
          <w:szCs w:val="28"/>
        </w:rPr>
      </w:pPr>
    </w:p>
    <w:p w14:paraId="03B4F8C8"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Задание 5. </w:t>
      </w:r>
      <w:r>
        <w:rPr>
          <w:rFonts w:ascii="Times New Roman" w:eastAsia="Times New Roman" w:hAnsi="Times New Roman" w:cs="Times New Roman"/>
          <w:b w:val="0"/>
          <w:sz w:val="28"/>
          <w:szCs w:val="28"/>
        </w:rPr>
        <w:t>Установить уровень платежеспособности организации. Для этого рассчитать основные показатели ликвидности и динамику их изменений (таблица 5.1). Показатели ликвидности характеризуют способность организации удовлетворять претензии держателей краткосрочных долговых обязательств.</w:t>
      </w:r>
    </w:p>
    <w:p w14:paraId="50B8C2EF"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5.1</w:t>
      </w:r>
    </w:p>
    <w:p w14:paraId="5B1B2017"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Анализ платежеспособности организации по коэффициентам ликвидности</w:t>
      </w:r>
    </w:p>
    <w:tbl>
      <w:tblPr>
        <w:tblStyle w:val="af6"/>
        <w:tblW w:w="14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6"/>
        <w:gridCol w:w="3119"/>
        <w:gridCol w:w="3184"/>
        <w:gridCol w:w="3697"/>
      </w:tblGrid>
      <w:tr w:rsidR="00F1590E" w14:paraId="7997CD17" w14:textId="77777777">
        <w:tc>
          <w:tcPr>
            <w:tcW w:w="4786" w:type="dxa"/>
          </w:tcPr>
          <w:p w14:paraId="3AAB0752"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Показатели</w:t>
            </w:r>
          </w:p>
        </w:tc>
        <w:tc>
          <w:tcPr>
            <w:tcW w:w="3119" w:type="dxa"/>
          </w:tcPr>
          <w:p w14:paraId="4E449D05"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 начало отчетного года</w:t>
            </w:r>
          </w:p>
        </w:tc>
        <w:tc>
          <w:tcPr>
            <w:tcW w:w="3184" w:type="dxa"/>
          </w:tcPr>
          <w:p w14:paraId="3948A68D"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 конец отчетного года</w:t>
            </w:r>
          </w:p>
        </w:tc>
        <w:tc>
          <w:tcPr>
            <w:tcW w:w="3697" w:type="dxa"/>
          </w:tcPr>
          <w:p w14:paraId="332A51FB"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Абсолютное изменение за отчетный год</w:t>
            </w:r>
          </w:p>
        </w:tc>
      </w:tr>
      <w:tr w:rsidR="00F1590E" w14:paraId="72467D30" w14:textId="77777777">
        <w:tc>
          <w:tcPr>
            <w:tcW w:w="4786" w:type="dxa"/>
          </w:tcPr>
          <w:p w14:paraId="4FA3F36D"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 Денежные средства, тыс. руб.</w:t>
            </w:r>
          </w:p>
        </w:tc>
        <w:tc>
          <w:tcPr>
            <w:tcW w:w="3119" w:type="dxa"/>
            <w:vAlign w:val="center"/>
          </w:tcPr>
          <w:p w14:paraId="5FBE710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54 255 551</w:t>
            </w:r>
          </w:p>
        </w:tc>
        <w:tc>
          <w:tcPr>
            <w:tcW w:w="3184" w:type="dxa"/>
            <w:vAlign w:val="center"/>
          </w:tcPr>
          <w:p w14:paraId="280381A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46 228 498</w:t>
            </w:r>
          </w:p>
        </w:tc>
        <w:tc>
          <w:tcPr>
            <w:tcW w:w="3697" w:type="dxa"/>
          </w:tcPr>
          <w:p w14:paraId="299272AF"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8 027 053</w:t>
            </w:r>
          </w:p>
        </w:tc>
      </w:tr>
      <w:tr w:rsidR="00F1590E" w14:paraId="3EE32F70" w14:textId="77777777">
        <w:tc>
          <w:tcPr>
            <w:tcW w:w="4786" w:type="dxa"/>
          </w:tcPr>
          <w:p w14:paraId="153D7D92"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 Краткосрочные финансовые вложения, тыс. руб.</w:t>
            </w:r>
          </w:p>
        </w:tc>
        <w:tc>
          <w:tcPr>
            <w:tcW w:w="3119" w:type="dxa"/>
            <w:vAlign w:val="center"/>
          </w:tcPr>
          <w:p w14:paraId="7307098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14 617 094</w:t>
            </w:r>
          </w:p>
        </w:tc>
        <w:tc>
          <w:tcPr>
            <w:tcW w:w="3184" w:type="dxa"/>
            <w:vAlign w:val="center"/>
          </w:tcPr>
          <w:p w14:paraId="70046DE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17 094</w:t>
            </w:r>
          </w:p>
        </w:tc>
        <w:tc>
          <w:tcPr>
            <w:tcW w:w="3697" w:type="dxa"/>
          </w:tcPr>
          <w:p w14:paraId="74FA3C2B"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14 600 000</w:t>
            </w:r>
          </w:p>
        </w:tc>
      </w:tr>
      <w:tr w:rsidR="00F1590E" w14:paraId="497BCEAD" w14:textId="77777777">
        <w:tc>
          <w:tcPr>
            <w:tcW w:w="4786" w:type="dxa"/>
          </w:tcPr>
          <w:p w14:paraId="2C9FB23B"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 Дебиторская задолженность, тыс. руб.</w:t>
            </w:r>
          </w:p>
        </w:tc>
        <w:tc>
          <w:tcPr>
            <w:tcW w:w="3119" w:type="dxa"/>
            <w:vAlign w:val="center"/>
          </w:tcPr>
          <w:p w14:paraId="05855369"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40 715 200</w:t>
            </w:r>
          </w:p>
        </w:tc>
        <w:tc>
          <w:tcPr>
            <w:tcW w:w="3184" w:type="dxa"/>
            <w:vAlign w:val="center"/>
          </w:tcPr>
          <w:p w14:paraId="66DD8BA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51 709 482</w:t>
            </w:r>
          </w:p>
        </w:tc>
        <w:tc>
          <w:tcPr>
            <w:tcW w:w="3697" w:type="dxa"/>
          </w:tcPr>
          <w:p w14:paraId="5C44765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10 994 282</w:t>
            </w:r>
          </w:p>
        </w:tc>
      </w:tr>
      <w:tr w:rsidR="00F1590E" w14:paraId="2327FAAE" w14:textId="77777777">
        <w:tc>
          <w:tcPr>
            <w:tcW w:w="4786" w:type="dxa"/>
          </w:tcPr>
          <w:p w14:paraId="2DB4A71A"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 Запасы, тыс. руб.</w:t>
            </w:r>
          </w:p>
        </w:tc>
        <w:tc>
          <w:tcPr>
            <w:tcW w:w="3119" w:type="dxa"/>
            <w:vAlign w:val="center"/>
          </w:tcPr>
          <w:p w14:paraId="067B6BA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17 042 553</w:t>
            </w:r>
          </w:p>
        </w:tc>
        <w:tc>
          <w:tcPr>
            <w:tcW w:w="3184" w:type="dxa"/>
            <w:vAlign w:val="center"/>
          </w:tcPr>
          <w:p w14:paraId="47DD01D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19 909 693</w:t>
            </w:r>
          </w:p>
        </w:tc>
        <w:tc>
          <w:tcPr>
            <w:tcW w:w="3697" w:type="dxa"/>
          </w:tcPr>
          <w:p w14:paraId="049D573A"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2 867 140</w:t>
            </w:r>
          </w:p>
        </w:tc>
      </w:tr>
      <w:tr w:rsidR="00F1590E" w14:paraId="243F5CB3" w14:textId="77777777">
        <w:tc>
          <w:tcPr>
            <w:tcW w:w="4786" w:type="dxa"/>
          </w:tcPr>
          <w:p w14:paraId="4FC897F0"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 Оборотные активы, тыс. руб.</w:t>
            </w:r>
          </w:p>
        </w:tc>
        <w:tc>
          <w:tcPr>
            <w:tcW w:w="3119" w:type="dxa"/>
            <w:vAlign w:val="center"/>
          </w:tcPr>
          <w:p w14:paraId="5D79AAE7"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127 056 346</w:t>
            </w:r>
          </w:p>
        </w:tc>
        <w:tc>
          <w:tcPr>
            <w:tcW w:w="3184" w:type="dxa"/>
            <w:vAlign w:val="center"/>
          </w:tcPr>
          <w:p w14:paraId="1F9E3C2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118 255 150</w:t>
            </w:r>
          </w:p>
        </w:tc>
        <w:tc>
          <w:tcPr>
            <w:tcW w:w="3697" w:type="dxa"/>
          </w:tcPr>
          <w:p w14:paraId="1476950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8 801 196</w:t>
            </w:r>
          </w:p>
        </w:tc>
      </w:tr>
      <w:tr w:rsidR="00F1590E" w14:paraId="1AB365DD" w14:textId="77777777">
        <w:tc>
          <w:tcPr>
            <w:tcW w:w="4786" w:type="dxa"/>
          </w:tcPr>
          <w:p w14:paraId="2DD3F2E1"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 Краткосрочные обязательства, тыс. руб.</w:t>
            </w:r>
          </w:p>
        </w:tc>
        <w:tc>
          <w:tcPr>
            <w:tcW w:w="3119" w:type="dxa"/>
            <w:vAlign w:val="center"/>
          </w:tcPr>
          <w:p w14:paraId="37196FE4"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65 019 420</w:t>
            </w:r>
          </w:p>
        </w:tc>
        <w:tc>
          <w:tcPr>
            <w:tcW w:w="3184" w:type="dxa"/>
            <w:vAlign w:val="center"/>
          </w:tcPr>
          <w:p w14:paraId="65E6429C"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105 099 769</w:t>
            </w:r>
          </w:p>
        </w:tc>
        <w:tc>
          <w:tcPr>
            <w:tcW w:w="3697" w:type="dxa"/>
          </w:tcPr>
          <w:p w14:paraId="4D96512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40 080 349</w:t>
            </w:r>
          </w:p>
        </w:tc>
      </w:tr>
      <w:tr w:rsidR="00F1590E" w14:paraId="7BBB27D2" w14:textId="77777777">
        <w:tc>
          <w:tcPr>
            <w:tcW w:w="4786" w:type="dxa"/>
          </w:tcPr>
          <w:p w14:paraId="6F5780F6"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7. Коэффициент абсолютной ликвидности (стр.1 + стр.2)/стр.6</w:t>
            </w:r>
          </w:p>
        </w:tc>
        <w:tc>
          <w:tcPr>
            <w:tcW w:w="3119" w:type="dxa"/>
            <w:vAlign w:val="center"/>
          </w:tcPr>
          <w:p w14:paraId="0AFB479E"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1,0593</w:t>
            </w:r>
          </w:p>
        </w:tc>
        <w:tc>
          <w:tcPr>
            <w:tcW w:w="3184" w:type="dxa"/>
            <w:vAlign w:val="center"/>
          </w:tcPr>
          <w:p w14:paraId="64F741C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0,4400</w:t>
            </w:r>
          </w:p>
        </w:tc>
        <w:tc>
          <w:tcPr>
            <w:tcW w:w="3697" w:type="dxa"/>
            <w:vAlign w:val="center"/>
          </w:tcPr>
          <w:p w14:paraId="7CA25C48"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-0,6192</w:t>
            </w:r>
          </w:p>
        </w:tc>
      </w:tr>
      <w:tr w:rsidR="00F1590E" w14:paraId="608F4BE6" w14:textId="77777777">
        <w:tc>
          <w:tcPr>
            <w:tcW w:w="4786" w:type="dxa"/>
          </w:tcPr>
          <w:p w14:paraId="55F39242"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 Коэффициент срочной (критической) ликвидности (стр.1 + стр.2 + стр.3)/стр.6</w:t>
            </w:r>
          </w:p>
        </w:tc>
        <w:tc>
          <w:tcPr>
            <w:tcW w:w="3119" w:type="dxa"/>
            <w:vAlign w:val="center"/>
          </w:tcPr>
          <w:p w14:paraId="7C3EC84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1,6855</w:t>
            </w:r>
          </w:p>
        </w:tc>
        <w:tc>
          <w:tcPr>
            <w:tcW w:w="3184" w:type="dxa"/>
            <w:vAlign w:val="center"/>
          </w:tcPr>
          <w:p w14:paraId="0F95ADD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0,9320</w:t>
            </w:r>
          </w:p>
        </w:tc>
        <w:tc>
          <w:tcPr>
            <w:tcW w:w="3697" w:type="dxa"/>
            <w:vAlign w:val="center"/>
          </w:tcPr>
          <w:p w14:paraId="7C3A3850"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-0,7534</w:t>
            </w:r>
          </w:p>
        </w:tc>
      </w:tr>
      <w:tr w:rsidR="00F1590E" w14:paraId="09B6AE8B" w14:textId="77777777">
        <w:tc>
          <w:tcPr>
            <w:tcW w:w="4786" w:type="dxa"/>
          </w:tcPr>
          <w:p w14:paraId="745F93B0"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9. Коэффициент текущей ликвидности </w:t>
            </w:r>
          </w:p>
          <w:p w14:paraId="11B1BEAD"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(стр. 5/стр. 6)</w:t>
            </w:r>
          </w:p>
        </w:tc>
        <w:tc>
          <w:tcPr>
            <w:tcW w:w="3119" w:type="dxa"/>
            <w:vAlign w:val="center"/>
          </w:tcPr>
          <w:p w14:paraId="6AECB083"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1,9541</w:t>
            </w:r>
          </w:p>
        </w:tc>
        <w:tc>
          <w:tcPr>
            <w:tcW w:w="3184" w:type="dxa"/>
            <w:vAlign w:val="center"/>
          </w:tcPr>
          <w:p w14:paraId="153C7E3D"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1,1252</w:t>
            </w:r>
          </w:p>
        </w:tc>
        <w:tc>
          <w:tcPr>
            <w:tcW w:w="3697" w:type="dxa"/>
            <w:vAlign w:val="center"/>
          </w:tcPr>
          <w:p w14:paraId="4CC3AC52" w14:textId="77777777" w:rsidR="00F1590E" w:rsidRDefault="000C41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-0,8290</w:t>
            </w:r>
          </w:p>
        </w:tc>
      </w:tr>
    </w:tbl>
    <w:p w14:paraId="4052BB6D"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w:t>
      </w:r>
    </w:p>
    <w:p w14:paraId="40ED0F87" w14:textId="77777777" w:rsidR="00F1590E" w:rsidRDefault="000C4199">
      <w:pPr>
        <w:rPr>
          <w:rFonts w:ascii="Times New Roman" w:eastAsia="Times New Roman" w:hAnsi="Times New Roman" w:cs="Times New Roman"/>
          <w:sz w:val="28"/>
          <w:szCs w:val="28"/>
        </w:rPr>
      </w:pPr>
      <w:r>
        <w:br w:type="page"/>
      </w:r>
    </w:p>
    <w:p w14:paraId="61797A18"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При оценке ликвидности можно использовать рекомендуемые значения или критерии показателей, приведенные в таблице 5.2.</w:t>
      </w:r>
    </w:p>
    <w:p w14:paraId="0C4DD293"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5.2</w:t>
      </w:r>
    </w:p>
    <w:p w14:paraId="2093FB70"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Анализ динамики изменений коэффициентов ликвидности</w:t>
      </w:r>
    </w:p>
    <w:tbl>
      <w:tblPr>
        <w:tblStyle w:val="af7"/>
        <w:tblW w:w="14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8"/>
        <w:gridCol w:w="1701"/>
        <w:gridCol w:w="8157"/>
      </w:tblGrid>
      <w:tr w:rsidR="00F1590E" w14:paraId="2898D10C" w14:textId="77777777">
        <w:tc>
          <w:tcPr>
            <w:tcW w:w="4928" w:type="dxa"/>
          </w:tcPr>
          <w:p w14:paraId="6821CDB4"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Коэффициенты ликвидности</w:t>
            </w:r>
          </w:p>
        </w:tc>
        <w:tc>
          <w:tcPr>
            <w:tcW w:w="1701" w:type="dxa"/>
          </w:tcPr>
          <w:p w14:paraId="73DD604F"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Критерий</w:t>
            </w:r>
          </w:p>
        </w:tc>
        <w:tc>
          <w:tcPr>
            <w:tcW w:w="8157" w:type="dxa"/>
          </w:tcPr>
          <w:p w14:paraId="0EC4A273"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Характеристика показателя</w:t>
            </w:r>
          </w:p>
        </w:tc>
      </w:tr>
      <w:tr w:rsidR="00F1590E" w14:paraId="50014224" w14:textId="77777777">
        <w:tc>
          <w:tcPr>
            <w:tcW w:w="4928" w:type="dxa"/>
          </w:tcPr>
          <w:p w14:paraId="099886D7"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Коэффициент абсолютной ликвидности</w:t>
            </w:r>
          </w:p>
        </w:tc>
        <w:tc>
          <w:tcPr>
            <w:tcW w:w="1701" w:type="dxa"/>
          </w:tcPr>
          <w:p w14:paraId="3B79928A" w14:textId="77777777" w:rsidR="00F1590E" w:rsidRDefault="00000000">
            <w:pPr>
              <w:pStyle w:val="1"/>
              <w:widowControl w:val="0"/>
              <w:spacing w:before="0" w:after="0"/>
              <w:jc w:val="center"/>
              <w:rPr>
                <w:rFonts w:ascii="Times New Roman" w:eastAsia="Times New Roman" w:hAnsi="Times New Roman" w:cs="Times New Roman"/>
                <w:sz w:val="24"/>
                <w:szCs w:val="24"/>
              </w:rPr>
            </w:pPr>
            <w:sdt>
              <w:sdtPr>
                <w:tag w:val="goog_rdk_12"/>
                <w:id w:val="675619200"/>
              </w:sdtPr>
              <w:sdtContent>
                <w:r w:rsidR="000C4199">
                  <w:rPr>
                    <w:rFonts w:ascii="Gungsuh" w:eastAsia="Gungsuh" w:hAnsi="Gungsuh" w:cs="Gungsuh"/>
                    <w:sz w:val="24"/>
                    <w:szCs w:val="24"/>
                  </w:rPr>
                  <w:t>≥0,2-0,25</w:t>
                </w:r>
              </w:sdtContent>
            </w:sdt>
          </w:p>
        </w:tc>
        <w:tc>
          <w:tcPr>
            <w:tcW w:w="8157" w:type="dxa"/>
          </w:tcPr>
          <w:p w14:paraId="41F786F5"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Является наиболее жестким критерием ликвидности организации; показывает, какая доля краткосрочных долговых обязательств может быть покрыта за счет денежных средств и их эквивалентов в виде  рыночных ценных бумаг и депозитов, т.е. практически абсолютно ликвидных активов </w:t>
            </w:r>
          </w:p>
        </w:tc>
      </w:tr>
      <w:tr w:rsidR="00F1590E" w14:paraId="1C468948" w14:textId="77777777">
        <w:tc>
          <w:tcPr>
            <w:tcW w:w="4928" w:type="dxa"/>
          </w:tcPr>
          <w:p w14:paraId="5B533073"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Коэффициент срочной (критической) ликвидности</w:t>
            </w:r>
          </w:p>
        </w:tc>
        <w:tc>
          <w:tcPr>
            <w:tcW w:w="1701" w:type="dxa"/>
          </w:tcPr>
          <w:p w14:paraId="21768FA9" w14:textId="77777777" w:rsidR="00F1590E" w:rsidRDefault="00000000">
            <w:pPr>
              <w:pStyle w:val="1"/>
              <w:widowControl w:val="0"/>
              <w:spacing w:before="0" w:after="0"/>
              <w:jc w:val="center"/>
              <w:rPr>
                <w:rFonts w:ascii="Times New Roman" w:eastAsia="Times New Roman" w:hAnsi="Times New Roman" w:cs="Times New Roman"/>
                <w:sz w:val="24"/>
                <w:szCs w:val="24"/>
              </w:rPr>
            </w:pPr>
            <w:sdt>
              <w:sdtPr>
                <w:tag w:val="goog_rdk_13"/>
                <w:id w:val="-1935657631"/>
              </w:sdtPr>
              <w:sdtContent>
                <w:r w:rsidR="000C4199">
                  <w:rPr>
                    <w:rFonts w:ascii="Gungsuh" w:eastAsia="Gungsuh" w:hAnsi="Gungsuh" w:cs="Gungsuh"/>
                    <w:sz w:val="24"/>
                    <w:szCs w:val="24"/>
                  </w:rPr>
                  <w:t>≥0,7-0,8</w:t>
                </w:r>
              </w:sdtContent>
            </w:sdt>
          </w:p>
        </w:tc>
        <w:tc>
          <w:tcPr>
            <w:tcW w:w="8157" w:type="dxa"/>
          </w:tcPr>
          <w:p w14:paraId="5C71FEBD" w14:textId="77777777" w:rsidR="00F1590E" w:rsidRDefault="000C4199">
            <w:pPr>
              <w:pStyle w:val="1"/>
              <w:widowControl w:val="0"/>
              <w:spacing w:before="0" w:after="0"/>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Характеризует ту часть текущих обязательств, которая может быть погашена не только за счет наличности, но и за счет ожидаемых поступлений за отгруженную продукцию, выполненные работы или оказанные услуги</w:t>
            </w:r>
            <w:r>
              <w:rPr>
                <w:rFonts w:ascii="Times New Roman" w:eastAsia="Times New Roman" w:hAnsi="Times New Roman" w:cs="Times New Roman"/>
                <w:sz w:val="24"/>
                <w:szCs w:val="24"/>
              </w:rPr>
              <w:t xml:space="preserve"> </w:t>
            </w:r>
          </w:p>
        </w:tc>
      </w:tr>
      <w:tr w:rsidR="00F1590E" w14:paraId="7CE9095E" w14:textId="77777777">
        <w:tc>
          <w:tcPr>
            <w:tcW w:w="4928" w:type="dxa"/>
          </w:tcPr>
          <w:p w14:paraId="590D42DB"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Коэффициент текущей ликвидности</w:t>
            </w:r>
          </w:p>
        </w:tc>
        <w:tc>
          <w:tcPr>
            <w:tcW w:w="1701" w:type="dxa"/>
          </w:tcPr>
          <w:p w14:paraId="6CCAB222" w14:textId="77777777" w:rsidR="00F1590E" w:rsidRDefault="00000000">
            <w:pPr>
              <w:pStyle w:val="1"/>
              <w:widowControl w:val="0"/>
              <w:spacing w:before="0" w:after="0"/>
              <w:jc w:val="center"/>
              <w:rPr>
                <w:rFonts w:ascii="Times New Roman" w:eastAsia="Times New Roman" w:hAnsi="Times New Roman" w:cs="Times New Roman"/>
                <w:sz w:val="24"/>
                <w:szCs w:val="24"/>
              </w:rPr>
            </w:pPr>
            <w:sdt>
              <w:sdtPr>
                <w:tag w:val="goog_rdk_14"/>
                <w:id w:val="174235940"/>
              </w:sdtPr>
              <w:sdtContent>
                <w:r w:rsidR="000C4199">
                  <w:rPr>
                    <w:rFonts w:ascii="Gungsuh" w:eastAsia="Gungsuh" w:hAnsi="Gungsuh" w:cs="Gungsuh"/>
                    <w:sz w:val="24"/>
                    <w:szCs w:val="24"/>
                  </w:rPr>
                  <w:t>≥2 (1,5 -2,5)</w:t>
                </w:r>
              </w:sdtContent>
            </w:sdt>
          </w:p>
        </w:tc>
        <w:tc>
          <w:tcPr>
            <w:tcW w:w="8157" w:type="dxa"/>
          </w:tcPr>
          <w:p w14:paraId="3720B5BE" w14:textId="77777777" w:rsidR="00F1590E" w:rsidRDefault="000C4199">
            <w:pPr>
              <w:pStyle w:val="1"/>
              <w:widowControl w:val="0"/>
              <w:spacing w:before="0" w:after="0"/>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Показывает, достаточно ли у организации средств, которые могут быть использованы для краткосрочных обязательств в течение определенного периода</w:t>
            </w:r>
          </w:p>
        </w:tc>
      </w:tr>
    </w:tbl>
    <w:p w14:paraId="13196911" w14:textId="77777777" w:rsidR="00F1590E" w:rsidRDefault="000C4199">
      <w:pPr>
        <w:pStyle w:val="1"/>
        <w:widowControl w:val="0"/>
        <w:spacing w:before="0"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w:t>
      </w:r>
    </w:p>
    <w:p w14:paraId="50E065DA" w14:textId="77777777" w:rsidR="00F1590E" w:rsidRDefault="000C4199">
      <w:pPr>
        <w:pStyle w:val="1"/>
        <w:spacing w:line="360" w:lineRule="auto"/>
        <w:ind w:firstLine="708"/>
        <w:jc w:val="both"/>
        <w:rPr>
          <w:rFonts w:ascii="Times New Roman" w:eastAsia="Times New Roman" w:hAnsi="Times New Roman" w:cs="Times New Roman"/>
          <w:b w:val="0"/>
          <w:sz w:val="28"/>
          <w:szCs w:val="28"/>
        </w:rPr>
      </w:pPr>
      <w:bookmarkStart w:id="1" w:name="_heading=h.gq8mhke8vms7" w:colFirst="0" w:colLast="0"/>
      <w:bookmarkEnd w:id="1"/>
      <w:r>
        <w:rPr>
          <w:rFonts w:ascii="Times New Roman" w:eastAsia="Times New Roman" w:hAnsi="Times New Roman" w:cs="Times New Roman"/>
          <w:b w:val="0"/>
          <w:sz w:val="28"/>
          <w:szCs w:val="28"/>
        </w:rPr>
        <w:t>Анализ коэффициентов ликвидности позволяет установить уровень платежеспособности ПАО «Акрон» на конец отчётного года и определить его способность своевременно и в полном объеме выполнять краткосрочные обязательства перед кредиторами. В течение отчётного периода наблюдается отрицательная динамика всех трёх основных показателей ликвидности, что указывает на ослабление текущей платёжеспособности организации.</w:t>
      </w:r>
    </w:p>
    <w:p w14:paraId="4BB02A45" w14:textId="77777777" w:rsidR="00F1590E" w:rsidRDefault="000C4199">
      <w:pPr>
        <w:pStyle w:val="1"/>
        <w:spacing w:line="360" w:lineRule="auto"/>
        <w:ind w:firstLine="708"/>
        <w:jc w:val="both"/>
        <w:rPr>
          <w:rFonts w:ascii="Times New Roman" w:eastAsia="Times New Roman" w:hAnsi="Times New Roman" w:cs="Times New Roman"/>
          <w:b w:val="0"/>
          <w:sz w:val="28"/>
          <w:szCs w:val="28"/>
        </w:rPr>
      </w:pPr>
      <w:bookmarkStart w:id="2" w:name="_heading=h.6yu266g62usk" w:colFirst="0" w:colLast="0"/>
      <w:bookmarkEnd w:id="2"/>
      <w:r>
        <w:rPr>
          <w:rFonts w:ascii="Times New Roman" w:eastAsia="Times New Roman" w:hAnsi="Times New Roman" w:cs="Times New Roman"/>
          <w:b w:val="0"/>
          <w:sz w:val="28"/>
          <w:szCs w:val="28"/>
        </w:rPr>
        <w:t>Коэффициент абсолютной ликвидности снизился с 1,0593 до 0,4400, то есть более чем в два раза, что означает существенное сокращение доли краткосрочных обязательств, обеспеченных наиболее ликвидными активами — денежными средствами и их эквивалентами. Несмотря на то, что значение показателя по-прежнему превышает рекомендованный минимум (0,2–0,25), его резкое снижение свидетельствует о снижении запаса ликвидности и уменьшении финансовой гибкости предприятия. Основными причинами ухудшения стали значительное сокращение объёма денежных средств и почти полное исчезновение краткосрочных финансовых вложений.</w:t>
      </w:r>
    </w:p>
    <w:p w14:paraId="40527D3F" w14:textId="77777777" w:rsidR="00F1590E" w:rsidRDefault="000C4199">
      <w:pPr>
        <w:pStyle w:val="1"/>
        <w:spacing w:line="360" w:lineRule="auto"/>
        <w:ind w:firstLine="708"/>
        <w:jc w:val="both"/>
        <w:rPr>
          <w:rFonts w:ascii="Times New Roman" w:eastAsia="Times New Roman" w:hAnsi="Times New Roman" w:cs="Times New Roman"/>
          <w:b w:val="0"/>
          <w:sz w:val="28"/>
          <w:szCs w:val="28"/>
        </w:rPr>
      </w:pPr>
      <w:bookmarkStart w:id="3" w:name="_heading=h.6mt2da5x8utq" w:colFirst="0" w:colLast="0"/>
      <w:bookmarkEnd w:id="3"/>
      <w:r>
        <w:rPr>
          <w:rFonts w:ascii="Times New Roman" w:eastAsia="Times New Roman" w:hAnsi="Times New Roman" w:cs="Times New Roman"/>
          <w:b w:val="0"/>
          <w:sz w:val="28"/>
          <w:szCs w:val="28"/>
        </w:rPr>
        <w:t>Коэффициент срочной (критической) ликвидности также снизился — с 1,6855 до 0,9320, приблизившись к нижней границе нормативного диапазона (0,7–0,8). Это говорит о снижении возможности предприятия покрывать краткосрочные обязательства за счёт наиболее ожидаемых поступлений, прежде всего дебиторской задолженности. Несмотря на увеличение объема дебиторской задолженности за период, темп роста краткосрочных обязательств оказался значительно выше, что и обусловило ухудшение показателя.</w:t>
      </w:r>
    </w:p>
    <w:p w14:paraId="379BAE1B" w14:textId="77777777" w:rsidR="00F1590E" w:rsidRDefault="000C4199">
      <w:pPr>
        <w:pStyle w:val="1"/>
        <w:spacing w:line="360" w:lineRule="auto"/>
        <w:ind w:firstLine="708"/>
        <w:jc w:val="both"/>
        <w:rPr>
          <w:rFonts w:ascii="Times New Roman" w:eastAsia="Times New Roman" w:hAnsi="Times New Roman" w:cs="Times New Roman"/>
          <w:b w:val="0"/>
          <w:sz w:val="28"/>
          <w:szCs w:val="28"/>
        </w:rPr>
      </w:pPr>
      <w:bookmarkStart w:id="4" w:name="_heading=h.nj87ch5359gy" w:colFirst="0" w:colLast="0"/>
      <w:bookmarkEnd w:id="4"/>
      <w:r>
        <w:rPr>
          <w:rFonts w:ascii="Times New Roman" w:eastAsia="Times New Roman" w:hAnsi="Times New Roman" w:cs="Times New Roman"/>
          <w:b w:val="0"/>
          <w:sz w:val="28"/>
          <w:szCs w:val="28"/>
        </w:rPr>
        <w:t>Коэффициент текущей ликвидности снизился с 1,9541 до 1,1252, что является наиболее тревожным сигналом. Его значение на конец отчётного периода оказалось ниже минимально допустимого уровня (1,5), что указывает на недостаточность всех оборотных активов в совокупности для покрытия краткосрочных обязательств. Это свидетельствует об ослаблении способности предприятия обеспечивать непрерывность операционного цикла и выполнять текущие обязательства без привлечения дополнительных ресурсов.</w:t>
      </w:r>
    </w:p>
    <w:p w14:paraId="6A7321F0" w14:textId="77777777" w:rsidR="00F1590E" w:rsidRDefault="000C4199">
      <w:pPr>
        <w:pStyle w:val="1"/>
        <w:spacing w:line="360" w:lineRule="auto"/>
        <w:ind w:firstLine="708"/>
        <w:jc w:val="both"/>
      </w:pPr>
      <w:bookmarkStart w:id="5" w:name="_heading=h.hyc6tu859qff" w:colFirst="0" w:colLast="0"/>
      <w:bookmarkEnd w:id="5"/>
      <w:r>
        <w:rPr>
          <w:rFonts w:ascii="Times New Roman" w:eastAsia="Times New Roman" w:hAnsi="Times New Roman" w:cs="Times New Roman"/>
          <w:b w:val="0"/>
          <w:sz w:val="28"/>
          <w:szCs w:val="28"/>
        </w:rPr>
        <w:t>Таким образом, по результатам анализа можно сделать вывод о снижении уровня ликвидности и платёжеспособности ПАО «Акрон» в отчётном году. Несмотря на то, что значения коэффициентов не свидетельствуют о критической ситуации, наблюдаемая тенденция представляет потенциальную угрозу для финансовой устойчивости организации в краткосрочной перспективе. Причиной этого является значительное увеличение краткосрочной задолженности при одновременном сокращении ликвидных активов, особенно денежных средств и краткосрочных вложений. В целях стабилизации положения рекомендуется усилить контроль над текущими обязательствами, увеличить долю высоколиквидных активов в структуре оборотных средств и снизить зависимость от краткосрочного заимствования.</w:t>
      </w:r>
    </w:p>
    <w:p w14:paraId="5DE9F61D" w14:textId="77777777" w:rsidR="00F1590E" w:rsidRPr="00EE7B14" w:rsidRDefault="000C4199">
      <w:pPr>
        <w:rPr>
          <w:rFonts w:ascii="Times New Roman" w:eastAsia="Times New Roman" w:hAnsi="Times New Roman" w:cs="Times New Roman"/>
          <w:b/>
          <w:sz w:val="28"/>
          <w:szCs w:val="28"/>
        </w:rPr>
      </w:pPr>
      <w:r>
        <w:br w:type="page"/>
      </w:r>
    </w:p>
    <w:p w14:paraId="73938F06"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финансовой устойчивости организации</w:t>
      </w:r>
    </w:p>
    <w:p w14:paraId="7EE2C6DF"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Финансовая устойчивость – </w:t>
      </w:r>
      <w:r>
        <w:rPr>
          <w:rFonts w:ascii="Times New Roman" w:eastAsia="Times New Roman" w:hAnsi="Times New Roman" w:cs="Times New Roman"/>
          <w:b w:val="0"/>
          <w:sz w:val="28"/>
          <w:szCs w:val="28"/>
        </w:rPr>
        <w:t>это способность субъекта хозяйствования функционировать и развиваться, сохранять равновесие своих активов и пассивов в изменяющейся внешней и внутренней среде, гарантирующее его постоянную платежеспособность и инвестиционную привлекательность в границах допустимого уровня риска. Финансовая устойчивость отражает стабильность характеристик, полученных при анализе финансового состояния предприятия в свете долгосрочной перспективы, и связана с общей структурой финансов и зависимостью предприятия от кредиторов и инвесторов.</w:t>
      </w:r>
    </w:p>
    <w:p w14:paraId="5CF45637"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Задание 7.</w:t>
      </w:r>
      <w:r>
        <w:rPr>
          <w:rFonts w:ascii="Times New Roman" w:eastAsia="Times New Roman" w:hAnsi="Times New Roman" w:cs="Times New Roman"/>
          <w:b w:val="0"/>
          <w:sz w:val="28"/>
          <w:szCs w:val="28"/>
        </w:rPr>
        <w:t xml:space="preserve"> Провести анализ финансовой устойчивости организации.</w:t>
      </w:r>
    </w:p>
    <w:p w14:paraId="249C69E7"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Финансовая устойчивость организации определяется степенью обеспечения запасов и затрат собственными и заемными источниками их формирования, соотношением объемов собственных и заемных средств и характеризуется системой абсолютных и относительных показателей. Анализируя соответствие или несоответствие (излишек или недостаток) средств для формирования запасов и затрат, определить абсолютные показатели финансовой устойчивости. Расчеты представить в таблице 7.1.</w:t>
      </w:r>
    </w:p>
    <w:p w14:paraId="1F97884E" w14:textId="77777777" w:rsidR="00F1590E" w:rsidRDefault="00F1590E">
      <w:pPr>
        <w:rPr>
          <w:rFonts w:ascii="Times New Roman" w:eastAsia="Times New Roman" w:hAnsi="Times New Roman" w:cs="Times New Roman"/>
          <w:b/>
          <w:sz w:val="28"/>
          <w:szCs w:val="28"/>
        </w:rPr>
      </w:pPr>
    </w:p>
    <w:p w14:paraId="1354D375" w14:textId="77777777" w:rsidR="00F1590E" w:rsidRDefault="00F1590E">
      <w:pPr>
        <w:rPr>
          <w:rFonts w:ascii="Times New Roman" w:eastAsia="Times New Roman" w:hAnsi="Times New Roman" w:cs="Times New Roman"/>
          <w:b/>
          <w:sz w:val="28"/>
          <w:szCs w:val="28"/>
        </w:rPr>
      </w:pPr>
    </w:p>
    <w:p w14:paraId="3840EF0B" w14:textId="77777777" w:rsidR="00F1590E" w:rsidRDefault="00F1590E">
      <w:pPr>
        <w:rPr>
          <w:rFonts w:ascii="Times New Roman" w:eastAsia="Times New Roman" w:hAnsi="Times New Roman" w:cs="Times New Roman"/>
          <w:b/>
          <w:sz w:val="28"/>
          <w:szCs w:val="28"/>
        </w:rPr>
      </w:pPr>
    </w:p>
    <w:p w14:paraId="2E1F5409" w14:textId="77777777" w:rsidR="00F1590E" w:rsidRDefault="00F1590E">
      <w:pPr>
        <w:rPr>
          <w:rFonts w:ascii="Times New Roman" w:eastAsia="Times New Roman" w:hAnsi="Times New Roman" w:cs="Times New Roman"/>
          <w:b/>
          <w:sz w:val="28"/>
          <w:szCs w:val="28"/>
        </w:rPr>
      </w:pPr>
    </w:p>
    <w:p w14:paraId="02E7AB59" w14:textId="77777777" w:rsidR="00F1590E" w:rsidRDefault="00F1590E">
      <w:pPr>
        <w:rPr>
          <w:rFonts w:ascii="Times New Roman" w:eastAsia="Times New Roman" w:hAnsi="Times New Roman" w:cs="Times New Roman"/>
          <w:b/>
          <w:sz w:val="28"/>
          <w:szCs w:val="28"/>
        </w:rPr>
      </w:pPr>
    </w:p>
    <w:p w14:paraId="0CA53327"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7.1</w:t>
      </w:r>
    </w:p>
    <w:p w14:paraId="38A80D07"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финансовой устойчивости по величине излишка (недостатка) собственных оборотных средств</w:t>
      </w:r>
    </w:p>
    <w:tbl>
      <w:tblPr>
        <w:tblStyle w:val="af9"/>
        <w:tblW w:w="149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35"/>
        <w:gridCol w:w="2614"/>
        <w:gridCol w:w="2843"/>
      </w:tblGrid>
      <w:tr w:rsidR="00F1590E" w14:paraId="29CD0E3F" w14:textId="77777777">
        <w:trPr>
          <w:trHeight w:val="823"/>
        </w:trPr>
        <w:tc>
          <w:tcPr>
            <w:tcW w:w="9535" w:type="dxa"/>
          </w:tcPr>
          <w:p w14:paraId="2208964F"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Показатели</w:t>
            </w:r>
          </w:p>
        </w:tc>
        <w:tc>
          <w:tcPr>
            <w:tcW w:w="2614" w:type="dxa"/>
          </w:tcPr>
          <w:p w14:paraId="3E7B17E9"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 начало отчетного года</w:t>
            </w:r>
          </w:p>
        </w:tc>
        <w:tc>
          <w:tcPr>
            <w:tcW w:w="2843" w:type="dxa"/>
          </w:tcPr>
          <w:p w14:paraId="13511CDD"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 конец отчетного года</w:t>
            </w:r>
          </w:p>
        </w:tc>
      </w:tr>
      <w:tr w:rsidR="00F1590E" w14:paraId="4EE20513" w14:textId="77777777">
        <w:trPr>
          <w:trHeight w:val="269"/>
        </w:trPr>
        <w:tc>
          <w:tcPr>
            <w:tcW w:w="9535" w:type="dxa"/>
          </w:tcPr>
          <w:p w14:paraId="3AA85710"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 Источники собственных средств (E)</w:t>
            </w:r>
          </w:p>
        </w:tc>
        <w:tc>
          <w:tcPr>
            <w:tcW w:w="2614" w:type="dxa"/>
            <w:vAlign w:val="center"/>
          </w:tcPr>
          <w:p w14:paraId="6720C1EC"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161 793 760</w:t>
            </w:r>
          </w:p>
        </w:tc>
        <w:tc>
          <w:tcPr>
            <w:tcW w:w="2843" w:type="dxa"/>
            <w:vAlign w:val="center"/>
          </w:tcPr>
          <w:p w14:paraId="6EBC7504"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161 896 868</w:t>
            </w:r>
          </w:p>
        </w:tc>
      </w:tr>
      <w:tr w:rsidR="00F1590E" w14:paraId="76FFAFC8" w14:textId="77777777">
        <w:trPr>
          <w:trHeight w:val="269"/>
        </w:trPr>
        <w:tc>
          <w:tcPr>
            <w:tcW w:w="9535" w:type="dxa"/>
          </w:tcPr>
          <w:p w14:paraId="4FE99606"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 Внеоборотные активы (FA)</w:t>
            </w:r>
          </w:p>
        </w:tc>
        <w:tc>
          <w:tcPr>
            <w:tcW w:w="2614" w:type="dxa"/>
            <w:vAlign w:val="center"/>
          </w:tcPr>
          <w:p w14:paraId="4F2D4224"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162 196 096</w:t>
            </w:r>
          </w:p>
        </w:tc>
        <w:tc>
          <w:tcPr>
            <w:tcW w:w="2843" w:type="dxa"/>
            <w:vAlign w:val="center"/>
          </w:tcPr>
          <w:p w14:paraId="164F3061"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246 338 966</w:t>
            </w:r>
          </w:p>
        </w:tc>
      </w:tr>
      <w:tr w:rsidR="00F1590E" w14:paraId="3DF6D91F" w14:textId="77777777">
        <w:trPr>
          <w:trHeight w:val="269"/>
        </w:trPr>
        <w:tc>
          <w:tcPr>
            <w:tcW w:w="9535" w:type="dxa"/>
          </w:tcPr>
          <w:p w14:paraId="4A0794DA"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 Собственные оборотные средства (E</w:t>
            </w:r>
            <w:r>
              <w:rPr>
                <w:rFonts w:ascii="Times New Roman" w:eastAsia="Times New Roman" w:hAnsi="Times New Roman" w:cs="Times New Roman"/>
                <w:b w:val="0"/>
                <w:sz w:val="24"/>
                <w:szCs w:val="24"/>
                <w:vertAlign w:val="superscript"/>
              </w:rPr>
              <w:t>C</w:t>
            </w:r>
            <w:r>
              <w:rPr>
                <w:rFonts w:ascii="Times New Roman" w:eastAsia="Times New Roman" w:hAnsi="Times New Roman" w:cs="Times New Roman"/>
                <w:b w:val="0"/>
                <w:sz w:val="24"/>
                <w:szCs w:val="24"/>
              </w:rPr>
              <w:t>)</w:t>
            </w:r>
          </w:p>
        </w:tc>
        <w:tc>
          <w:tcPr>
            <w:tcW w:w="2614" w:type="dxa"/>
            <w:vAlign w:val="center"/>
          </w:tcPr>
          <w:p w14:paraId="1FE63927"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402 336</w:t>
            </w:r>
          </w:p>
        </w:tc>
        <w:tc>
          <w:tcPr>
            <w:tcW w:w="2843" w:type="dxa"/>
            <w:vAlign w:val="center"/>
          </w:tcPr>
          <w:p w14:paraId="5E2B4B5B"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84 442 098</w:t>
            </w:r>
          </w:p>
        </w:tc>
      </w:tr>
      <w:tr w:rsidR="00F1590E" w14:paraId="15255962" w14:textId="77777777">
        <w:trPr>
          <w:trHeight w:val="269"/>
        </w:trPr>
        <w:tc>
          <w:tcPr>
            <w:tcW w:w="9535" w:type="dxa"/>
          </w:tcPr>
          <w:p w14:paraId="41F445CA"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 Долгосрочные кредиты и заемные средства (DL)</w:t>
            </w:r>
          </w:p>
        </w:tc>
        <w:tc>
          <w:tcPr>
            <w:tcW w:w="2614" w:type="dxa"/>
            <w:vAlign w:val="center"/>
          </w:tcPr>
          <w:p w14:paraId="532633D1"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62 439 262</w:t>
            </w:r>
          </w:p>
        </w:tc>
        <w:tc>
          <w:tcPr>
            <w:tcW w:w="2843" w:type="dxa"/>
            <w:vAlign w:val="center"/>
          </w:tcPr>
          <w:p w14:paraId="7B9EC62B"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97 597 479</w:t>
            </w:r>
          </w:p>
        </w:tc>
      </w:tr>
      <w:tr w:rsidR="00F1590E" w14:paraId="6289656D" w14:textId="77777777">
        <w:trPr>
          <w:trHeight w:val="163"/>
        </w:trPr>
        <w:tc>
          <w:tcPr>
            <w:tcW w:w="9535" w:type="dxa"/>
          </w:tcPr>
          <w:p w14:paraId="54E2BE85"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 Наличие собственных оборотных средств и долгосрочных заемных источников для формирования запасов и затрат (E</w:t>
            </w:r>
            <w:r>
              <w:rPr>
                <w:rFonts w:ascii="Times New Roman" w:eastAsia="Times New Roman" w:hAnsi="Times New Roman" w:cs="Times New Roman"/>
                <w:b w:val="0"/>
                <w:sz w:val="24"/>
                <w:szCs w:val="24"/>
                <w:vertAlign w:val="superscript"/>
              </w:rPr>
              <w:t>D</w:t>
            </w:r>
            <w:r>
              <w:rPr>
                <w:rFonts w:ascii="Times New Roman" w:eastAsia="Times New Roman" w:hAnsi="Times New Roman" w:cs="Times New Roman"/>
                <w:b w:val="0"/>
                <w:sz w:val="24"/>
                <w:szCs w:val="24"/>
              </w:rPr>
              <w:t xml:space="preserve"> = E</w:t>
            </w:r>
            <w:r>
              <w:rPr>
                <w:rFonts w:ascii="Times New Roman" w:eastAsia="Times New Roman" w:hAnsi="Times New Roman" w:cs="Times New Roman"/>
                <w:b w:val="0"/>
                <w:sz w:val="24"/>
                <w:szCs w:val="24"/>
                <w:vertAlign w:val="superscript"/>
              </w:rPr>
              <w:t>C</w:t>
            </w:r>
            <w:r>
              <w:rPr>
                <w:rFonts w:ascii="Times New Roman" w:eastAsia="Times New Roman" w:hAnsi="Times New Roman" w:cs="Times New Roman"/>
                <w:b w:val="0"/>
                <w:sz w:val="24"/>
                <w:szCs w:val="24"/>
              </w:rPr>
              <w:t xml:space="preserve"> + DL)</w:t>
            </w:r>
          </w:p>
        </w:tc>
        <w:tc>
          <w:tcPr>
            <w:tcW w:w="2614" w:type="dxa"/>
            <w:vAlign w:val="center"/>
          </w:tcPr>
          <w:p w14:paraId="19B3DDD1"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62 036 926</w:t>
            </w:r>
          </w:p>
        </w:tc>
        <w:tc>
          <w:tcPr>
            <w:tcW w:w="2843" w:type="dxa"/>
            <w:vAlign w:val="center"/>
          </w:tcPr>
          <w:p w14:paraId="24516B2D"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13 155 381</w:t>
            </w:r>
          </w:p>
        </w:tc>
      </w:tr>
      <w:tr w:rsidR="00F1590E" w14:paraId="3C9B8A82" w14:textId="77777777">
        <w:trPr>
          <w:trHeight w:val="269"/>
        </w:trPr>
        <w:tc>
          <w:tcPr>
            <w:tcW w:w="9535" w:type="dxa"/>
          </w:tcPr>
          <w:p w14:paraId="4C04FCC2"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 Краткосрочные кредиты и займы (CS)</w:t>
            </w:r>
          </w:p>
        </w:tc>
        <w:tc>
          <w:tcPr>
            <w:tcW w:w="2614" w:type="dxa"/>
            <w:vAlign w:val="center"/>
          </w:tcPr>
          <w:p w14:paraId="76618979"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65 019 420</w:t>
            </w:r>
          </w:p>
        </w:tc>
        <w:tc>
          <w:tcPr>
            <w:tcW w:w="2843" w:type="dxa"/>
            <w:vAlign w:val="center"/>
          </w:tcPr>
          <w:p w14:paraId="16E3CF7C"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105 099 769</w:t>
            </w:r>
          </w:p>
        </w:tc>
      </w:tr>
      <w:tr w:rsidR="00F1590E" w14:paraId="1B5F52E6" w14:textId="77777777">
        <w:trPr>
          <w:trHeight w:val="70"/>
        </w:trPr>
        <w:tc>
          <w:tcPr>
            <w:tcW w:w="9535" w:type="dxa"/>
          </w:tcPr>
          <w:p w14:paraId="361D7B7D"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7. Общая величина основных источников формирования запасов и затрат (E</w:t>
            </w:r>
            <w:sdt>
              <w:sdtPr>
                <w:tag w:val="goog_rdk_15"/>
                <w:id w:val="1079641465"/>
              </w:sdtPr>
              <w:sdtContent>
                <w:r>
                  <w:rPr>
                    <w:rFonts w:ascii="Gungsuh" w:eastAsia="Gungsuh" w:hAnsi="Gungsuh" w:cs="Gungsuh"/>
                    <w:b w:val="0"/>
                    <w:sz w:val="24"/>
                    <w:szCs w:val="24"/>
                    <w:vertAlign w:val="superscript"/>
                  </w:rPr>
                  <w:t>∑</w:t>
                </w:r>
              </w:sdtContent>
            </w:sdt>
            <w:r>
              <w:rPr>
                <w:rFonts w:ascii="Times New Roman" w:eastAsia="Times New Roman" w:hAnsi="Times New Roman" w:cs="Times New Roman"/>
                <w:b w:val="0"/>
                <w:sz w:val="24"/>
                <w:szCs w:val="24"/>
              </w:rPr>
              <w:t xml:space="preserve"> = E</w:t>
            </w:r>
            <w:r>
              <w:rPr>
                <w:rFonts w:ascii="Times New Roman" w:eastAsia="Times New Roman" w:hAnsi="Times New Roman" w:cs="Times New Roman"/>
                <w:b w:val="0"/>
                <w:sz w:val="24"/>
                <w:szCs w:val="24"/>
                <w:vertAlign w:val="superscript"/>
              </w:rPr>
              <w:t>D</w:t>
            </w:r>
            <w:r>
              <w:rPr>
                <w:rFonts w:ascii="Times New Roman" w:eastAsia="Times New Roman" w:hAnsi="Times New Roman" w:cs="Times New Roman"/>
                <w:b w:val="0"/>
                <w:sz w:val="24"/>
                <w:szCs w:val="24"/>
              </w:rPr>
              <w:t xml:space="preserve"> + CS)</w:t>
            </w:r>
          </w:p>
        </w:tc>
        <w:tc>
          <w:tcPr>
            <w:tcW w:w="2614" w:type="dxa"/>
            <w:vAlign w:val="center"/>
          </w:tcPr>
          <w:p w14:paraId="24173138"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127 056 346</w:t>
            </w:r>
          </w:p>
        </w:tc>
        <w:tc>
          <w:tcPr>
            <w:tcW w:w="2843" w:type="dxa"/>
            <w:vAlign w:val="center"/>
          </w:tcPr>
          <w:p w14:paraId="28C7FDC6"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118 255 150</w:t>
            </w:r>
          </w:p>
        </w:tc>
      </w:tr>
      <w:tr w:rsidR="00F1590E" w14:paraId="70360B43" w14:textId="77777777">
        <w:trPr>
          <w:trHeight w:val="269"/>
        </w:trPr>
        <w:tc>
          <w:tcPr>
            <w:tcW w:w="9535" w:type="dxa"/>
          </w:tcPr>
          <w:p w14:paraId="32FBFD59"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 Величина запасов и затрат (ZA)</w:t>
            </w:r>
          </w:p>
        </w:tc>
        <w:tc>
          <w:tcPr>
            <w:tcW w:w="2614" w:type="dxa"/>
            <w:vAlign w:val="center"/>
          </w:tcPr>
          <w:p w14:paraId="0833173A"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17 042 553</w:t>
            </w:r>
          </w:p>
        </w:tc>
        <w:tc>
          <w:tcPr>
            <w:tcW w:w="2843" w:type="dxa"/>
            <w:vAlign w:val="center"/>
          </w:tcPr>
          <w:p w14:paraId="2B0EC205"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19 909 693</w:t>
            </w:r>
          </w:p>
        </w:tc>
      </w:tr>
      <w:tr w:rsidR="00F1590E" w14:paraId="7D918D4E" w14:textId="77777777">
        <w:trPr>
          <w:trHeight w:val="553"/>
        </w:trPr>
        <w:tc>
          <w:tcPr>
            <w:tcW w:w="9535" w:type="dxa"/>
          </w:tcPr>
          <w:p w14:paraId="645AF430"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9. Излишек (недостаток) собственных оборотных средств  для формирования запасов и затрат (ΔE</w:t>
            </w:r>
            <w:r>
              <w:rPr>
                <w:rFonts w:ascii="Times New Roman" w:eastAsia="Times New Roman" w:hAnsi="Times New Roman" w:cs="Times New Roman"/>
                <w:b w:val="0"/>
                <w:sz w:val="24"/>
                <w:szCs w:val="24"/>
                <w:vertAlign w:val="superscript"/>
              </w:rPr>
              <w:t xml:space="preserve">C  </w:t>
            </w:r>
            <w:r>
              <w:rPr>
                <w:rFonts w:ascii="Times New Roman" w:eastAsia="Times New Roman" w:hAnsi="Times New Roman" w:cs="Times New Roman"/>
                <w:b w:val="0"/>
                <w:sz w:val="24"/>
                <w:szCs w:val="24"/>
              </w:rPr>
              <w:t>= E</w:t>
            </w:r>
            <w:r>
              <w:rPr>
                <w:rFonts w:ascii="Times New Roman" w:eastAsia="Times New Roman" w:hAnsi="Times New Roman" w:cs="Times New Roman"/>
                <w:b w:val="0"/>
                <w:sz w:val="24"/>
                <w:szCs w:val="24"/>
                <w:vertAlign w:val="superscript"/>
              </w:rPr>
              <w:t>C</w:t>
            </w:r>
            <w:r>
              <w:rPr>
                <w:rFonts w:ascii="Times New Roman" w:eastAsia="Times New Roman" w:hAnsi="Times New Roman" w:cs="Times New Roman"/>
                <w:b w:val="0"/>
                <w:sz w:val="24"/>
                <w:szCs w:val="24"/>
              </w:rPr>
              <w:t xml:space="preserve"> – ZA)</w:t>
            </w:r>
          </w:p>
        </w:tc>
        <w:tc>
          <w:tcPr>
            <w:tcW w:w="2614" w:type="dxa"/>
            <w:vAlign w:val="center"/>
          </w:tcPr>
          <w:p w14:paraId="1056B02E"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17 444 889</w:t>
            </w:r>
          </w:p>
        </w:tc>
        <w:tc>
          <w:tcPr>
            <w:tcW w:w="2843" w:type="dxa"/>
            <w:vAlign w:val="center"/>
          </w:tcPr>
          <w:p w14:paraId="68B186E9"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104 351 791</w:t>
            </w:r>
          </w:p>
        </w:tc>
      </w:tr>
      <w:tr w:rsidR="00F1590E" w14:paraId="1B8FD809" w14:textId="77777777">
        <w:trPr>
          <w:trHeight w:val="452"/>
        </w:trPr>
        <w:tc>
          <w:tcPr>
            <w:tcW w:w="9535" w:type="dxa"/>
          </w:tcPr>
          <w:p w14:paraId="53E6E26B"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10. Излишек (недостаток) собственных оборотных средств  и долгосрочных заемных средств для формирования запасов и затрат (ΔE</w:t>
            </w:r>
            <w:r>
              <w:rPr>
                <w:rFonts w:ascii="Times New Roman" w:eastAsia="Times New Roman" w:hAnsi="Times New Roman" w:cs="Times New Roman"/>
                <w:b w:val="0"/>
                <w:sz w:val="24"/>
                <w:szCs w:val="24"/>
                <w:vertAlign w:val="superscript"/>
              </w:rPr>
              <w:t xml:space="preserve">D  </w:t>
            </w:r>
            <w:r>
              <w:rPr>
                <w:rFonts w:ascii="Times New Roman" w:eastAsia="Times New Roman" w:hAnsi="Times New Roman" w:cs="Times New Roman"/>
                <w:b w:val="0"/>
                <w:sz w:val="24"/>
                <w:szCs w:val="24"/>
              </w:rPr>
              <w:t>= E</w:t>
            </w:r>
            <w:r>
              <w:rPr>
                <w:rFonts w:ascii="Times New Roman" w:eastAsia="Times New Roman" w:hAnsi="Times New Roman" w:cs="Times New Roman"/>
                <w:b w:val="0"/>
                <w:sz w:val="24"/>
                <w:szCs w:val="24"/>
                <w:vertAlign w:val="superscript"/>
              </w:rPr>
              <w:t>D</w:t>
            </w:r>
            <w:r>
              <w:rPr>
                <w:rFonts w:ascii="Times New Roman" w:eastAsia="Times New Roman" w:hAnsi="Times New Roman" w:cs="Times New Roman"/>
                <w:b w:val="0"/>
                <w:sz w:val="24"/>
                <w:szCs w:val="24"/>
              </w:rPr>
              <w:t xml:space="preserve"> – ZA)</w:t>
            </w:r>
          </w:p>
        </w:tc>
        <w:tc>
          <w:tcPr>
            <w:tcW w:w="2614" w:type="dxa"/>
            <w:vAlign w:val="center"/>
          </w:tcPr>
          <w:p w14:paraId="5B891117"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44 994 373</w:t>
            </w:r>
          </w:p>
        </w:tc>
        <w:tc>
          <w:tcPr>
            <w:tcW w:w="2843" w:type="dxa"/>
            <w:vAlign w:val="center"/>
          </w:tcPr>
          <w:p w14:paraId="3461809D"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6 754 312</w:t>
            </w:r>
          </w:p>
        </w:tc>
      </w:tr>
      <w:tr w:rsidR="00F1590E" w14:paraId="02249FE8" w14:textId="77777777">
        <w:trPr>
          <w:trHeight w:val="324"/>
        </w:trPr>
        <w:tc>
          <w:tcPr>
            <w:tcW w:w="9535" w:type="dxa"/>
          </w:tcPr>
          <w:p w14:paraId="785F924E"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11. Излишек (недостаток) общей величины основных источников формирования запасов и затрат (ΔE</w:t>
            </w:r>
            <w:sdt>
              <w:sdtPr>
                <w:tag w:val="goog_rdk_16"/>
                <w:id w:val="849530793"/>
              </w:sdtPr>
              <w:sdtContent>
                <w:r>
                  <w:rPr>
                    <w:rFonts w:ascii="Gungsuh" w:eastAsia="Gungsuh" w:hAnsi="Gungsuh" w:cs="Gungsuh"/>
                    <w:b w:val="0"/>
                    <w:sz w:val="24"/>
                    <w:szCs w:val="24"/>
                    <w:vertAlign w:val="superscript"/>
                  </w:rPr>
                  <w:t xml:space="preserve">∑  </w:t>
                </w:r>
              </w:sdtContent>
            </w:sdt>
            <w:r>
              <w:rPr>
                <w:rFonts w:ascii="Times New Roman" w:eastAsia="Times New Roman" w:hAnsi="Times New Roman" w:cs="Times New Roman"/>
                <w:b w:val="0"/>
                <w:sz w:val="24"/>
                <w:szCs w:val="24"/>
              </w:rPr>
              <w:t>= E</w:t>
            </w:r>
            <w:sdt>
              <w:sdtPr>
                <w:tag w:val="goog_rdk_17"/>
                <w:id w:val="-180282560"/>
              </w:sdtPr>
              <w:sdtContent>
                <w:r>
                  <w:rPr>
                    <w:rFonts w:ascii="Gungsuh" w:eastAsia="Gungsuh" w:hAnsi="Gungsuh" w:cs="Gungsuh"/>
                    <w:b w:val="0"/>
                    <w:sz w:val="24"/>
                    <w:szCs w:val="24"/>
                    <w:vertAlign w:val="superscript"/>
                  </w:rPr>
                  <w:t>∑</w:t>
                </w:r>
              </w:sdtContent>
            </w:sdt>
            <w:r>
              <w:rPr>
                <w:rFonts w:ascii="Times New Roman" w:eastAsia="Times New Roman" w:hAnsi="Times New Roman" w:cs="Times New Roman"/>
                <w:b w:val="0"/>
                <w:sz w:val="24"/>
                <w:szCs w:val="24"/>
              </w:rPr>
              <w:t xml:space="preserve"> – ZA)</w:t>
            </w:r>
          </w:p>
        </w:tc>
        <w:tc>
          <w:tcPr>
            <w:tcW w:w="2614" w:type="dxa"/>
            <w:vAlign w:val="center"/>
          </w:tcPr>
          <w:p w14:paraId="057CADA8"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110 013 793</w:t>
            </w:r>
          </w:p>
        </w:tc>
        <w:tc>
          <w:tcPr>
            <w:tcW w:w="2843" w:type="dxa"/>
            <w:vAlign w:val="center"/>
          </w:tcPr>
          <w:p w14:paraId="1B1EA820"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98 345 457</w:t>
            </w:r>
          </w:p>
        </w:tc>
      </w:tr>
      <w:tr w:rsidR="00F1590E" w14:paraId="082B005D" w14:textId="77777777">
        <w:trPr>
          <w:trHeight w:val="179"/>
        </w:trPr>
        <w:tc>
          <w:tcPr>
            <w:tcW w:w="9535" w:type="dxa"/>
          </w:tcPr>
          <w:p w14:paraId="5217374F"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12. Трехкомпонентный показатель типа финансовой устойчивости (S), (строка 9,10,11)</w:t>
            </w:r>
          </w:p>
        </w:tc>
        <w:tc>
          <w:tcPr>
            <w:tcW w:w="2614" w:type="dxa"/>
            <w:vAlign w:val="center"/>
          </w:tcPr>
          <w:p w14:paraId="5FB1BC19"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(0,1,1)</w:t>
            </w:r>
          </w:p>
        </w:tc>
        <w:tc>
          <w:tcPr>
            <w:tcW w:w="2843" w:type="dxa"/>
            <w:vAlign w:val="center"/>
          </w:tcPr>
          <w:p w14:paraId="4089F93A" w14:textId="77777777" w:rsidR="00F1590E" w:rsidRDefault="000C419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(0,0,1)</w:t>
            </w:r>
          </w:p>
        </w:tc>
      </w:tr>
    </w:tbl>
    <w:p w14:paraId="74B99E8A"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Показатели обеспеченности запасов и затрат источниками их формирования (ΔE</w:t>
      </w:r>
      <w:r>
        <w:rPr>
          <w:rFonts w:ascii="Times New Roman" w:eastAsia="Times New Roman" w:hAnsi="Times New Roman" w:cs="Times New Roman"/>
          <w:b w:val="0"/>
          <w:sz w:val="28"/>
          <w:szCs w:val="28"/>
          <w:vertAlign w:val="superscript"/>
        </w:rPr>
        <w:t>C</w:t>
      </w:r>
      <w:r>
        <w:rPr>
          <w:rFonts w:ascii="Times New Roman" w:eastAsia="Times New Roman" w:hAnsi="Times New Roman" w:cs="Times New Roman"/>
          <w:b w:val="0"/>
          <w:sz w:val="28"/>
          <w:szCs w:val="28"/>
        </w:rPr>
        <w:t>, ΔE</w:t>
      </w:r>
      <w:r>
        <w:rPr>
          <w:rFonts w:ascii="Times New Roman" w:eastAsia="Times New Roman" w:hAnsi="Times New Roman" w:cs="Times New Roman"/>
          <w:b w:val="0"/>
          <w:sz w:val="28"/>
          <w:szCs w:val="28"/>
          <w:vertAlign w:val="superscript"/>
        </w:rPr>
        <w:t>D</w:t>
      </w:r>
      <w:r>
        <w:rPr>
          <w:rFonts w:ascii="Times New Roman" w:eastAsia="Times New Roman" w:hAnsi="Times New Roman" w:cs="Times New Roman"/>
          <w:b w:val="0"/>
          <w:sz w:val="28"/>
          <w:szCs w:val="28"/>
        </w:rPr>
        <w:t>, ΔE</w:t>
      </w:r>
      <w:sdt>
        <w:sdtPr>
          <w:tag w:val="goog_rdk_18"/>
          <w:id w:val="-1008981101"/>
        </w:sdtPr>
        <w:sdtContent>
          <w:r>
            <w:rPr>
              <w:rFonts w:ascii="Gungsuh" w:eastAsia="Gungsuh" w:hAnsi="Gungsuh" w:cs="Gungsuh"/>
              <w:b w:val="0"/>
              <w:sz w:val="28"/>
              <w:szCs w:val="28"/>
              <w:vertAlign w:val="superscript"/>
            </w:rPr>
            <w:t>∑</w:t>
          </w:r>
        </w:sdtContent>
      </w:sdt>
      <w:r>
        <w:rPr>
          <w:rFonts w:ascii="Times New Roman" w:eastAsia="Times New Roman" w:hAnsi="Times New Roman" w:cs="Times New Roman"/>
          <w:b w:val="0"/>
          <w:sz w:val="28"/>
          <w:szCs w:val="28"/>
        </w:rPr>
        <w:t>) являются базой для классификации финансового положения организации по степени устойчивости.</w:t>
      </w:r>
    </w:p>
    <w:p w14:paraId="1003FB2A"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При определении типа финансовой устойчивости следует использовать трехмерный (трехкомпонентный) показатель: </w:t>
      </w:r>
    </w:p>
    <w:p w14:paraId="03C72472" w14:textId="77777777" w:rsidR="00F1590E" w:rsidRPr="000C4199" w:rsidRDefault="000C4199">
      <w:pPr>
        <w:pStyle w:val="1"/>
        <w:widowControl w:val="0"/>
        <w:spacing w:before="0" w:after="0" w:line="360" w:lineRule="auto"/>
        <w:ind w:firstLine="708"/>
        <w:jc w:val="both"/>
        <w:rPr>
          <w:rFonts w:ascii="Times New Roman" w:eastAsia="Times New Roman" w:hAnsi="Times New Roman" w:cs="Times New Roman"/>
          <w:b w:val="0"/>
          <w:sz w:val="28"/>
          <w:szCs w:val="28"/>
          <w:lang w:val="en-US"/>
        </w:rPr>
      </w:pPr>
      <w:r w:rsidRPr="000C4199">
        <w:rPr>
          <w:rFonts w:ascii="Times New Roman" w:eastAsia="Times New Roman" w:hAnsi="Times New Roman" w:cs="Times New Roman"/>
          <w:b w:val="0"/>
          <w:sz w:val="28"/>
          <w:szCs w:val="28"/>
          <w:lang w:val="en-US"/>
        </w:rPr>
        <w:t>S = {S</w:t>
      </w:r>
      <w:r w:rsidRPr="000C4199">
        <w:rPr>
          <w:rFonts w:ascii="Times New Roman" w:eastAsia="Times New Roman" w:hAnsi="Times New Roman" w:cs="Times New Roman"/>
          <w:b w:val="0"/>
          <w:sz w:val="28"/>
          <w:szCs w:val="28"/>
          <w:vertAlign w:val="subscript"/>
          <w:lang w:val="en-US"/>
        </w:rPr>
        <w:t>1</w:t>
      </w:r>
      <w:r w:rsidRPr="000C4199">
        <w:rPr>
          <w:rFonts w:ascii="Times New Roman" w:eastAsia="Times New Roman" w:hAnsi="Times New Roman" w:cs="Times New Roman"/>
          <w:b w:val="0"/>
          <w:sz w:val="28"/>
          <w:szCs w:val="28"/>
          <w:lang w:val="en-US"/>
        </w:rPr>
        <w:t>(x</w:t>
      </w:r>
      <w:r w:rsidRPr="000C4199">
        <w:rPr>
          <w:rFonts w:ascii="Times New Roman" w:eastAsia="Times New Roman" w:hAnsi="Times New Roman" w:cs="Times New Roman"/>
          <w:b w:val="0"/>
          <w:sz w:val="28"/>
          <w:szCs w:val="28"/>
          <w:vertAlign w:val="subscript"/>
          <w:lang w:val="en-US"/>
        </w:rPr>
        <w:t>1</w:t>
      </w:r>
      <w:r w:rsidRPr="000C4199">
        <w:rPr>
          <w:rFonts w:ascii="Times New Roman" w:eastAsia="Times New Roman" w:hAnsi="Times New Roman" w:cs="Times New Roman"/>
          <w:b w:val="0"/>
          <w:sz w:val="28"/>
          <w:szCs w:val="28"/>
          <w:lang w:val="en-US"/>
        </w:rPr>
        <w:t>); S</w:t>
      </w:r>
      <w:r w:rsidRPr="000C4199">
        <w:rPr>
          <w:rFonts w:ascii="Times New Roman" w:eastAsia="Times New Roman" w:hAnsi="Times New Roman" w:cs="Times New Roman"/>
          <w:b w:val="0"/>
          <w:sz w:val="28"/>
          <w:szCs w:val="28"/>
          <w:vertAlign w:val="subscript"/>
          <w:lang w:val="en-US"/>
        </w:rPr>
        <w:t>2</w:t>
      </w:r>
      <w:r w:rsidRPr="000C4199">
        <w:rPr>
          <w:rFonts w:ascii="Times New Roman" w:eastAsia="Times New Roman" w:hAnsi="Times New Roman" w:cs="Times New Roman"/>
          <w:b w:val="0"/>
          <w:sz w:val="28"/>
          <w:szCs w:val="28"/>
          <w:lang w:val="en-US"/>
        </w:rPr>
        <w:t>(x</w:t>
      </w:r>
      <w:r w:rsidRPr="000C4199">
        <w:rPr>
          <w:rFonts w:ascii="Times New Roman" w:eastAsia="Times New Roman" w:hAnsi="Times New Roman" w:cs="Times New Roman"/>
          <w:b w:val="0"/>
          <w:sz w:val="28"/>
          <w:szCs w:val="28"/>
          <w:vertAlign w:val="subscript"/>
          <w:lang w:val="en-US"/>
        </w:rPr>
        <w:t>2</w:t>
      </w:r>
      <w:r w:rsidRPr="000C4199">
        <w:rPr>
          <w:rFonts w:ascii="Times New Roman" w:eastAsia="Times New Roman" w:hAnsi="Times New Roman" w:cs="Times New Roman"/>
          <w:b w:val="0"/>
          <w:sz w:val="28"/>
          <w:szCs w:val="28"/>
          <w:lang w:val="en-US"/>
        </w:rPr>
        <w:t>); S</w:t>
      </w:r>
      <w:r w:rsidRPr="000C4199">
        <w:rPr>
          <w:rFonts w:ascii="Times New Roman" w:eastAsia="Times New Roman" w:hAnsi="Times New Roman" w:cs="Times New Roman"/>
          <w:b w:val="0"/>
          <w:sz w:val="28"/>
          <w:szCs w:val="28"/>
          <w:vertAlign w:val="subscript"/>
          <w:lang w:val="en-US"/>
        </w:rPr>
        <w:t>3</w:t>
      </w:r>
      <w:r w:rsidRPr="000C4199">
        <w:rPr>
          <w:rFonts w:ascii="Times New Roman" w:eastAsia="Times New Roman" w:hAnsi="Times New Roman" w:cs="Times New Roman"/>
          <w:b w:val="0"/>
          <w:sz w:val="28"/>
          <w:szCs w:val="28"/>
          <w:lang w:val="en-US"/>
        </w:rPr>
        <w:t>(x</w:t>
      </w:r>
      <w:r w:rsidRPr="000C4199">
        <w:rPr>
          <w:rFonts w:ascii="Times New Roman" w:eastAsia="Times New Roman" w:hAnsi="Times New Roman" w:cs="Times New Roman"/>
          <w:b w:val="0"/>
          <w:sz w:val="28"/>
          <w:szCs w:val="28"/>
          <w:vertAlign w:val="subscript"/>
          <w:lang w:val="en-US"/>
        </w:rPr>
        <w:t>3</w:t>
      </w:r>
      <w:r w:rsidRPr="000C4199">
        <w:rPr>
          <w:rFonts w:ascii="Times New Roman" w:eastAsia="Times New Roman" w:hAnsi="Times New Roman" w:cs="Times New Roman"/>
          <w:b w:val="0"/>
          <w:sz w:val="28"/>
          <w:szCs w:val="28"/>
          <w:lang w:val="en-US"/>
        </w:rPr>
        <w:t>)},</w:t>
      </w:r>
    </w:p>
    <w:p w14:paraId="09CDE702" w14:textId="77777777" w:rsidR="00F1590E" w:rsidRPr="000C4199" w:rsidRDefault="000C4199">
      <w:pPr>
        <w:pStyle w:val="1"/>
        <w:widowControl w:val="0"/>
        <w:spacing w:before="0" w:after="0" w:line="360" w:lineRule="auto"/>
        <w:ind w:firstLine="708"/>
        <w:jc w:val="both"/>
        <w:rPr>
          <w:rFonts w:ascii="Times New Roman" w:eastAsia="Times New Roman" w:hAnsi="Times New Roman" w:cs="Times New Roman"/>
          <w:b w:val="0"/>
          <w:sz w:val="28"/>
          <w:szCs w:val="28"/>
          <w:lang w:val="en-US"/>
        </w:rPr>
      </w:pPr>
      <w:r>
        <w:rPr>
          <w:rFonts w:ascii="Times New Roman" w:eastAsia="Times New Roman" w:hAnsi="Times New Roman" w:cs="Times New Roman"/>
          <w:b w:val="0"/>
          <w:sz w:val="28"/>
          <w:szCs w:val="28"/>
        </w:rPr>
        <w:t>где</w:t>
      </w:r>
      <w:r w:rsidRPr="000C4199">
        <w:rPr>
          <w:rFonts w:ascii="Times New Roman" w:eastAsia="Times New Roman" w:hAnsi="Times New Roman" w:cs="Times New Roman"/>
          <w:b w:val="0"/>
          <w:sz w:val="28"/>
          <w:szCs w:val="28"/>
          <w:lang w:val="en-US"/>
        </w:rPr>
        <w:t xml:space="preserve"> x</w:t>
      </w:r>
      <w:r w:rsidRPr="000C4199">
        <w:rPr>
          <w:rFonts w:ascii="Times New Roman" w:eastAsia="Times New Roman" w:hAnsi="Times New Roman" w:cs="Times New Roman"/>
          <w:b w:val="0"/>
          <w:sz w:val="28"/>
          <w:szCs w:val="28"/>
          <w:vertAlign w:val="subscript"/>
          <w:lang w:val="en-US"/>
        </w:rPr>
        <w:t xml:space="preserve">1 </w:t>
      </w:r>
      <w:r w:rsidRPr="000C4199">
        <w:rPr>
          <w:rFonts w:ascii="Times New Roman" w:eastAsia="Times New Roman" w:hAnsi="Times New Roman" w:cs="Times New Roman"/>
          <w:b w:val="0"/>
          <w:sz w:val="28"/>
          <w:szCs w:val="28"/>
          <w:lang w:val="en-US"/>
        </w:rPr>
        <w:t xml:space="preserve">= </w:t>
      </w:r>
      <w:r>
        <w:rPr>
          <w:rFonts w:ascii="Times New Roman" w:eastAsia="Times New Roman" w:hAnsi="Times New Roman" w:cs="Times New Roman"/>
          <w:b w:val="0"/>
          <w:sz w:val="28"/>
          <w:szCs w:val="28"/>
        </w:rPr>
        <w:t>Δ</w:t>
      </w:r>
      <w:r w:rsidRPr="000C4199">
        <w:rPr>
          <w:rFonts w:ascii="Times New Roman" w:eastAsia="Times New Roman" w:hAnsi="Times New Roman" w:cs="Times New Roman"/>
          <w:b w:val="0"/>
          <w:sz w:val="28"/>
          <w:szCs w:val="28"/>
          <w:lang w:val="en-US"/>
        </w:rPr>
        <w:t>E</w:t>
      </w:r>
      <w:r w:rsidRPr="000C4199">
        <w:rPr>
          <w:rFonts w:ascii="Times New Roman" w:eastAsia="Times New Roman" w:hAnsi="Times New Roman" w:cs="Times New Roman"/>
          <w:b w:val="0"/>
          <w:sz w:val="28"/>
          <w:szCs w:val="28"/>
          <w:vertAlign w:val="superscript"/>
          <w:lang w:val="en-US"/>
        </w:rPr>
        <w:t>C</w:t>
      </w:r>
      <w:r w:rsidRPr="000C4199">
        <w:rPr>
          <w:rFonts w:ascii="Times New Roman" w:eastAsia="Times New Roman" w:hAnsi="Times New Roman" w:cs="Times New Roman"/>
          <w:b w:val="0"/>
          <w:sz w:val="28"/>
          <w:szCs w:val="28"/>
          <w:lang w:val="en-US"/>
        </w:rPr>
        <w:t>;</w:t>
      </w:r>
    </w:p>
    <w:p w14:paraId="3B23F70B"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sidRPr="000C4199">
        <w:rPr>
          <w:rFonts w:ascii="Times New Roman" w:eastAsia="Times New Roman" w:hAnsi="Times New Roman" w:cs="Times New Roman"/>
          <w:b w:val="0"/>
          <w:sz w:val="28"/>
          <w:szCs w:val="28"/>
          <w:lang w:val="en-US"/>
        </w:rPr>
        <w:t xml:space="preserve">       </w:t>
      </w:r>
      <w:r>
        <w:rPr>
          <w:rFonts w:ascii="Times New Roman" w:eastAsia="Times New Roman" w:hAnsi="Times New Roman" w:cs="Times New Roman"/>
          <w:b w:val="0"/>
          <w:sz w:val="28"/>
          <w:szCs w:val="28"/>
        </w:rPr>
        <w:t>x</w:t>
      </w:r>
      <w:r>
        <w:rPr>
          <w:rFonts w:ascii="Times New Roman" w:eastAsia="Times New Roman" w:hAnsi="Times New Roman" w:cs="Times New Roman"/>
          <w:b w:val="0"/>
          <w:sz w:val="28"/>
          <w:szCs w:val="28"/>
          <w:vertAlign w:val="subscript"/>
        </w:rPr>
        <w:t xml:space="preserve">2 </w:t>
      </w:r>
      <w:r>
        <w:rPr>
          <w:rFonts w:ascii="Times New Roman" w:eastAsia="Times New Roman" w:hAnsi="Times New Roman" w:cs="Times New Roman"/>
          <w:b w:val="0"/>
          <w:sz w:val="28"/>
          <w:szCs w:val="28"/>
        </w:rPr>
        <w:t>= ΔE</w:t>
      </w:r>
      <w:r>
        <w:rPr>
          <w:rFonts w:ascii="Times New Roman" w:eastAsia="Times New Roman" w:hAnsi="Times New Roman" w:cs="Times New Roman"/>
          <w:b w:val="0"/>
          <w:sz w:val="28"/>
          <w:szCs w:val="28"/>
          <w:vertAlign w:val="superscript"/>
        </w:rPr>
        <w:t>D</w:t>
      </w:r>
      <w:r>
        <w:rPr>
          <w:rFonts w:ascii="Times New Roman" w:eastAsia="Times New Roman" w:hAnsi="Times New Roman" w:cs="Times New Roman"/>
          <w:b w:val="0"/>
          <w:sz w:val="28"/>
          <w:szCs w:val="28"/>
        </w:rPr>
        <w:t>;</w:t>
      </w:r>
    </w:p>
    <w:p w14:paraId="6DC92720"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x</w:t>
      </w:r>
      <w:r>
        <w:rPr>
          <w:rFonts w:ascii="Times New Roman" w:eastAsia="Times New Roman" w:hAnsi="Times New Roman" w:cs="Times New Roman"/>
          <w:b w:val="0"/>
          <w:sz w:val="28"/>
          <w:szCs w:val="28"/>
          <w:vertAlign w:val="subscript"/>
        </w:rPr>
        <w:t xml:space="preserve">2 </w:t>
      </w:r>
      <w:r>
        <w:rPr>
          <w:rFonts w:ascii="Times New Roman" w:eastAsia="Times New Roman" w:hAnsi="Times New Roman" w:cs="Times New Roman"/>
          <w:b w:val="0"/>
          <w:sz w:val="28"/>
          <w:szCs w:val="28"/>
        </w:rPr>
        <w:t>= ΔE</w:t>
      </w:r>
      <w:sdt>
        <w:sdtPr>
          <w:tag w:val="goog_rdk_19"/>
          <w:id w:val="-418793007"/>
        </w:sdtPr>
        <w:sdtContent>
          <w:r>
            <w:rPr>
              <w:rFonts w:ascii="Gungsuh" w:eastAsia="Gungsuh" w:hAnsi="Gungsuh" w:cs="Gungsuh"/>
              <w:b w:val="0"/>
              <w:sz w:val="28"/>
              <w:szCs w:val="28"/>
              <w:vertAlign w:val="superscript"/>
            </w:rPr>
            <w:t>∑</w:t>
          </w:r>
        </w:sdtContent>
      </w:sdt>
      <w:r>
        <w:rPr>
          <w:rFonts w:ascii="Times New Roman" w:eastAsia="Times New Roman" w:hAnsi="Times New Roman" w:cs="Times New Roman"/>
          <w:b w:val="0"/>
          <w:sz w:val="28"/>
          <w:szCs w:val="28"/>
        </w:rPr>
        <w:t>.</w:t>
      </w:r>
    </w:p>
    <w:p w14:paraId="58EEF76D"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Функция S(x) определяется следующим образом:</w:t>
      </w:r>
    </w:p>
    <w:p w14:paraId="6296F3BA" w14:textId="77777777" w:rsidR="00F1590E" w:rsidRDefault="00000000">
      <w:pPr>
        <w:pStyle w:val="1"/>
        <w:widowControl w:val="0"/>
        <w:spacing w:before="0" w:after="0" w:line="360" w:lineRule="auto"/>
        <w:ind w:firstLine="708"/>
        <w:jc w:val="both"/>
        <w:rPr>
          <w:rFonts w:ascii="Times New Roman" w:eastAsia="Times New Roman" w:hAnsi="Times New Roman" w:cs="Times New Roman"/>
          <w:b w:val="0"/>
          <w:sz w:val="28"/>
          <w:szCs w:val="28"/>
        </w:rPr>
      </w:pPr>
      <w:sdt>
        <w:sdtPr>
          <w:tag w:val="goog_rdk_20"/>
          <w:id w:val="-423504399"/>
        </w:sdtPr>
        <w:sdtContent>
          <w:r w:rsidR="000C4199">
            <w:rPr>
              <w:rFonts w:ascii="Gungsuh" w:eastAsia="Gungsuh" w:hAnsi="Gungsuh" w:cs="Gungsuh"/>
              <w:b w:val="0"/>
              <w:sz w:val="28"/>
              <w:szCs w:val="28"/>
            </w:rPr>
            <w:t>S(x) = 1, если x ≥ 0;</w:t>
          </w:r>
        </w:sdtContent>
      </w:sdt>
    </w:p>
    <w:p w14:paraId="54110C52" w14:textId="77777777" w:rsidR="00F1590E" w:rsidRDefault="00000000">
      <w:pPr>
        <w:pStyle w:val="1"/>
        <w:widowControl w:val="0"/>
        <w:spacing w:before="0" w:after="0" w:line="360" w:lineRule="auto"/>
        <w:ind w:firstLine="708"/>
        <w:jc w:val="both"/>
        <w:rPr>
          <w:rFonts w:ascii="Times New Roman" w:eastAsia="Times New Roman" w:hAnsi="Times New Roman" w:cs="Times New Roman"/>
          <w:b w:val="0"/>
          <w:sz w:val="28"/>
          <w:szCs w:val="28"/>
        </w:rPr>
      </w:pPr>
      <w:sdt>
        <w:sdtPr>
          <w:tag w:val="goog_rdk_21"/>
          <w:id w:val="-333375833"/>
        </w:sdtPr>
        <w:sdtContent>
          <w:r w:rsidR="000C4199">
            <w:rPr>
              <w:rFonts w:ascii="Gungsuh" w:eastAsia="Gungsuh" w:hAnsi="Gungsuh" w:cs="Gungsuh"/>
              <w:b w:val="0"/>
              <w:sz w:val="28"/>
              <w:szCs w:val="28"/>
            </w:rPr>
            <w:t>S(x) = 0, если x ≤ 0.</w:t>
          </w:r>
        </w:sdtContent>
      </w:sdt>
    </w:p>
    <w:p w14:paraId="2D129941"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Выделяются четыре основных типа финансовой устойчивости организации.</w:t>
      </w:r>
    </w:p>
    <w:p w14:paraId="3D8E28EE" w14:textId="77777777" w:rsidR="00F1590E" w:rsidRDefault="000C4199">
      <w:pPr>
        <w:pStyle w:val="3"/>
        <w:spacing w:before="0"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7.2 </w:t>
      </w:r>
    </w:p>
    <w:p w14:paraId="11C515E5"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Типы финансовой устойчивости организации</w:t>
      </w:r>
    </w:p>
    <w:tbl>
      <w:tblPr>
        <w:tblStyle w:val="afa"/>
        <w:tblW w:w="143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984"/>
        <w:gridCol w:w="3686"/>
        <w:gridCol w:w="5458"/>
      </w:tblGrid>
      <w:tr w:rsidR="00F1590E" w14:paraId="22485851" w14:textId="77777777">
        <w:trPr>
          <w:trHeight w:val="806"/>
        </w:trPr>
        <w:tc>
          <w:tcPr>
            <w:tcW w:w="3227" w:type="dxa"/>
          </w:tcPr>
          <w:p w14:paraId="50E5A717"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Тип финансовой устойчивости</w:t>
            </w:r>
          </w:p>
        </w:tc>
        <w:tc>
          <w:tcPr>
            <w:tcW w:w="1984" w:type="dxa"/>
          </w:tcPr>
          <w:p w14:paraId="15480057"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Трехмерный показатель</w:t>
            </w:r>
          </w:p>
        </w:tc>
        <w:tc>
          <w:tcPr>
            <w:tcW w:w="3686" w:type="dxa"/>
          </w:tcPr>
          <w:p w14:paraId="0641BB10"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Используемые источники покрытия затрат</w:t>
            </w:r>
          </w:p>
        </w:tc>
        <w:tc>
          <w:tcPr>
            <w:tcW w:w="5458" w:type="dxa"/>
          </w:tcPr>
          <w:p w14:paraId="22B203CB"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Краткая характеристика</w:t>
            </w:r>
          </w:p>
        </w:tc>
      </w:tr>
      <w:tr w:rsidR="00F1590E" w14:paraId="2386EE35" w14:textId="77777777">
        <w:trPr>
          <w:trHeight w:val="237"/>
        </w:trPr>
        <w:tc>
          <w:tcPr>
            <w:tcW w:w="3227" w:type="dxa"/>
          </w:tcPr>
          <w:p w14:paraId="4C70DF89"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 Абсолютная финансовая устойчивость</w:t>
            </w:r>
          </w:p>
        </w:tc>
        <w:tc>
          <w:tcPr>
            <w:tcW w:w="1984" w:type="dxa"/>
            <w:vAlign w:val="center"/>
          </w:tcPr>
          <w:p w14:paraId="213C68E2" w14:textId="77777777" w:rsidR="00F1590E" w:rsidRDefault="000C4199">
            <w:pPr>
              <w:pStyle w:val="1"/>
              <w:widowControl w:val="0"/>
              <w:spacing w:before="0" w:after="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 = (1, 1, 1)</w:t>
            </w:r>
          </w:p>
        </w:tc>
        <w:tc>
          <w:tcPr>
            <w:tcW w:w="3686" w:type="dxa"/>
            <w:vAlign w:val="center"/>
          </w:tcPr>
          <w:p w14:paraId="25905EF9" w14:textId="77777777" w:rsidR="00F1590E" w:rsidRDefault="000C4199">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Собственные оборотные средства</w:t>
            </w:r>
          </w:p>
        </w:tc>
        <w:tc>
          <w:tcPr>
            <w:tcW w:w="5458" w:type="dxa"/>
          </w:tcPr>
          <w:p w14:paraId="2E984B21"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Высокая платежеспособность; организация не зависит от кредиторов</w:t>
            </w:r>
          </w:p>
        </w:tc>
      </w:tr>
      <w:tr w:rsidR="00F1590E" w14:paraId="14D4D516" w14:textId="77777777">
        <w:trPr>
          <w:trHeight w:val="959"/>
        </w:trPr>
        <w:tc>
          <w:tcPr>
            <w:tcW w:w="3227" w:type="dxa"/>
          </w:tcPr>
          <w:p w14:paraId="0A6D2A18"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 Нормальная финансовая устойчивость</w:t>
            </w:r>
          </w:p>
        </w:tc>
        <w:tc>
          <w:tcPr>
            <w:tcW w:w="1984" w:type="dxa"/>
            <w:vAlign w:val="center"/>
          </w:tcPr>
          <w:p w14:paraId="18F48F19" w14:textId="77777777" w:rsidR="00F1590E" w:rsidRDefault="000C4199">
            <w:pPr>
              <w:pStyle w:val="1"/>
              <w:widowControl w:val="0"/>
              <w:spacing w:before="0" w:after="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 = (0, 1, 1)</w:t>
            </w:r>
          </w:p>
        </w:tc>
        <w:tc>
          <w:tcPr>
            <w:tcW w:w="3686" w:type="dxa"/>
            <w:vAlign w:val="center"/>
          </w:tcPr>
          <w:p w14:paraId="79226448" w14:textId="77777777" w:rsidR="00F1590E" w:rsidRDefault="000C4199">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Собственные оборотные средства плюс долгосрочные кредиты</w:t>
            </w:r>
          </w:p>
        </w:tc>
        <w:tc>
          <w:tcPr>
            <w:tcW w:w="5458" w:type="dxa"/>
          </w:tcPr>
          <w:p w14:paraId="376E12D2"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Нормальная платежеспособность; эффективное использование заемных средств; высокая доходность производственной деятельности</w:t>
            </w:r>
          </w:p>
        </w:tc>
      </w:tr>
      <w:tr w:rsidR="00F1590E" w14:paraId="61F56A59" w14:textId="77777777">
        <w:trPr>
          <w:trHeight w:val="143"/>
        </w:trPr>
        <w:tc>
          <w:tcPr>
            <w:tcW w:w="3227" w:type="dxa"/>
          </w:tcPr>
          <w:p w14:paraId="43FF7BD1"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 Неустойчивое финансовое состояние</w:t>
            </w:r>
          </w:p>
        </w:tc>
        <w:tc>
          <w:tcPr>
            <w:tcW w:w="1984" w:type="dxa"/>
            <w:vAlign w:val="center"/>
          </w:tcPr>
          <w:p w14:paraId="3B3DDE10" w14:textId="77777777" w:rsidR="00F1590E" w:rsidRDefault="000C4199">
            <w:pPr>
              <w:pStyle w:val="1"/>
              <w:widowControl w:val="0"/>
              <w:spacing w:before="0" w:after="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 = (0, 0, 1)</w:t>
            </w:r>
          </w:p>
        </w:tc>
        <w:tc>
          <w:tcPr>
            <w:tcW w:w="3686" w:type="dxa"/>
            <w:vAlign w:val="center"/>
          </w:tcPr>
          <w:p w14:paraId="4F7CDD2F" w14:textId="77777777" w:rsidR="00F1590E" w:rsidRDefault="000C4199">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Собственные оборотные средства плюс долгосрочные и краткосрочные кредиты и займы</w:t>
            </w:r>
          </w:p>
        </w:tc>
        <w:tc>
          <w:tcPr>
            <w:tcW w:w="5458" w:type="dxa"/>
          </w:tcPr>
          <w:p w14:paraId="043E37F5"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Нарушение платежеспособности; необходимость привлечения дополнительных источников; возможность улучшения ситуации</w:t>
            </w:r>
          </w:p>
        </w:tc>
      </w:tr>
      <w:tr w:rsidR="00F1590E" w14:paraId="5AA238CB" w14:textId="77777777">
        <w:trPr>
          <w:trHeight w:val="143"/>
        </w:trPr>
        <w:tc>
          <w:tcPr>
            <w:tcW w:w="3227" w:type="dxa"/>
          </w:tcPr>
          <w:p w14:paraId="1EFDC8F4"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 Кризисное финансовое состояние</w:t>
            </w:r>
          </w:p>
        </w:tc>
        <w:tc>
          <w:tcPr>
            <w:tcW w:w="1984" w:type="dxa"/>
            <w:vAlign w:val="center"/>
          </w:tcPr>
          <w:p w14:paraId="0912EC58" w14:textId="77777777" w:rsidR="00F1590E" w:rsidRDefault="000C4199">
            <w:pPr>
              <w:pStyle w:val="1"/>
              <w:widowControl w:val="0"/>
              <w:spacing w:before="0" w:after="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 = (0, 0, 0)</w:t>
            </w:r>
          </w:p>
        </w:tc>
        <w:tc>
          <w:tcPr>
            <w:tcW w:w="3686" w:type="dxa"/>
            <w:vAlign w:val="center"/>
          </w:tcPr>
          <w:p w14:paraId="3601AC2F" w14:textId="77777777" w:rsidR="00F1590E" w:rsidRDefault="000C4199">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t>
            </w:r>
          </w:p>
        </w:tc>
        <w:tc>
          <w:tcPr>
            <w:tcW w:w="5458" w:type="dxa"/>
          </w:tcPr>
          <w:p w14:paraId="79375419" w14:textId="77777777" w:rsidR="00F1590E" w:rsidRDefault="000C4199">
            <w:pPr>
              <w:pStyle w:val="1"/>
              <w:widowControl w:val="0"/>
              <w:spacing w:before="0" w:after="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Неплатежеспособность организации, грань банкротства</w:t>
            </w:r>
          </w:p>
        </w:tc>
      </w:tr>
    </w:tbl>
    <w:p w14:paraId="1C69AB60" w14:textId="77777777" w:rsidR="00F1590E" w:rsidRDefault="00F1590E">
      <w:pPr>
        <w:pStyle w:val="1"/>
        <w:widowControl w:val="0"/>
        <w:spacing w:before="0" w:after="0" w:line="360" w:lineRule="auto"/>
        <w:ind w:firstLine="708"/>
        <w:jc w:val="both"/>
        <w:rPr>
          <w:rFonts w:ascii="Times New Roman" w:eastAsia="Times New Roman" w:hAnsi="Times New Roman" w:cs="Times New Roman"/>
          <w:b w:val="0"/>
          <w:sz w:val="24"/>
          <w:szCs w:val="24"/>
        </w:rPr>
      </w:pPr>
    </w:p>
    <w:p w14:paraId="1CE03D5F"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Выводы:</w:t>
      </w:r>
    </w:p>
    <w:p w14:paraId="619F2187" w14:textId="77777777" w:rsidR="00F1590E" w:rsidRDefault="000C4199">
      <w:pPr>
        <w:pStyle w:val="1"/>
        <w:widowControl w:val="0"/>
        <w:spacing w:after="0" w:line="360" w:lineRule="auto"/>
        <w:ind w:firstLine="708"/>
        <w:jc w:val="both"/>
        <w:rPr>
          <w:rFonts w:ascii="Times New Roman" w:eastAsia="Times New Roman" w:hAnsi="Times New Roman" w:cs="Times New Roman"/>
          <w:b w:val="0"/>
          <w:sz w:val="28"/>
          <w:szCs w:val="28"/>
        </w:rPr>
      </w:pPr>
      <w:bookmarkStart w:id="6" w:name="_heading=h.u0r3vv8t2gnr" w:colFirst="0" w:colLast="0"/>
      <w:bookmarkEnd w:id="6"/>
      <w:r>
        <w:rPr>
          <w:rFonts w:ascii="Times New Roman" w:eastAsia="Times New Roman" w:hAnsi="Times New Roman" w:cs="Times New Roman"/>
          <w:b w:val="0"/>
          <w:sz w:val="28"/>
          <w:szCs w:val="28"/>
        </w:rPr>
        <w:t>Анализ финансовой устойчивости организации на основании абсолютных показателей позволил установить существенные изменения в структуре источников формирования запасов и затрат. На начало отчетного года объем источников собственных средств составил 161 793 760 тыс. руб., а на конец отчетного года — 161 896 868 тыс. руб., что говорит об их незначительном увеличении. При этом внеоборотные активы за анализируемый период значительно возросли с 162 196 096 тыс. руб. до 246 338 966 тыс. руб., что привело к отрицательному значению собственных оборотных средств как на начало (-402 336 тыс. руб.), так и, особенно, на конец отчетного года (-84 442 098 тыс. руб.).</w:t>
      </w:r>
    </w:p>
    <w:p w14:paraId="30D624D7" w14:textId="77777777" w:rsidR="00F1590E" w:rsidRDefault="000C4199">
      <w:pPr>
        <w:pStyle w:val="1"/>
        <w:widowControl w:val="0"/>
        <w:spacing w:after="0" w:line="360" w:lineRule="auto"/>
        <w:ind w:firstLine="708"/>
        <w:jc w:val="both"/>
        <w:rPr>
          <w:rFonts w:ascii="Times New Roman" w:eastAsia="Times New Roman" w:hAnsi="Times New Roman" w:cs="Times New Roman"/>
          <w:b w:val="0"/>
          <w:sz w:val="28"/>
          <w:szCs w:val="28"/>
        </w:rPr>
      </w:pPr>
      <w:bookmarkStart w:id="7" w:name="_heading=h.jyqayvje2euy" w:colFirst="0" w:colLast="0"/>
      <w:bookmarkEnd w:id="7"/>
      <w:r>
        <w:rPr>
          <w:rFonts w:ascii="Times New Roman" w:eastAsia="Times New Roman" w:hAnsi="Times New Roman" w:cs="Times New Roman"/>
          <w:b w:val="0"/>
          <w:sz w:val="28"/>
          <w:szCs w:val="28"/>
        </w:rPr>
        <w:t>Объём долгосрочных кредитов и заемных средств также увеличился с 62 439 262 тыс. руб. до 97 597 479 тыс. руб., однако этого прироста оказалось недостаточно для компенсации увеличения внеоборотных активов. В результате показатель наличия собственных оборотных средств и долгосрочных заемных источников для формирования запасов и затрат (ED) существенно сократился с 62 036 926 тыс. руб. до 13 155 381 тыс. руб.</w:t>
      </w:r>
    </w:p>
    <w:bookmarkStart w:id="8" w:name="_heading=h.6z23heoiduuz" w:colFirst="0" w:colLast="0"/>
    <w:bookmarkEnd w:id="8"/>
    <w:p w14:paraId="22501C0E" w14:textId="77777777" w:rsidR="00F1590E" w:rsidRDefault="00000000">
      <w:pPr>
        <w:pStyle w:val="1"/>
        <w:widowControl w:val="0"/>
        <w:spacing w:after="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22"/>
          <w:id w:val="1221553982"/>
        </w:sdtPr>
        <w:sdtContent>
          <w:r w:rsidR="000C4199" w:rsidRPr="000C4199">
            <w:rPr>
              <w:rFonts w:ascii="Times New Roman" w:eastAsia="Times New Roman" w:hAnsi="Times New Roman" w:cs="Times New Roman"/>
              <w:b w:val="0"/>
              <w:sz w:val="28"/>
              <w:szCs w:val="28"/>
            </w:rPr>
            <w:t>Краткосрочные кредиты и займы также выросли с 65 019 420 тыс. руб. до 105 099 769 тыс. руб., однако это увеличение происходило на фоне снижения общей величины основных источников формирования запасов и затрат (E∑) с 127 056 346 тыс. руб. до 118 255 150 тыс. руб., что отражает определённое перераспределение краткосрочных обязательств без увеличения обеспеченности оборотных активов.</w:t>
          </w:r>
        </w:sdtContent>
      </w:sdt>
    </w:p>
    <w:bookmarkStart w:id="9" w:name="_heading=h.8p3gvb2mzy2b" w:colFirst="0" w:colLast="0"/>
    <w:bookmarkEnd w:id="9"/>
    <w:p w14:paraId="765117A7" w14:textId="77777777" w:rsidR="00F1590E" w:rsidRDefault="00000000">
      <w:pPr>
        <w:pStyle w:val="1"/>
        <w:widowControl w:val="0"/>
        <w:spacing w:after="0" w:line="360" w:lineRule="auto"/>
        <w:ind w:firstLine="708"/>
        <w:jc w:val="both"/>
        <w:rPr>
          <w:rFonts w:ascii="Times New Roman" w:eastAsia="Times New Roman" w:hAnsi="Times New Roman" w:cs="Times New Roman"/>
          <w:b w:val="0"/>
          <w:sz w:val="28"/>
          <w:szCs w:val="28"/>
        </w:rPr>
      </w:pPr>
      <w:sdt>
        <w:sdtPr>
          <w:rPr>
            <w:rFonts w:ascii="Times New Roman" w:eastAsia="Times New Roman" w:hAnsi="Times New Roman" w:cs="Times New Roman"/>
            <w:b w:val="0"/>
            <w:sz w:val="28"/>
            <w:szCs w:val="28"/>
          </w:rPr>
          <w:tag w:val="goog_rdk_23"/>
          <w:id w:val="-447628070"/>
        </w:sdtPr>
        <w:sdtContent>
          <w:r w:rsidR="000C4199" w:rsidRPr="000C4199">
            <w:rPr>
              <w:rFonts w:ascii="Times New Roman" w:eastAsia="Times New Roman" w:hAnsi="Times New Roman" w:cs="Times New Roman"/>
              <w:b w:val="0"/>
              <w:sz w:val="28"/>
              <w:szCs w:val="28"/>
            </w:rPr>
            <w:t>Одновременно с этим произошло увеличение величины запасов и затрат с 17 042 553 тыс. руб. до 19 909 693 тыс. руб., что при снижении доступных источников финансирования привело к значительному ухудшению всех трех показателей обеспеченности запасов. Так, дефицит собственных оборотных средств (ΔEC) увеличился с -17 444 889 тыс. руб. до -104 351 791 тыс. руб., дефицит по совокупности собственных и долгосрочных заемных средств (ΔED) изменился с положительного значения 44 994 373 тыс. руб. до отрицательного -6 754 312 тыс. руб. Несмотря на это, сохраняется положительное значение общего излишка источников формирования запасов (ΔE∑), хотя и произошло его снижение с 110 013 793 тыс. руб. до 98 345 457 тыс. руб.</w:t>
          </w:r>
        </w:sdtContent>
      </w:sdt>
    </w:p>
    <w:p w14:paraId="20056851" w14:textId="77777777" w:rsidR="00F1590E" w:rsidRDefault="000C4199">
      <w:pPr>
        <w:pStyle w:val="1"/>
        <w:widowControl w:val="0"/>
        <w:spacing w:after="0" w:line="360" w:lineRule="auto"/>
        <w:ind w:firstLine="708"/>
        <w:jc w:val="both"/>
        <w:rPr>
          <w:rFonts w:ascii="Times New Roman" w:eastAsia="Times New Roman" w:hAnsi="Times New Roman" w:cs="Times New Roman"/>
          <w:b w:val="0"/>
          <w:sz w:val="28"/>
          <w:szCs w:val="28"/>
        </w:rPr>
      </w:pPr>
      <w:bookmarkStart w:id="10" w:name="_heading=h.13nq9djl7hnm" w:colFirst="0" w:colLast="0"/>
      <w:bookmarkEnd w:id="10"/>
      <w:r>
        <w:rPr>
          <w:rFonts w:ascii="Times New Roman" w:eastAsia="Times New Roman" w:hAnsi="Times New Roman" w:cs="Times New Roman"/>
          <w:b w:val="0"/>
          <w:sz w:val="28"/>
          <w:szCs w:val="28"/>
        </w:rPr>
        <w:t>Таким образом, по состоянию на конец отчетного года трехмерный показатель устойчивости принимает значение S = (0, 0, 1), что соответствует неустойчивому финансовому состоянию организации. В такой ситуации предприятие теряет способность финансировать запасы за счет устойчивых (собственных и долгосрочных) источников и вынуждено полагаться на краткосрочные заемные средства. Это свидетельствует о наличии финансовых рисков, снижении платежеспособности и необходимости принятия управленческих решений, направленных на восстановление устойчивости: реструктуризации пассивов, сокращения дефицита собственных оборотных средств, а также повышения эффективности использования заемного капитала.</w:t>
      </w:r>
    </w:p>
    <w:p w14:paraId="0A7FAEA4" w14:textId="77777777" w:rsidR="00F1590E" w:rsidRDefault="00F1590E"/>
    <w:p w14:paraId="5F5B7A6E"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Задание 8. </w:t>
      </w:r>
      <w:r>
        <w:rPr>
          <w:rFonts w:ascii="Times New Roman" w:eastAsia="Times New Roman" w:hAnsi="Times New Roman" w:cs="Times New Roman"/>
          <w:b w:val="0"/>
          <w:sz w:val="28"/>
          <w:szCs w:val="28"/>
        </w:rPr>
        <w:t xml:space="preserve">Дать оценку финансовой устойчивости организации с помощью финансовых коэффициентов или показателей структуры капитала, охарактеризовать независимость от заемных источников (таблица 8.1). </w:t>
      </w:r>
    </w:p>
    <w:p w14:paraId="5374B849" w14:textId="77777777" w:rsidR="00F1590E" w:rsidRDefault="000C4199">
      <w:pPr>
        <w:pStyle w:val="1"/>
        <w:widowControl w:val="0"/>
        <w:spacing w:before="0" w:after="0"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8.1</w:t>
      </w:r>
    </w:p>
    <w:p w14:paraId="3FCE98B1"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показатели финансовой устойчивости организации</w:t>
      </w:r>
    </w:p>
    <w:tbl>
      <w:tblPr>
        <w:tblStyle w:val="afb"/>
        <w:tblW w:w="13899"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11"/>
        <w:gridCol w:w="1654"/>
        <w:gridCol w:w="1616"/>
        <w:gridCol w:w="1648"/>
        <w:gridCol w:w="5570"/>
      </w:tblGrid>
      <w:tr w:rsidR="00F1590E" w14:paraId="69E41D65" w14:textId="77777777">
        <w:trPr>
          <w:jc w:val="center"/>
        </w:trPr>
        <w:tc>
          <w:tcPr>
            <w:tcW w:w="3411" w:type="dxa"/>
            <w:vMerge w:val="restart"/>
            <w:tcBorders>
              <w:top w:val="single" w:sz="6" w:space="0" w:color="000000"/>
              <w:left w:val="single" w:sz="6" w:space="0" w:color="000000"/>
              <w:bottom w:val="single" w:sz="6" w:space="0" w:color="000000"/>
              <w:right w:val="single" w:sz="6" w:space="0" w:color="000000"/>
            </w:tcBorders>
            <w:vAlign w:val="center"/>
          </w:tcPr>
          <w:p w14:paraId="73C4A5C6" w14:textId="77777777" w:rsidR="00F1590E" w:rsidRDefault="000C4199">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Показатель</w:t>
            </w:r>
          </w:p>
        </w:tc>
        <w:tc>
          <w:tcPr>
            <w:tcW w:w="3270" w:type="dxa"/>
            <w:gridSpan w:val="2"/>
            <w:tcBorders>
              <w:top w:val="single" w:sz="6" w:space="0" w:color="000000"/>
              <w:left w:val="single" w:sz="6" w:space="0" w:color="000000"/>
              <w:bottom w:val="single" w:sz="6" w:space="0" w:color="000000"/>
              <w:right w:val="single" w:sz="6" w:space="0" w:color="000000"/>
            </w:tcBorders>
            <w:vAlign w:val="center"/>
          </w:tcPr>
          <w:p w14:paraId="5A189736" w14:textId="77777777" w:rsidR="00F1590E" w:rsidRDefault="000C4199">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Значение показателя</w:t>
            </w:r>
          </w:p>
        </w:tc>
        <w:tc>
          <w:tcPr>
            <w:tcW w:w="1648" w:type="dxa"/>
            <w:vMerge w:val="restart"/>
            <w:tcBorders>
              <w:top w:val="single" w:sz="6" w:space="0" w:color="000000"/>
              <w:left w:val="single" w:sz="6" w:space="0" w:color="000000"/>
              <w:bottom w:val="single" w:sz="6" w:space="0" w:color="000000"/>
              <w:right w:val="single" w:sz="6" w:space="0" w:color="000000"/>
            </w:tcBorders>
            <w:vAlign w:val="center"/>
          </w:tcPr>
          <w:p w14:paraId="7C6DDD3D" w14:textId="77777777" w:rsidR="00F1590E" w:rsidRDefault="000C4199">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Изменение показателя</w:t>
            </w:r>
          </w:p>
        </w:tc>
        <w:tc>
          <w:tcPr>
            <w:tcW w:w="5570" w:type="dxa"/>
            <w:vMerge w:val="restart"/>
            <w:tcBorders>
              <w:top w:val="single" w:sz="6" w:space="0" w:color="000000"/>
              <w:left w:val="single" w:sz="6" w:space="0" w:color="000000"/>
              <w:bottom w:val="single" w:sz="6" w:space="0" w:color="000000"/>
              <w:right w:val="single" w:sz="6" w:space="0" w:color="000000"/>
            </w:tcBorders>
            <w:vAlign w:val="center"/>
          </w:tcPr>
          <w:p w14:paraId="1DCD5936" w14:textId="77777777" w:rsidR="00F1590E" w:rsidRDefault="000C4199">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 показателя и его нормативное значение</w:t>
            </w:r>
          </w:p>
        </w:tc>
      </w:tr>
      <w:tr w:rsidR="00F1590E" w14:paraId="5E06F53B" w14:textId="77777777">
        <w:trPr>
          <w:jc w:val="center"/>
        </w:trPr>
        <w:tc>
          <w:tcPr>
            <w:tcW w:w="3411" w:type="dxa"/>
            <w:vMerge/>
            <w:tcBorders>
              <w:top w:val="single" w:sz="6" w:space="0" w:color="000000"/>
              <w:left w:val="single" w:sz="6" w:space="0" w:color="000000"/>
              <w:bottom w:val="single" w:sz="6" w:space="0" w:color="000000"/>
              <w:right w:val="single" w:sz="6" w:space="0" w:color="000000"/>
            </w:tcBorders>
            <w:vAlign w:val="center"/>
          </w:tcPr>
          <w:p w14:paraId="6F488F0B"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1654" w:type="dxa"/>
            <w:tcBorders>
              <w:top w:val="single" w:sz="6" w:space="0" w:color="000000"/>
              <w:left w:val="single" w:sz="6" w:space="0" w:color="000000"/>
              <w:bottom w:val="single" w:sz="6" w:space="0" w:color="000000"/>
              <w:right w:val="single" w:sz="6" w:space="0" w:color="000000"/>
            </w:tcBorders>
          </w:tcPr>
          <w:p w14:paraId="4DA493A7"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 начало отчетного года</w:t>
            </w:r>
          </w:p>
        </w:tc>
        <w:tc>
          <w:tcPr>
            <w:tcW w:w="1616" w:type="dxa"/>
            <w:tcBorders>
              <w:top w:val="single" w:sz="6" w:space="0" w:color="000000"/>
              <w:left w:val="single" w:sz="6" w:space="0" w:color="000000"/>
              <w:bottom w:val="single" w:sz="6" w:space="0" w:color="000000"/>
              <w:right w:val="single" w:sz="6" w:space="0" w:color="000000"/>
            </w:tcBorders>
          </w:tcPr>
          <w:p w14:paraId="3DC154D8"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 конец отчетного года</w:t>
            </w:r>
          </w:p>
        </w:tc>
        <w:tc>
          <w:tcPr>
            <w:tcW w:w="1648" w:type="dxa"/>
            <w:vMerge/>
            <w:tcBorders>
              <w:top w:val="single" w:sz="6" w:space="0" w:color="000000"/>
              <w:left w:val="single" w:sz="6" w:space="0" w:color="000000"/>
              <w:bottom w:val="single" w:sz="6" w:space="0" w:color="000000"/>
              <w:right w:val="single" w:sz="6" w:space="0" w:color="000000"/>
            </w:tcBorders>
            <w:vAlign w:val="center"/>
          </w:tcPr>
          <w:p w14:paraId="3CE0C0E1"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5570" w:type="dxa"/>
            <w:vMerge/>
            <w:tcBorders>
              <w:top w:val="single" w:sz="6" w:space="0" w:color="000000"/>
              <w:left w:val="single" w:sz="6" w:space="0" w:color="000000"/>
              <w:bottom w:val="single" w:sz="6" w:space="0" w:color="000000"/>
              <w:right w:val="single" w:sz="6" w:space="0" w:color="000000"/>
            </w:tcBorders>
            <w:vAlign w:val="center"/>
          </w:tcPr>
          <w:p w14:paraId="15544C7C" w14:textId="77777777" w:rsidR="00F1590E" w:rsidRDefault="00F1590E">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F1590E" w14:paraId="1B2405AB" w14:textId="77777777">
        <w:trPr>
          <w:jc w:val="center"/>
        </w:trPr>
        <w:tc>
          <w:tcPr>
            <w:tcW w:w="3411" w:type="dxa"/>
            <w:tcBorders>
              <w:top w:val="single" w:sz="6" w:space="0" w:color="000000"/>
              <w:left w:val="single" w:sz="6" w:space="0" w:color="000000"/>
              <w:bottom w:val="single" w:sz="6" w:space="0" w:color="000000"/>
              <w:right w:val="single" w:sz="6" w:space="0" w:color="000000"/>
            </w:tcBorders>
            <w:vAlign w:val="center"/>
          </w:tcPr>
          <w:p w14:paraId="4BFABD83" w14:textId="77777777" w:rsidR="00F1590E" w:rsidRDefault="000C4199">
            <w:pPr>
              <w:widowControl w:v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54" w:type="dxa"/>
            <w:tcBorders>
              <w:top w:val="single" w:sz="6" w:space="0" w:color="000000"/>
              <w:left w:val="single" w:sz="6" w:space="0" w:color="000000"/>
              <w:bottom w:val="single" w:sz="6" w:space="0" w:color="000000"/>
              <w:right w:val="single" w:sz="6" w:space="0" w:color="000000"/>
            </w:tcBorders>
            <w:vAlign w:val="center"/>
          </w:tcPr>
          <w:p w14:paraId="6D4525B3" w14:textId="77777777" w:rsidR="00F1590E" w:rsidRDefault="000C4199">
            <w:pPr>
              <w:widowControl w:v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16" w:type="dxa"/>
            <w:tcBorders>
              <w:top w:val="single" w:sz="6" w:space="0" w:color="000000"/>
              <w:left w:val="single" w:sz="6" w:space="0" w:color="000000"/>
              <w:bottom w:val="single" w:sz="6" w:space="0" w:color="000000"/>
              <w:right w:val="single" w:sz="6" w:space="0" w:color="000000"/>
            </w:tcBorders>
            <w:vAlign w:val="center"/>
          </w:tcPr>
          <w:p w14:paraId="10C43F70" w14:textId="77777777" w:rsidR="00F1590E" w:rsidRDefault="000C4199">
            <w:pPr>
              <w:widowControl w:v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48" w:type="dxa"/>
            <w:tcBorders>
              <w:top w:val="single" w:sz="6" w:space="0" w:color="000000"/>
              <w:left w:val="single" w:sz="6" w:space="0" w:color="000000"/>
              <w:bottom w:val="single" w:sz="6" w:space="0" w:color="000000"/>
              <w:right w:val="single" w:sz="6" w:space="0" w:color="000000"/>
            </w:tcBorders>
            <w:vAlign w:val="center"/>
          </w:tcPr>
          <w:p w14:paraId="53C26575" w14:textId="77777777" w:rsidR="00F1590E" w:rsidRDefault="000C4199">
            <w:pPr>
              <w:widowControl w:v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570" w:type="dxa"/>
            <w:tcBorders>
              <w:top w:val="single" w:sz="6" w:space="0" w:color="000000"/>
              <w:left w:val="single" w:sz="6" w:space="0" w:color="000000"/>
              <w:bottom w:val="single" w:sz="6" w:space="0" w:color="000000"/>
              <w:right w:val="single" w:sz="6" w:space="0" w:color="000000"/>
            </w:tcBorders>
          </w:tcPr>
          <w:p w14:paraId="63BB1510" w14:textId="77777777" w:rsidR="00F1590E" w:rsidRDefault="000C4199">
            <w:pPr>
              <w:widowControl w:v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1590E" w14:paraId="45A974DB"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4FFA3874"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Коэффициент автономии</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D5490FB" w14:textId="77777777" w:rsidR="00F1590E" w:rsidRDefault="000C4199">
            <w:pPr>
              <w:widowControl w:val="0"/>
              <w:spacing w:after="0"/>
              <w:jc w:val="center"/>
            </w:pPr>
            <w:r>
              <w:rPr>
                <w:rFonts w:ascii="Times New Roman" w:eastAsia="Times New Roman" w:hAnsi="Times New Roman" w:cs="Times New Roman"/>
                <w:sz w:val="24"/>
                <w:szCs w:val="24"/>
              </w:rPr>
              <w:t>0,5594</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04ADB07" w14:textId="77777777" w:rsidR="00F1590E" w:rsidRDefault="000C4199">
            <w:pPr>
              <w:widowControl w:val="0"/>
              <w:spacing w:after="0"/>
              <w:jc w:val="center"/>
            </w:pPr>
            <w:r>
              <w:rPr>
                <w:rFonts w:ascii="Times New Roman" w:eastAsia="Times New Roman" w:hAnsi="Times New Roman" w:cs="Times New Roman"/>
                <w:sz w:val="24"/>
                <w:szCs w:val="24"/>
              </w:rPr>
              <w:t>0,4440</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2C18053" w14:textId="77777777" w:rsidR="00F1590E" w:rsidRDefault="000C4199">
            <w:pPr>
              <w:widowControl w:val="0"/>
              <w:spacing w:after="0"/>
              <w:jc w:val="center"/>
            </w:pPr>
            <w:r>
              <w:rPr>
                <w:rFonts w:ascii="Times New Roman" w:eastAsia="Times New Roman" w:hAnsi="Times New Roman" w:cs="Times New Roman"/>
                <w:sz w:val="24"/>
                <w:szCs w:val="24"/>
              </w:rPr>
              <w:t>-0,1153</w:t>
            </w:r>
          </w:p>
        </w:tc>
        <w:tc>
          <w:tcPr>
            <w:tcW w:w="5570" w:type="dxa"/>
            <w:tcBorders>
              <w:top w:val="single" w:sz="6" w:space="0" w:color="000000"/>
              <w:left w:val="single" w:sz="6" w:space="0" w:color="000000"/>
              <w:bottom w:val="single" w:sz="6" w:space="0" w:color="000000"/>
              <w:right w:val="single" w:sz="6" w:space="0" w:color="000000"/>
            </w:tcBorders>
          </w:tcPr>
          <w:p w14:paraId="2464AF65"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собственного капитала к общей сумме капитала. Нормальное значение для данной отрасли: 0,5 и более (оптимальное 0,6-0,75).</w:t>
            </w:r>
          </w:p>
        </w:tc>
      </w:tr>
      <w:tr w:rsidR="00F1590E" w14:paraId="06CD55B2"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10F4D41F"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Коэффициент финансового левериджа</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B7A6595" w14:textId="77777777" w:rsidR="00F1590E" w:rsidRDefault="000C4199">
            <w:pPr>
              <w:widowControl w:val="0"/>
              <w:spacing w:after="0"/>
              <w:jc w:val="center"/>
            </w:pPr>
            <w:r>
              <w:rPr>
                <w:rFonts w:ascii="Times New Roman" w:eastAsia="Times New Roman" w:hAnsi="Times New Roman" w:cs="Times New Roman"/>
                <w:sz w:val="24"/>
                <w:szCs w:val="24"/>
              </w:rPr>
              <w:t>0,7878</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197C112" w14:textId="77777777" w:rsidR="00F1590E" w:rsidRDefault="000C4199">
            <w:pPr>
              <w:widowControl w:val="0"/>
              <w:spacing w:after="0"/>
              <w:jc w:val="center"/>
            </w:pPr>
            <w:r>
              <w:rPr>
                <w:rFonts w:ascii="Times New Roman" w:eastAsia="Times New Roman" w:hAnsi="Times New Roman" w:cs="Times New Roman"/>
                <w:sz w:val="24"/>
                <w:szCs w:val="24"/>
              </w:rPr>
              <w:t>1,2520</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5D6B55D" w14:textId="77777777" w:rsidR="00F1590E" w:rsidRDefault="000C4199">
            <w:pPr>
              <w:widowControl w:val="0"/>
              <w:spacing w:after="0"/>
              <w:jc w:val="center"/>
            </w:pPr>
            <w:r>
              <w:rPr>
                <w:rFonts w:ascii="Times New Roman" w:eastAsia="Times New Roman" w:hAnsi="Times New Roman" w:cs="Times New Roman"/>
                <w:sz w:val="24"/>
                <w:szCs w:val="24"/>
              </w:rPr>
              <w:t>0,4642</w:t>
            </w:r>
          </w:p>
        </w:tc>
        <w:tc>
          <w:tcPr>
            <w:tcW w:w="5570" w:type="dxa"/>
            <w:tcBorders>
              <w:top w:val="single" w:sz="6" w:space="0" w:color="000000"/>
              <w:left w:val="single" w:sz="6" w:space="0" w:color="000000"/>
              <w:bottom w:val="single" w:sz="6" w:space="0" w:color="000000"/>
              <w:right w:val="single" w:sz="6" w:space="0" w:color="000000"/>
            </w:tcBorders>
          </w:tcPr>
          <w:p w14:paraId="48F8AB38"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заемного капитала к собственному. Нормальное значение для данной отрасли: 1 и менее (оптимальное 0,33-0,67).</w:t>
            </w:r>
          </w:p>
        </w:tc>
      </w:tr>
      <w:tr w:rsidR="00F1590E" w14:paraId="7AE74263"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0E5D32AF"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Коэффициент обеспеченности собственными оборотными средствами</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86E0CB6" w14:textId="77777777" w:rsidR="00F1590E" w:rsidRDefault="000C4199">
            <w:pPr>
              <w:widowControl w:val="0"/>
              <w:spacing w:after="0"/>
              <w:jc w:val="center"/>
            </w:pPr>
            <w:r>
              <w:rPr>
                <w:rFonts w:ascii="Times New Roman" w:eastAsia="Times New Roman" w:hAnsi="Times New Roman" w:cs="Times New Roman"/>
                <w:sz w:val="24"/>
                <w:szCs w:val="24"/>
              </w:rPr>
              <w:t>-0,0032</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0EA713E" w14:textId="77777777" w:rsidR="00F1590E" w:rsidRDefault="000C4199">
            <w:pPr>
              <w:widowControl w:val="0"/>
              <w:spacing w:after="0"/>
              <w:jc w:val="center"/>
            </w:pPr>
            <w:r>
              <w:rPr>
                <w:rFonts w:ascii="Times New Roman" w:eastAsia="Times New Roman" w:hAnsi="Times New Roman" w:cs="Times New Roman"/>
                <w:sz w:val="24"/>
                <w:szCs w:val="24"/>
              </w:rPr>
              <w:t>-0,7141</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D072A2B" w14:textId="77777777" w:rsidR="00F1590E" w:rsidRDefault="000C4199">
            <w:pPr>
              <w:widowControl w:val="0"/>
              <w:spacing w:after="0"/>
              <w:jc w:val="center"/>
            </w:pPr>
            <w:r>
              <w:rPr>
                <w:rFonts w:ascii="Times New Roman" w:eastAsia="Times New Roman" w:hAnsi="Times New Roman" w:cs="Times New Roman"/>
                <w:sz w:val="24"/>
                <w:szCs w:val="24"/>
              </w:rPr>
              <w:t>-0,7109</w:t>
            </w:r>
          </w:p>
        </w:tc>
        <w:tc>
          <w:tcPr>
            <w:tcW w:w="5570" w:type="dxa"/>
            <w:tcBorders>
              <w:top w:val="single" w:sz="6" w:space="0" w:color="000000"/>
              <w:left w:val="single" w:sz="6" w:space="0" w:color="000000"/>
              <w:bottom w:val="single" w:sz="6" w:space="0" w:color="000000"/>
              <w:right w:val="single" w:sz="6" w:space="0" w:color="000000"/>
            </w:tcBorders>
          </w:tcPr>
          <w:p w14:paraId="76E99ADF"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собственных оборотных средств к оборотным активам. Нормальное значение: не менее 0,1.</w:t>
            </w:r>
          </w:p>
        </w:tc>
      </w:tr>
      <w:tr w:rsidR="00F1590E" w14:paraId="19BD3599"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14EAC707"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 Индекс постоянного актива</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DE22326" w14:textId="77777777" w:rsidR="00F1590E" w:rsidRDefault="000C4199">
            <w:pPr>
              <w:widowControl w:val="0"/>
              <w:spacing w:after="0"/>
              <w:jc w:val="center"/>
            </w:pPr>
            <w:r>
              <w:rPr>
                <w:rFonts w:ascii="Times New Roman" w:eastAsia="Times New Roman" w:hAnsi="Times New Roman" w:cs="Times New Roman"/>
                <w:sz w:val="24"/>
                <w:szCs w:val="24"/>
              </w:rPr>
              <w:t>1,0025</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76B26D9" w14:textId="77777777" w:rsidR="00F1590E" w:rsidRDefault="000C4199">
            <w:pPr>
              <w:widowControl w:val="0"/>
              <w:spacing w:after="0"/>
              <w:jc w:val="center"/>
            </w:pPr>
            <w:r>
              <w:rPr>
                <w:rFonts w:ascii="Times New Roman" w:eastAsia="Times New Roman" w:hAnsi="Times New Roman" w:cs="Times New Roman"/>
                <w:sz w:val="24"/>
                <w:szCs w:val="24"/>
              </w:rPr>
              <w:t>1,5216</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4BE1598" w14:textId="77777777" w:rsidR="00F1590E" w:rsidRDefault="000C4199">
            <w:pPr>
              <w:widowControl w:val="0"/>
              <w:spacing w:after="0"/>
              <w:jc w:val="center"/>
            </w:pPr>
            <w:r>
              <w:rPr>
                <w:rFonts w:ascii="Times New Roman" w:eastAsia="Times New Roman" w:hAnsi="Times New Roman" w:cs="Times New Roman"/>
                <w:sz w:val="24"/>
                <w:szCs w:val="24"/>
              </w:rPr>
              <w:t>0,5191</w:t>
            </w:r>
          </w:p>
        </w:tc>
        <w:tc>
          <w:tcPr>
            <w:tcW w:w="5570" w:type="dxa"/>
            <w:tcBorders>
              <w:top w:val="single" w:sz="6" w:space="0" w:color="000000"/>
              <w:left w:val="single" w:sz="6" w:space="0" w:color="000000"/>
              <w:bottom w:val="single" w:sz="6" w:space="0" w:color="000000"/>
              <w:right w:val="single" w:sz="6" w:space="0" w:color="000000"/>
            </w:tcBorders>
          </w:tcPr>
          <w:p w14:paraId="2B4F3BFD"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стоимости внеоборотных активов к величине собственного капитала организации.</w:t>
            </w:r>
          </w:p>
        </w:tc>
      </w:tr>
      <w:tr w:rsidR="00F1590E" w14:paraId="0B6062D0"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0ABDFC83"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 Коэффициент покрытия инвестиций</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58CDD78" w14:textId="77777777" w:rsidR="00F1590E" w:rsidRDefault="000C4199">
            <w:pPr>
              <w:widowControl w:val="0"/>
              <w:spacing w:after="0"/>
              <w:jc w:val="center"/>
            </w:pPr>
            <w:r>
              <w:rPr>
                <w:rFonts w:ascii="Times New Roman" w:eastAsia="Times New Roman" w:hAnsi="Times New Roman" w:cs="Times New Roman"/>
                <w:sz w:val="24"/>
                <w:szCs w:val="24"/>
              </w:rPr>
              <w:t>0,7752</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819210D" w14:textId="77777777" w:rsidR="00F1590E" w:rsidRDefault="000C4199">
            <w:pPr>
              <w:widowControl w:val="0"/>
              <w:spacing w:after="0"/>
              <w:jc w:val="center"/>
            </w:pPr>
            <w:r>
              <w:rPr>
                <w:rFonts w:ascii="Times New Roman" w:eastAsia="Times New Roman" w:hAnsi="Times New Roman" w:cs="Times New Roman"/>
                <w:sz w:val="24"/>
                <w:szCs w:val="24"/>
              </w:rPr>
              <w:t>0,7117</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715F577" w14:textId="77777777" w:rsidR="00F1590E" w:rsidRDefault="000C4199">
            <w:pPr>
              <w:widowControl w:val="0"/>
              <w:spacing w:after="0"/>
              <w:jc w:val="center"/>
            </w:pPr>
            <w:r>
              <w:rPr>
                <w:rFonts w:ascii="Times New Roman" w:eastAsia="Times New Roman" w:hAnsi="Times New Roman" w:cs="Times New Roman"/>
                <w:sz w:val="24"/>
                <w:szCs w:val="24"/>
              </w:rPr>
              <w:t>-0,0635</w:t>
            </w:r>
          </w:p>
        </w:tc>
        <w:tc>
          <w:tcPr>
            <w:tcW w:w="5570" w:type="dxa"/>
            <w:tcBorders>
              <w:top w:val="single" w:sz="6" w:space="0" w:color="000000"/>
              <w:left w:val="single" w:sz="6" w:space="0" w:color="000000"/>
              <w:bottom w:val="single" w:sz="6" w:space="0" w:color="000000"/>
              <w:right w:val="single" w:sz="6" w:space="0" w:color="000000"/>
            </w:tcBorders>
          </w:tcPr>
          <w:p w14:paraId="2076DF47"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собственного капитала и долгосрочных обязательств к общей сумме капитала. Нормальное значение: не менее 0,75.</w:t>
            </w:r>
          </w:p>
        </w:tc>
      </w:tr>
      <w:tr w:rsidR="00F1590E" w14:paraId="42AD5A76"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0BBB8C00"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6. Коэффициент маневренности собственного капитала</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4F68596" w14:textId="77777777" w:rsidR="00F1590E" w:rsidRDefault="000C4199">
            <w:pPr>
              <w:widowControl w:val="0"/>
              <w:spacing w:after="0"/>
              <w:jc w:val="center"/>
            </w:pPr>
            <w:r>
              <w:rPr>
                <w:rFonts w:ascii="Times New Roman" w:eastAsia="Times New Roman" w:hAnsi="Times New Roman" w:cs="Times New Roman"/>
                <w:sz w:val="24"/>
                <w:szCs w:val="24"/>
              </w:rPr>
              <w:t>-0,0025</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06F9E0F" w14:textId="77777777" w:rsidR="00F1590E" w:rsidRDefault="000C4199">
            <w:pPr>
              <w:widowControl w:val="0"/>
              <w:spacing w:after="0"/>
              <w:jc w:val="center"/>
            </w:pPr>
            <w:r>
              <w:rPr>
                <w:rFonts w:ascii="Times New Roman" w:eastAsia="Times New Roman" w:hAnsi="Times New Roman" w:cs="Times New Roman"/>
                <w:sz w:val="24"/>
                <w:szCs w:val="24"/>
              </w:rPr>
              <w:t>-0,5216</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50FAC19" w14:textId="77777777" w:rsidR="00F1590E" w:rsidRDefault="000C4199">
            <w:pPr>
              <w:widowControl w:val="0"/>
              <w:spacing w:after="0"/>
              <w:jc w:val="center"/>
            </w:pPr>
            <w:r>
              <w:rPr>
                <w:rFonts w:ascii="Times New Roman" w:eastAsia="Times New Roman" w:hAnsi="Times New Roman" w:cs="Times New Roman"/>
                <w:sz w:val="24"/>
                <w:szCs w:val="24"/>
              </w:rPr>
              <w:t>-0,5191</w:t>
            </w:r>
          </w:p>
        </w:tc>
        <w:tc>
          <w:tcPr>
            <w:tcW w:w="5570" w:type="dxa"/>
            <w:tcBorders>
              <w:top w:val="single" w:sz="6" w:space="0" w:color="000000"/>
              <w:left w:val="single" w:sz="6" w:space="0" w:color="000000"/>
              <w:bottom w:val="single" w:sz="6" w:space="0" w:color="000000"/>
              <w:right w:val="single" w:sz="6" w:space="0" w:color="000000"/>
            </w:tcBorders>
          </w:tcPr>
          <w:p w14:paraId="4549FE4B"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собственных оборотных средств к источникам собственных средств. Нормальное значение: не менее 0,1.</w:t>
            </w:r>
          </w:p>
        </w:tc>
      </w:tr>
      <w:tr w:rsidR="00F1590E" w14:paraId="094123E2"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0F744B32"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7. Коэффициент мобильности имущества</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B7566F9" w14:textId="77777777" w:rsidR="00F1590E" w:rsidRDefault="000C4199">
            <w:pPr>
              <w:widowControl w:val="0"/>
              <w:spacing w:after="0"/>
              <w:jc w:val="center"/>
            </w:pPr>
            <w:r>
              <w:rPr>
                <w:rFonts w:ascii="Times New Roman" w:eastAsia="Times New Roman" w:hAnsi="Times New Roman" w:cs="Times New Roman"/>
                <w:sz w:val="24"/>
                <w:szCs w:val="24"/>
              </w:rPr>
              <w:t>0,4393</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1FC45EE" w14:textId="77777777" w:rsidR="00F1590E" w:rsidRDefault="000C4199">
            <w:pPr>
              <w:widowControl w:val="0"/>
              <w:spacing w:after="0"/>
              <w:jc w:val="center"/>
            </w:pPr>
            <w:r>
              <w:rPr>
                <w:rFonts w:ascii="Times New Roman" w:eastAsia="Times New Roman" w:hAnsi="Times New Roman" w:cs="Times New Roman"/>
                <w:sz w:val="24"/>
                <w:szCs w:val="24"/>
              </w:rPr>
              <w:t>0,3243</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613B5D2" w14:textId="77777777" w:rsidR="00F1590E" w:rsidRDefault="000C4199">
            <w:pPr>
              <w:widowControl w:val="0"/>
              <w:spacing w:after="0"/>
              <w:jc w:val="center"/>
            </w:pPr>
            <w:r>
              <w:rPr>
                <w:rFonts w:ascii="Times New Roman" w:eastAsia="Times New Roman" w:hAnsi="Times New Roman" w:cs="Times New Roman"/>
                <w:sz w:val="24"/>
                <w:szCs w:val="24"/>
              </w:rPr>
              <w:t>-0,1149</w:t>
            </w:r>
          </w:p>
        </w:tc>
        <w:tc>
          <w:tcPr>
            <w:tcW w:w="5570" w:type="dxa"/>
            <w:tcBorders>
              <w:top w:val="single" w:sz="6" w:space="0" w:color="000000"/>
              <w:left w:val="single" w:sz="6" w:space="0" w:color="000000"/>
              <w:bottom w:val="single" w:sz="6" w:space="0" w:color="000000"/>
              <w:right w:val="single" w:sz="6" w:space="0" w:color="000000"/>
            </w:tcBorders>
          </w:tcPr>
          <w:p w14:paraId="5D330484"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оборотных средств к стоимости всего имущества. Характеризует отраслевую специфику организации.</w:t>
            </w:r>
          </w:p>
        </w:tc>
      </w:tr>
      <w:tr w:rsidR="00F1590E" w14:paraId="6E97361B"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230A461B"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8. Коэффициент мобильности оборотных средств</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C304BB4" w14:textId="77777777" w:rsidR="00F1590E" w:rsidRDefault="000C4199">
            <w:pPr>
              <w:widowControl w:val="0"/>
              <w:spacing w:after="0"/>
              <w:jc w:val="center"/>
            </w:pPr>
            <w:r>
              <w:rPr>
                <w:rFonts w:ascii="Times New Roman" w:eastAsia="Times New Roman" w:hAnsi="Times New Roman" w:cs="Times New Roman"/>
                <w:sz w:val="24"/>
                <w:szCs w:val="24"/>
              </w:rPr>
              <w:t>0,5421</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3D526AF" w14:textId="77777777" w:rsidR="00F1590E" w:rsidRDefault="000C4199">
            <w:pPr>
              <w:widowControl w:val="0"/>
              <w:spacing w:after="0"/>
              <w:jc w:val="center"/>
            </w:pPr>
            <w:r>
              <w:rPr>
                <w:rFonts w:ascii="Times New Roman" w:eastAsia="Times New Roman" w:hAnsi="Times New Roman" w:cs="Times New Roman"/>
                <w:sz w:val="24"/>
                <w:szCs w:val="24"/>
              </w:rPr>
              <w:t>0,3911</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339EFCC" w14:textId="77777777" w:rsidR="00F1590E" w:rsidRDefault="000C4199">
            <w:pPr>
              <w:widowControl w:val="0"/>
              <w:spacing w:after="0"/>
              <w:jc w:val="center"/>
            </w:pPr>
            <w:r>
              <w:rPr>
                <w:rFonts w:ascii="Times New Roman" w:eastAsia="Times New Roman" w:hAnsi="Times New Roman" w:cs="Times New Roman"/>
                <w:sz w:val="24"/>
                <w:szCs w:val="24"/>
              </w:rPr>
              <w:t>-0,1510</w:t>
            </w:r>
          </w:p>
        </w:tc>
        <w:tc>
          <w:tcPr>
            <w:tcW w:w="5570" w:type="dxa"/>
            <w:tcBorders>
              <w:top w:val="single" w:sz="6" w:space="0" w:color="000000"/>
              <w:left w:val="single" w:sz="6" w:space="0" w:color="000000"/>
              <w:bottom w:val="single" w:sz="6" w:space="0" w:color="000000"/>
              <w:right w:val="single" w:sz="6" w:space="0" w:color="000000"/>
            </w:tcBorders>
          </w:tcPr>
          <w:p w14:paraId="40B15859"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наиболее мобильной части оборотных средств (денежных средств и финансовых вложений) к общей стоимости оборотных активов.</w:t>
            </w:r>
          </w:p>
        </w:tc>
      </w:tr>
      <w:tr w:rsidR="00F1590E" w14:paraId="25295146"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3A03999A"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9. Коэффициент обеспеченности запасов</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7288316" w14:textId="77777777" w:rsidR="00F1590E" w:rsidRDefault="000C4199">
            <w:pPr>
              <w:widowControl w:val="0"/>
              <w:spacing w:after="0"/>
              <w:jc w:val="center"/>
            </w:pPr>
            <w:r>
              <w:rPr>
                <w:rFonts w:ascii="Times New Roman" w:eastAsia="Times New Roman" w:hAnsi="Times New Roman" w:cs="Times New Roman"/>
                <w:sz w:val="24"/>
                <w:szCs w:val="24"/>
              </w:rPr>
              <w:t>-0,0236</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839AA2D" w14:textId="77777777" w:rsidR="00F1590E" w:rsidRDefault="000C4199">
            <w:pPr>
              <w:widowControl w:val="0"/>
              <w:spacing w:after="0"/>
              <w:jc w:val="center"/>
            </w:pPr>
            <w:r>
              <w:rPr>
                <w:rFonts w:ascii="Times New Roman" w:eastAsia="Times New Roman" w:hAnsi="Times New Roman" w:cs="Times New Roman"/>
                <w:sz w:val="24"/>
                <w:szCs w:val="24"/>
              </w:rPr>
              <w:t>-4,2413</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7424941" w14:textId="77777777" w:rsidR="00F1590E" w:rsidRDefault="000C4199">
            <w:pPr>
              <w:widowControl w:val="0"/>
              <w:spacing w:after="0"/>
              <w:jc w:val="center"/>
            </w:pPr>
            <w:r>
              <w:rPr>
                <w:rFonts w:ascii="Times New Roman" w:eastAsia="Times New Roman" w:hAnsi="Times New Roman" w:cs="Times New Roman"/>
                <w:sz w:val="24"/>
                <w:szCs w:val="24"/>
              </w:rPr>
              <w:t>-4,2176</w:t>
            </w:r>
          </w:p>
        </w:tc>
        <w:tc>
          <w:tcPr>
            <w:tcW w:w="5570" w:type="dxa"/>
            <w:tcBorders>
              <w:top w:val="single" w:sz="6" w:space="0" w:color="000000"/>
              <w:left w:val="single" w:sz="6" w:space="0" w:color="000000"/>
              <w:bottom w:val="single" w:sz="6" w:space="0" w:color="000000"/>
              <w:right w:val="single" w:sz="6" w:space="0" w:color="000000"/>
            </w:tcBorders>
          </w:tcPr>
          <w:p w14:paraId="55011256"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собственных оборотных средств к стоимости запасов. Нормальное значение: не менее 0,5.</w:t>
            </w:r>
          </w:p>
        </w:tc>
      </w:tr>
      <w:tr w:rsidR="00F1590E" w14:paraId="638B1E73" w14:textId="77777777">
        <w:trPr>
          <w:jc w:val="center"/>
        </w:trPr>
        <w:tc>
          <w:tcPr>
            <w:tcW w:w="3411" w:type="dxa"/>
            <w:tcBorders>
              <w:top w:val="single" w:sz="6" w:space="0" w:color="000000"/>
              <w:left w:val="single" w:sz="6" w:space="0" w:color="000000"/>
              <w:bottom w:val="single" w:sz="6" w:space="0" w:color="000000"/>
              <w:right w:val="single" w:sz="6" w:space="0" w:color="000000"/>
            </w:tcBorders>
          </w:tcPr>
          <w:p w14:paraId="3D1FB0B7"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10. Коэффициент краткосрочной задолженности</w:t>
            </w:r>
          </w:p>
        </w:tc>
        <w:tc>
          <w:tcPr>
            <w:tcW w:w="165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3CB1E7F" w14:textId="77777777" w:rsidR="00F1590E" w:rsidRDefault="000C4199">
            <w:pPr>
              <w:widowControl w:val="0"/>
              <w:spacing w:after="0"/>
              <w:jc w:val="center"/>
            </w:pPr>
            <w:r>
              <w:rPr>
                <w:rFonts w:ascii="Times New Roman" w:eastAsia="Times New Roman" w:hAnsi="Times New Roman" w:cs="Times New Roman"/>
                <w:sz w:val="24"/>
                <w:szCs w:val="24"/>
              </w:rPr>
              <w:t>0,1673</w:t>
            </w:r>
          </w:p>
        </w:tc>
        <w:tc>
          <w:tcPr>
            <w:tcW w:w="1616"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25DA297" w14:textId="77777777" w:rsidR="00F1590E" w:rsidRDefault="000C4199">
            <w:pPr>
              <w:widowControl w:val="0"/>
              <w:spacing w:after="0"/>
              <w:jc w:val="center"/>
            </w:pPr>
            <w:r>
              <w:rPr>
                <w:rFonts w:ascii="Times New Roman" w:eastAsia="Times New Roman" w:hAnsi="Times New Roman" w:cs="Times New Roman"/>
                <w:sz w:val="24"/>
                <w:szCs w:val="24"/>
              </w:rPr>
              <w:t>0,1305</w:t>
            </w:r>
          </w:p>
        </w:tc>
        <w:tc>
          <w:tcPr>
            <w:tcW w:w="164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D333406" w14:textId="77777777" w:rsidR="00F1590E" w:rsidRDefault="000C4199">
            <w:pPr>
              <w:widowControl w:val="0"/>
              <w:spacing w:after="0"/>
              <w:jc w:val="center"/>
            </w:pPr>
            <w:r>
              <w:rPr>
                <w:rFonts w:ascii="Times New Roman" w:eastAsia="Times New Roman" w:hAnsi="Times New Roman" w:cs="Times New Roman"/>
                <w:sz w:val="24"/>
                <w:szCs w:val="24"/>
              </w:rPr>
              <w:t>-0,0367</w:t>
            </w:r>
          </w:p>
        </w:tc>
        <w:tc>
          <w:tcPr>
            <w:tcW w:w="5570" w:type="dxa"/>
            <w:tcBorders>
              <w:top w:val="single" w:sz="6" w:space="0" w:color="000000"/>
              <w:left w:val="single" w:sz="6" w:space="0" w:color="000000"/>
              <w:bottom w:val="single" w:sz="6" w:space="0" w:color="000000"/>
              <w:right w:val="single" w:sz="6" w:space="0" w:color="000000"/>
            </w:tcBorders>
          </w:tcPr>
          <w:p w14:paraId="305FBAB9" w14:textId="77777777" w:rsidR="00F1590E" w:rsidRDefault="000C419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краткосрочной задолженности к общей сумме задолженности.</w:t>
            </w:r>
          </w:p>
        </w:tc>
      </w:tr>
    </w:tbl>
    <w:p w14:paraId="6B1C1A69" w14:textId="77777777" w:rsidR="00F1590E" w:rsidRDefault="00F1590E">
      <w:pPr>
        <w:pStyle w:val="1"/>
        <w:widowControl w:val="0"/>
        <w:spacing w:before="0" w:after="0" w:line="360" w:lineRule="auto"/>
        <w:ind w:firstLine="708"/>
        <w:jc w:val="both"/>
        <w:rPr>
          <w:rFonts w:ascii="Times New Roman" w:eastAsia="Times New Roman" w:hAnsi="Times New Roman" w:cs="Times New Roman"/>
          <w:sz w:val="28"/>
          <w:szCs w:val="28"/>
        </w:rPr>
      </w:pPr>
    </w:p>
    <w:p w14:paraId="302E18EB" w14:textId="77777777" w:rsidR="00F1590E" w:rsidRDefault="000C4199">
      <w:pPr>
        <w:pStyle w:val="1"/>
        <w:widowControl w:val="0"/>
        <w:spacing w:before="0"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Выводы: </w:t>
      </w:r>
    </w:p>
    <w:p w14:paraId="737EC310" w14:textId="77777777" w:rsidR="00AE421C" w:rsidRDefault="000C4199" w:rsidP="000C4199">
      <w:pPr>
        <w:pStyle w:val="1"/>
        <w:widowControl w:val="0"/>
        <w:spacing w:after="0" w:line="360" w:lineRule="auto"/>
        <w:ind w:firstLine="708"/>
        <w:jc w:val="both"/>
        <w:rPr>
          <w:rFonts w:ascii="Times New Roman" w:eastAsia="Times New Roman" w:hAnsi="Times New Roman" w:cs="Times New Roman"/>
          <w:b w:val="0"/>
          <w:sz w:val="28"/>
          <w:szCs w:val="28"/>
        </w:rPr>
      </w:pPr>
      <w:r w:rsidRPr="000C4199">
        <w:rPr>
          <w:rFonts w:ascii="Times New Roman" w:eastAsia="Times New Roman" w:hAnsi="Times New Roman" w:cs="Times New Roman"/>
          <w:b w:val="0"/>
          <w:sz w:val="28"/>
          <w:szCs w:val="28"/>
        </w:rPr>
        <w:t>Анализ финансовой устойчивости организации с использованием системы коэффициентов и показателей структуры капитала позволил оценить степень ее зависимости от заемных источников, сбалансированность капитала, а также способность к самостоятельному финансированию текущей деятельности и инвестиций. По результатам анализа установлено значительное ухудшение как долгосрочной, так и краткос</w:t>
      </w:r>
      <w:r w:rsidR="008B6A24">
        <w:rPr>
          <w:rFonts w:ascii="Times New Roman" w:eastAsia="Times New Roman" w:hAnsi="Times New Roman" w:cs="Times New Roman"/>
          <w:b w:val="0"/>
          <w:sz w:val="28"/>
          <w:szCs w:val="28"/>
        </w:rPr>
        <w:t>рочной финансовой устойчивости.</w:t>
      </w:r>
      <w:r w:rsidRPr="000C4199">
        <w:rPr>
          <w:rFonts w:ascii="Times New Roman" w:eastAsia="Times New Roman" w:hAnsi="Times New Roman" w:cs="Times New Roman"/>
          <w:b w:val="0"/>
          <w:sz w:val="28"/>
          <w:szCs w:val="28"/>
        </w:rPr>
        <w:br/>
        <w:t>Долгосрочная финансовая устойчивость оценивается по коэффициентам автономии, финансового левериджа и покрытия инвестиций. Коэффициент автономии снизился с 0,5594 до 0,4440, опустившись ниже нормативного значения (0,5), что свидетельствует об уменьшении доли собственного капитала в структуре источников финансирования и, как следствие, о снижении финансовой независимости организации. Одновременно коэффициент финансового левериджа увеличился с 0,7878 до 1,2520, превысив допустимый предел (1), что отражает повышение зависимости предприятия от заемных средств и потенциальное увеличение финансовых рисков. Коэффициент покрытия инвестиций также уменьшился — с 0,7752 до 0,7117 — и оказался ниже нормативного уровня (не менее 0,75), указывая на недостаточность устойчивых источников для покрытия инвестиционной активности. В совокупности эти изменения характеризуют ослабление долгосрочной финансовой устойчивости организации и снижение степени независимо</w:t>
      </w:r>
      <w:r w:rsidR="008B6A24">
        <w:rPr>
          <w:rFonts w:ascii="Times New Roman" w:eastAsia="Times New Roman" w:hAnsi="Times New Roman" w:cs="Times New Roman"/>
          <w:b w:val="0"/>
          <w:sz w:val="28"/>
          <w:szCs w:val="28"/>
        </w:rPr>
        <w:t>сти от внешнего финансирования.</w:t>
      </w:r>
      <w:r w:rsidRPr="000C4199">
        <w:rPr>
          <w:rFonts w:ascii="Times New Roman" w:eastAsia="Times New Roman" w:hAnsi="Times New Roman" w:cs="Times New Roman"/>
          <w:b w:val="0"/>
          <w:sz w:val="28"/>
          <w:szCs w:val="28"/>
        </w:rPr>
        <w:br/>
        <w:t>Краткосрочная финансовая устойчивость оценивается по коэффициентам обеспеченности собственными оборотными средствами, маневренности собственного капитала и обеспеченности запасов. Все три показателя демонстрируют выраженную отрицательную динамику. Коэффициент обеспеченности собственными оборотными средствами снизился с -0,0032 до -0,7141, что указывает на глубокий дефицит собственных средств для покрытия текущих активов. Коэффициент маневренности собственного капитала сократился с -0,0025 до -0,5216, что отражает отсутствие гибкости в использовании собственных ресурсов и неспособность их трансформировать в оборотные средства. Особенно тревожным является снижение коэффициента обеспеченности запасов с -0,0236 до -4,2413, при нормативном значении не менее 0,5, что указывает на полное отсутствие собственных источников для финансирования материальных запасов. Таким образом, по краткосрочным критериям наблюдается критическая степень нестабильности, обусловленная высокой зависимостью от заемного капитала для вед</w:t>
      </w:r>
      <w:r w:rsidR="008B6A24">
        <w:rPr>
          <w:rFonts w:ascii="Times New Roman" w:eastAsia="Times New Roman" w:hAnsi="Times New Roman" w:cs="Times New Roman"/>
          <w:b w:val="0"/>
          <w:sz w:val="28"/>
          <w:szCs w:val="28"/>
        </w:rPr>
        <w:t>ения операционной деятельности.</w:t>
      </w:r>
      <w:r w:rsidRPr="000C4199">
        <w:rPr>
          <w:rFonts w:ascii="Times New Roman" w:eastAsia="Times New Roman" w:hAnsi="Times New Roman" w:cs="Times New Roman"/>
          <w:b w:val="0"/>
          <w:sz w:val="28"/>
          <w:szCs w:val="28"/>
        </w:rPr>
        <w:br/>
        <w:t>Остальные показатели, характеризующие структуру активов и специфику оборотных средств, также демонстрируют негативную динамику. Индекс постоянного актива увеличился с 1,0025 до 1,5216, что указывает на избыточную концентрацию внеоборотных активов по отношению к собственному капиталу, нарушая принцип равновесия между долгосрочными вложениями и устойчивыми источниками их покрытия. Коэффициент мобильности имущества снизился с 0,4393 до 0,3243, свидетельствуя о снижении доли оборотных активов в общей структуре имущества предприятия. Коэффициент мобильности оборотных средств уменьшился с 0,5421 до 0,3911, что указывает на снижение ликвидной части текущих активов и, как следствие, на ухудшение способности организации к оперативному реагированию на изменения в расчетах и платежах. Кроме того, коэффициент краткосрочной задолженности уменьшился с 0,1673 до 0,1305, что отражает относительное снижение доли краткосрочных обязательств в общей задолженности, однако на фоне общей утраты ликвидности и финансовой устойчивости этот факт не свидетельств</w:t>
      </w:r>
      <w:r w:rsidR="008B6A24">
        <w:rPr>
          <w:rFonts w:ascii="Times New Roman" w:eastAsia="Times New Roman" w:hAnsi="Times New Roman" w:cs="Times New Roman"/>
          <w:b w:val="0"/>
          <w:sz w:val="28"/>
          <w:szCs w:val="28"/>
        </w:rPr>
        <w:t>ует о положительных изменениях.</w:t>
      </w:r>
      <w:r w:rsidRPr="000C4199">
        <w:rPr>
          <w:rFonts w:ascii="Times New Roman" w:eastAsia="Times New Roman" w:hAnsi="Times New Roman" w:cs="Times New Roman"/>
          <w:b w:val="0"/>
          <w:sz w:val="28"/>
          <w:szCs w:val="28"/>
        </w:rPr>
        <w:br/>
        <w:t>В целом, представленные коэффициенты подтверждают, что организация характеризуется ослабленной долгосрочной устойчивостью, высокой степенью зависимости от заемного капитала, значительным дефицитом собственных оборотных средств и критическим уровнем краткосрочной финансовой устойчивости. В условиях такой структуры капитала организация сталкивается с рисками неплатежеспособности, ограниченной инвестиционной самостоятельности и потребности в немедленных мерах по рекапитализации и реструктуризации пассивов.</w:t>
      </w:r>
    </w:p>
    <w:p w14:paraId="610E38E4" w14:textId="77777777" w:rsidR="00AE421C" w:rsidRDefault="00AE421C">
      <w:pPr>
        <w:rPr>
          <w:rFonts w:ascii="Times New Roman" w:eastAsia="Times New Roman" w:hAnsi="Times New Roman" w:cs="Times New Roman"/>
          <w:bCs/>
          <w:kern w:val="36"/>
          <w:sz w:val="28"/>
          <w:szCs w:val="28"/>
        </w:rPr>
      </w:pPr>
      <w:r>
        <w:rPr>
          <w:rFonts w:ascii="Times New Roman" w:eastAsia="Times New Roman" w:hAnsi="Times New Roman" w:cs="Times New Roman"/>
          <w:b/>
          <w:sz w:val="28"/>
          <w:szCs w:val="28"/>
        </w:rPr>
        <w:br w:type="page"/>
      </w:r>
    </w:p>
    <w:p w14:paraId="79A97B3C" w14:textId="77777777" w:rsidR="000C4199" w:rsidRPr="00AE421C" w:rsidRDefault="00AE421C" w:rsidP="00AE421C">
      <w:pPr>
        <w:pStyle w:val="1"/>
        <w:widowControl w:val="0"/>
        <w:spacing w:after="0" w:line="360" w:lineRule="auto"/>
        <w:ind w:firstLine="708"/>
        <w:jc w:val="center"/>
        <w:rPr>
          <w:rFonts w:ascii="Times New Roman" w:eastAsia="Times New Roman" w:hAnsi="Times New Roman" w:cs="Times New Roman"/>
          <w:sz w:val="28"/>
          <w:szCs w:val="28"/>
        </w:rPr>
      </w:pPr>
      <w:r w:rsidRPr="00AE421C">
        <w:rPr>
          <w:rFonts w:ascii="Times New Roman" w:eastAsia="Times New Roman" w:hAnsi="Times New Roman" w:cs="Times New Roman"/>
          <w:sz w:val="28"/>
          <w:szCs w:val="28"/>
        </w:rPr>
        <w:t>Рентабельность собственного капитала (</w:t>
      </w:r>
      <w:r w:rsidRPr="00AE421C">
        <w:rPr>
          <w:rFonts w:ascii="Times New Roman" w:eastAsia="Times New Roman" w:hAnsi="Times New Roman" w:cs="Times New Roman"/>
          <w:sz w:val="28"/>
          <w:szCs w:val="28"/>
          <w:lang w:val="en-US"/>
        </w:rPr>
        <w:t>ROE</w:t>
      </w:r>
      <w:r w:rsidRPr="00AE421C">
        <w:rPr>
          <w:rFonts w:ascii="Times New Roman" w:eastAsia="Times New Roman" w:hAnsi="Times New Roman" w:cs="Times New Roman"/>
          <w:sz w:val="28"/>
          <w:szCs w:val="28"/>
        </w:rPr>
        <w:t>)</w:t>
      </w:r>
    </w:p>
    <w:tbl>
      <w:tblPr>
        <w:tblW w:w="8000" w:type="dxa"/>
        <w:jc w:val="center"/>
        <w:tblLook w:val="04A0" w:firstRow="1" w:lastRow="0" w:firstColumn="1" w:lastColumn="0" w:noHBand="0" w:noVBand="1"/>
      </w:tblPr>
      <w:tblGrid>
        <w:gridCol w:w="3220"/>
        <w:gridCol w:w="1700"/>
        <w:gridCol w:w="1540"/>
        <w:gridCol w:w="1540"/>
      </w:tblGrid>
      <w:tr w:rsidR="00AE421C" w:rsidRPr="00AE421C" w14:paraId="1E47FF71" w14:textId="77777777" w:rsidTr="00AE421C">
        <w:trPr>
          <w:trHeight w:val="630"/>
          <w:jc w:val="center"/>
        </w:trPr>
        <w:tc>
          <w:tcPr>
            <w:tcW w:w="3220" w:type="dxa"/>
            <w:tcBorders>
              <w:top w:val="single" w:sz="4" w:space="0" w:color="000000"/>
              <w:left w:val="single" w:sz="4" w:space="0" w:color="000000"/>
              <w:bottom w:val="nil"/>
              <w:right w:val="single" w:sz="4" w:space="0" w:color="000000"/>
            </w:tcBorders>
            <w:shd w:val="clear" w:color="C6D9F0" w:fill="FFFFFF"/>
            <w:vAlign w:val="center"/>
            <w:hideMark/>
          </w:tcPr>
          <w:p w14:paraId="75E9A906" w14:textId="77777777" w:rsidR="00AE421C" w:rsidRPr="00AE421C" w:rsidRDefault="00AE421C" w:rsidP="00AE421C">
            <w:pPr>
              <w:spacing w:after="0" w:line="240" w:lineRule="auto"/>
              <w:jc w:val="center"/>
              <w:rPr>
                <w:rFonts w:ascii="Times New Roman" w:eastAsia="Times New Roman" w:hAnsi="Times New Roman" w:cs="Times New Roman"/>
                <w:b/>
                <w:bCs/>
                <w:color w:val="000000"/>
                <w:sz w:val="24"/>
                <w:szCs w:val="24"/>
              </w:rPr>
            </w:pPr>
            <w:r w:rsidRPr="00AE421C">
              <w:rPr>
                <w:rFonts w:ascii="Times New Roman" w:eastAsia="Times New Roman" w:hAnsi="Times New Roman" w:cs="Times New Roman"/>
                <w:b/>
                <w:bCs/>
                <w:color w:val="000000"/>
                <w:sz w:val="24"/>
                <w:szCs w:val="24"/>
              </w:rPr>
              <w:t>Показатели</w:t>
            </w:r>
          </w:p>
        </w:tc>
        <w:tc>
          <w:tcPr>
            <w:tcW w:w="1700" w:type="dxa"/>
            <w:tcBorders>
              <w:top w:val="single" w:sz="4" w:space="0" w:color="000000"/>
              <w:left w:val="nil"/>
              <w:bottom w:val="nil"/>
              <w:right w:val="single" w:sz="4" w:space="0" w:color="000000"/>
            </w:tcBorders>
            <w:shd w:val="clear" w:color="C6D9F0" w:fill="FFFFFF"/>
            <w:vAlign w:val="center"/>
            <w:hideMark/>
          </w:tcPr>
          <w:p w14:paraId="200651AE" w14:textId="77777777" w:rsidR="00AE421C" w:rsidRPr="00AE421C" w:rsidRDefault="00AE421C" w:rsidP="00AE421C">
            <w:pPr>
              <w:spacing w:after="0" w:line="240" w:lineRule="auto"/>
              <w:jc w:val="center"/>
              <w:rPr>
                <w:rFonts w:ascii="Times New Roman" w:eastAsia="Times New Roman" w:hAnsi="Times New Roman" w:cs="Times New Roman"/>
                <w:b/>
                <w:bCs/>
                <w:color w:val="000000"/>
                <w:sz w:val="24"/>
                <w:szCs w:val="24"/>
              </w:rPr>
            </w:pPr>
            <w:r w:rsidRPr="00AE421C">
              <w:rPr>
                <w:rFonts w:ascii="Times New Roman" w:eastAsia="Times New Roman" w:hAnsi="Times New Roman" w:cs="Times New Roman"/>
                <w:b/>
                <w:bCs/>
                <w:color w:val="000000"/>
                <w:sz w:val="24"/>
                <w:szCs w:val="24"/>
              </w:rPr>
              <w:t>Предыдущий год (2023)</w:t>
            </w:r>
          </w:p>
        </w:tc>
        <w:tc>
          <w:tcPr>
            <w:tcW w:w="1540" w:type="dxa"/>
            <w:tcBorders>
              <w:top w:val="single" w:sz="4" w:space="0" w:color="000000"/>
              <w:left w:val="nil"/>
              <w:bottom w:val="nil"/>
              <w:right w:val="single" w:sz="4" w:space="0" w:color="000000"/>
            </w:tcBorders>
            <w:shd w:val="clear" w:color="C6D9F0" w:fill="FFFFFF"/>
            <w:vAlign w:val="center"/>
            <w:hideMark/>
          </w:tcPr>
          <w:p w14:paraId="2D78357D" w14:textId="77777777" w:rsidR="00AE421C" w:rsidRPr="00AE421C" w:rsidRDefault="00AE421C" w:rsidP="00AE421C">
            <w:pPr>
              <w:spacing w:after="0" w:line="240" w:lineRule="auto"/>
              <w:jc w:val="center"/>
              <w:rPr>
                <w:rFonts w:ascii="Times New Roman" w:eastAsia="Times New Roman" w:hAnsi="Times New Roman" w:cs="Times New Roman"/>
                <w:b/>
                <w:bCs/>
                <w:color w:val="000000"/>
                <w:sz w:val="24"/>
                <w:szCs w:val="24"/>
              </w:rPr>
            </w:pPr>
            <w:r w:rsidRPr="00AE421C">
              <w:rPr>
                <w:rFonts w:ascii="Times New Roman" w:eastAsia="Times New Roman" w:hAnsi="Times New Roman" w:cs="Times New Roman"/>
                <w:b/>
                <w:bCs/>
                <w:color w:val="000000"/>
                <w:sz w:val="24"/>
                <w:szCs w:val="24"/>
              </w:rPr>
              <w:t>Отчетный год (2024)</w:t>
            </w:r>
          </w:p>
        </w:tc>
        <w:tc>
          <w:tcPr>
            <w:tcW w:w="1540" w:type="dxa"/>
            <w:tcBorders>
              <w:top w:val="single" w:sz="4" w:space="0" w:color="000000"/>
              <w:left w:val="nil"/>
              <w:bottom w:val="nil"/>
              <w:right w:val="single" w:sz="4" w:space="0" w:color="000000"/>
            </w:tcBorders>
            <w:shd w:val="clear" w:color="C6D9F0" w:fill="FFFFFF"/>
            <w:vAlign w:val="center"/>
            <w:hideMark/>
          </w:tcPr>
          <w:p w14:paraId="77A8B581" w14:textId="77777777" w:rsidR="00AE421C" w:rsidRPr="00AE421C" w:rsidRDefault="00AE421C" w:rsidP="00AE421C">
            <w:pPr>
              <w:spacing w:after="0" w:line="240" w:lineRule="auto"/>
              <w:jc w:val="center"/>
              <w:rPr>
                <w:rFonts w:ascii="Times New Roman" w:eastAsia="Times New Roman" w:hAnsi="Times New Roman" w:cs="Times New Roman"/>
                <w:b/>
                <w:bCs/>
                <w:color w:val="000000"/>
                <w:sz w:val="24"/>
                <w:szCs w:val="24"/>
              </w:rPr>
            </w:pPr>
            <w:r w:rsidRPr="00AE421C">
              <w:rPr>
                <w:rFonts w:ascii="Times New Roman" w:eastAsia="Times New Roman" w:hAnsi="Times New Roman" w:cs="Times New Roman"/>
                <w:b/>
                <w:bCs/>
                <w:color w:val="000000"/>
                <w:sz w:val="24"/>
                <w:szCs w:val="24"/>
              </w:rPr>
              <w:t>Абсолютное изменение</w:t>
            </w:r>
          </w:p>
        </w:tc>
      </w:tr>
      <w:tr w:rsidR="00AE421C" w:rsidRPr="00AE421C" w14:paraId="44D8C85E" w14:textId="77777777" w:rsidTr="00AE421C">
        <w:trPr>
          <w:trHeight w:val="315"/>
          <w:jc w:val="center"/>
        </w:trPr>
        <w:tc>
          <w:tcPr>
            <w:tcW w:w="3220" w:type="dxa"/>
            <w:tcBorders>
              <w:top w:val="single" w:sz="4" w:space="0" w:color="auto"/>
              <w:left w:val="single" w:sz="4" w:space="0" w:color="auto"/>
              <w:bottom w:val="single" w:sz="4" w:space="0" w:color="auto"/>
              <w:right w:val="single" w:sz="4" w:space="0" w:color="auto"/>
            </w:tcBorders>
            <w:noWrap/>
            <w:vAlign w:val="bottom"/>
            <w:hideMark/>
          </w:tcPr>
          <w:p w14:paraId="4B1F42FB" w14:textId="77777777" w:rsidR="00AE421C" w:rsidRPr="00AE421C" w:rsidRDefault="00AE421C" w:rsidP="00AE421C">
            <w:pPr>
              <w:spacing w:after="0" w:line="240" w:lineRule="auto"/>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Рентабельность продаж (ROS)</w:t>
            </w:r>
          </w:p>
        </w:tc>
        <w:tc>
          <w:tcPr>
            <w:tcW w:w="1700" w:type="dxa"/>
            <w:tcBorders>
              <w:top w:val="single" w:sz="4" w:space="0" w:color="auto"/>
              <w:left w:val="nil"/>
              <w:bottom w:val="single" w:sz="4" w:space="0" w:color="auto"/>
              <w:right w:val="single" w:sz="4" w:space="0" w:color="auto"/>
            </w:tcBorders>
            <w:noWrap/>
            <w:vAlign w:val="center"/>
            <w:hideMark/>
          </w:tcPr>
          <w:p w14:paraId="0959621E"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22,92%</w:t>
            </w:r>
          </w:p>
        </w:tc>
        <w:tc>
          <w:tcPr>
            <w:tcW w:w="1540" w:type="dxa"/>
            <w:tcBorders>
              <w:top w:val="single" w:sz="4" w:space="0" w:color="auto"/>
              <w:left w:val="nil"/>
              <w:bottom w:val="single" w:sz="4" w:space="0" w:color="auto"/>
              <w:right w:val="single" w:sz="4" w:space="0" w:color="auto"/>
            </w:tcBorders>
            <w:noWrap/>
            <w:vAlign w:val="center"/>
            <w:hideMark/>
          </w:tcPr>
          <w:p w14:paraId="4515BE96"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10,67%</w:t>
            </w:r>
          </w:p>
        </w:tc>
        <w:tc>
          <w:tcPr>
            <w:tcW w:w="1540" w:type="dxa"/>
            <w:tcBorders>
              <w:top w:val="single" w:sz="4" w:space="0" w:color="auto"/>
              <w:left w:val="nil"/>
              <w:bottom w:val="single" w:sz="4" w:space="0" w:color="auto"/>
              <w:right w:val="single" w:sz="4" w:space="0" w:color="auto"/>
            </w:tcBorders>
            <w:noWrap/>
            <w:vAlign w:val="bottom"/>
            <w:hideMark/>
          </w:tcPr>
          <w:p w14:paraId="6E3D6857"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-12,25%</w:t>
            </w:r>
          </w:p>
        </w:tc>
      </w:tr>
      <w:tr w:rsidR="00AE421C" w:rsidRPr="00AE421C" w14:paraId="62281ECD" w14:textId="77777777" w:rsidTr="00AE421C">
        <w:trPr>
          <w:trHeight w:val="315"/>
          <w:jc w:val="center"/>
        </w:trPr>
        <w:tc>
          <w:tcPr>
            <w:tcW w:w="3220" w:type="dxa"/>
            <w:tcBorders>
              <w:top w:val="nil"/>
              <w:left w:val="single" w:sz="4" w:space="0" w:color="auto"/>
              <w:bottom w:val="single" w:sz="4" w:space="0" w:color="auto"/>
              <w:right w:val="single" w:sz="4" w:space="0" w:color="auto"/>
            </w:tcBorders>
            <w:noWrap/>
            <w:vAlign w:val="bottom"/>
            <w:hideMark/>
          </w:tcPr>
          <w:p w14:paraId="4B8B943E" w14:textId="77777777" w:rsidR="00AE421C" w:rsidRPr="00AE421C" w:rsidRDefault="00AE421C" w:rsidP="00AE421C">
            <w:pPr>
              <w:spacing w:after="0" w:line="240" w:lineRule="auto"/>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Оборачиваемость активов</w:t>
            </w:r>
          </w:p>
        </w:tc>
        <w:tc>
          <w:tcPr>
            <w:tcW w:w="1700" w:type="dxa"/>
            <w:tcBorders>
              <w:top w:val="nil"/>
              <w:left w:val="nil"/>
              <w:bottom w:val="single" w:sz="4" w:space="0" w:color="000000"/>
              <w:right w:val="single" w:sz="4" w:space="0" w:color="000000"/>
            </w:tcBorders>
            <w:vAlign w:val="center"/>
            <w:hideMark/>
          </w:tcPr>
          <w:p w14:paraId="44C2DD0C"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0,4384</w:t>
            </w:r>
          </w:p>
        </w:tc>
        <w:tc>
          <w:tcPr>
            <w:tcW w:w="1540" w:type="dxa"/>
            <w:tcBorders>
              <w:top w:val="nil"/>
              <w:left w:val="nil"/>
              <w:bottom w:val="single" w:sz="4" w:space="0" w:color="000000"/>
              <w:right w:val="single" w:sz="4" w:space="0" w:color="000000"/>
            </w:tcBorders>
            <w:vAlign w:val="center"/>
            <w:hideMark/>
          </w:tcPr>
          <w:p w14:paraId="02A6FCFD"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0,4054</w:t>
            </w:r>
          </w:p>
        </w:tc>
        <w:tc>
          <w:tcPr>
            <w:tcW w:w="1540" w:type="dxa"/>
            <w:tcBorders>
              <w:top w:val="nil"/>
              <w:left w:val="nil"/>
              <w:bottom w:val="single" w:sz="4" w:space="0" w:color="auto"/>
              <w:right w:val="single" w:sz="4" w:space="0" w:color="auto"/>
            </w:tcBorders>
            <w:noWrap/>
            <w:vAlign w:val="bottom"/>
            <w:hideMark/>
          </w:tcPr>
          <w:p w14:paraId="5B443167"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-0,0330</w:t>
            </w:r>
          </w:p>
        </w:tc>
      </w:tr>
      <w:tr w:rsidR="00AE421C" w:rsidRPr="00AE421C" w14:paraId="401919B9" w14:textId="77777777" w:rsidTr="00AE421C">
        <w:trPr>
          <w:trHeight w:val="315"/>
          <w:jc w:val="center"/>
        </w:trPr>
        <w:tc>
          <w:tcPr>
            <w:tcW w:w="3220" w:type="dxa"/>
            <w:tcBorders>
              <w:top w:val="nil"/>
              <w:left w:val="single" w:sz="4" w:space="0" w:color="auto"/>
              <w:bottom w:val="single" w:sz="4" w:space="0" w:color="auto"/>
              <w:right w:val="single" w:sz="4" w:space="0" w:color="auto"/>
            </w:tcBorders>
            <w:noWrap/>
            <w:vAlign w:val="bottom"/>
            <w:hideMark/>
          </w:tcPr>
          <w:p w14:paraId="38327BE9" w14:textId="77777777" w:rsidR="00AE421C" w:rsidRPr="00AE421C" w:rsidRDefault="00AE421C" w:rsidP="00AE421C">
            <w:pPr>
              <w:spacing w:after="0" w:line="240" w:lineRule="auto"/>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Коэфф фин левериджа</w:t>
            </w:r>
          </w:p>
        </w:tc>
        <w:tc>
          <w:tcPr>
            <w:tcW w:w="1700" w:type="dxa"/>
            <w:tcBorders>
              <w:top w:val="nil"/>
              <w:left w:val="nil"/>
              <w:bottom w:val="single" w:sz="4" w:space="0" w:color="000000"/>
              <w:right w:val="single" w:sz="4" w:space="0" w:color="000000"/>
            </w:tcBorders>
            <w:noWrap/>
            <w:vAlign w:val="center"/>
            <w:hideMark/>
          </w:tcPr>
          <w:p w14:paraId="03C86088"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0,7878</w:t>
            </w:r>
          </w:p>
        </w:tc>
        <w:tc>
          <w:tcPr>
            <w:tcW w:w="1540" w:type="dxa"/>
            <w:tcBorders>
              <w:top w:val="nil"/>
              <w:left w:val="nil"/>
              <w:bottom w:val="single" w:sz="4" w:space="0" w:color="000000"/>
              <w:right w:val="single" w:sz="4" w:space="0" w:color="000000"/>
            </w:tcBorders>
            <w:noWrap/>
            <w:vAlign w:val="center"/>
            <w:hideMark/>
          </w:tcPr>
          <w:p w14:paraId="392BEE70"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1,2520</w:t>
            </w:r>
          </w:p>
        </w:tc>
        <w:tc>
          <w:tcPr>
            <w:tcW w:w="1540" w:type="dxa"/>
            <w:tcBorders>
              <w:top w:val="nil"/>
              <w:left w:val="nil"/>
              <w:bottom w:val="single" w:sz="4" w:space="0" w:color="auto"/>
              <w:right w:val="single" w:sz="4" w:space="0" w:color="auto"/>
            </w:tcBorders>
            <w:noWrap/>
            <w:vAlign w:val="bottom"/>
            <w:hideMark/>
          </w:tcPr>
          <w:p w14:paraId="65671EE5"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0,4642</w:t>
            </w:r>
          </w:p>
        </w:tc>
      </w:tr>
      <w:tr w:rsidR="00AE421C" w:rsidRPr="00AE421C" w14:paraId="06D8EA90" w14:textId="77777777" w:rsidTr="00AE421C">
        <w:trPr>
          <w:trHeight w:val="630"/>
          <w:jc w:val="center"/>
        </w:trPr>
        <w:tc>
          <w:tcPr>
            <w:tcW w:w="3220" w:type="dxa"/>
            <w:tcBorders>
              <w:top w:val="nil"/>
              <w:left w:val="single" w:sz="4" w:space="0" w:color="auto"/>
              <w:bottom w:val="single" w:sz="4" w:space="0" w:color="auto"/>
              <w:right w:val="single" w:sz="4" w:space="0" w:color="auto"/>
            </w:tcBorders>
            <w:vAlign w:val="bottom"/>
            <w:hideMark/>
          </w:tcPr>
          <w:p w14:paraId="1DFCA294" w14:textId="77777777" w:rsidR="00AE421C" w:rsidRPr="00AE421C" w:rsidRDefault="00AE421C" w:rsidP="00AE421C">
            <w:pPr>
              <w:spacing w:after="0" w:line="240" w:lineRule="auto"/>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Рентабельность собственного капитала (ROE)</w:t>
            </w:r>
          </w:p>
        </w:tc>
        <w:tc>
          <w:tcPr>
            <w:tcW w:w="1700" w:type="dxa"/>
            <w:tcBorders>
              <w:top w:val="nil"/>
              <w:left w:val="nil"/>
              <w:bottom w:val="single" w:sz="4" w:space="0" w:color="auto"/>
              <w:right w:val="single" w:sz="4" w:space="0" w:color="auto"/>
            </w:tcBorders>
            <w:noWrap/>
            <w:vAlign w:val="center"/>
            <w:hideMark/>
          </w:tcPr>
          <w:p w14:paraId="7FF5CF78"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7,92%</w:t>
            </w:r>
          </w:p>
        </w:tc>
        <w:tc>
          <w:tcPr>
            <w:tcW w:w="1540" w:type="dxa"/>
            <w:tcBorders>
              <w:top w:val="nil"/>
              <w:left w:val="nil"/>
              <w:bottom w:val="single" w:sz="4" w:space="0" w:color="auto"/>
              <w:right w:val="single" w:sz="4" w:space="0" w:color="auto"/>
            </w:tcBorders>
            <w:noWrap/>
            <w:vAlign w:val="center"/>
            <w:hideMark/>
          </w:tcPr>
          <w:p w14:paraId="14252848"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5,41%</w:t>
            </w:r>
          </w:p>
        </w:tc>
        <w:tc>
          <w:tcPr>
            <w:tcW w:w="1540" w:type="dxa"/>
            <w:tcBorders>
              <w:top w:val="nil"/>
              <w:left w:val="nil"/>
              <w:bottom w:val="single" w:sz="4" w:space="0" w:color="auto"/>
              <w:right w:val="single" w:sz="4" w:space="0" w:color="auto"/>
            </w:tcBorders>
            <w:noWrap/>
            <w:vAlign w:val="center"/>
            <w:hideMark/>
          </w:tcPr>
          <w:p w14:paraId="70870508" w14:textId="77777777" w:rsidR="00AE421C" w:rsidRPr="00AE421C" w:rsidRDefault="00AE421C" w:rsidP="00AE421C">
            <w:pPr>
              <w:spacing w:after="0" w:line="240" w:lineRule="auto"/>
              <w:jc w:val="center"/>
              <w:rPr>
                <w:rFonts w:ascii="Times New Roman" w:eastAsia="Times New Roman" w:hAnsi="Times New Roman" w:cs="Times New Roman"/>
                <w:color w:val="000000"/>
                <w:sz w:val="24"/>
                <w:szCs w:val="24"/>
              </w:rPr>
            </w:pPr>
            <w:r w:rsidRPr="00AE421C">
              <w:rPr>
                <w:rFonts w:ascii="Times New Roman" w:eastAsia="Times New Roman" w:hAnsi="Times New Roman" w:cs="Times New Roman"/>
                <w:color w:val="000000"/>
                <w:sz w:val="24"/>
                <w:szCs w:val="24"/>
              </w:rPr>
              <w:t>-2,50%</w:t>
            </w:r>
          </w:p>
        </w:tc>
      </w:tr>
    </w:tbl>
    <w:p w14:paraId="4AAB4418"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Факторный анализ:</w:t>
      </w:r>
    </w:p>
    <w:p w14:paraId="276025E3"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y0 = 0,0792</w:t>
      </w:r>
    </w:p>
    <w:p w14:paraId="2E9A2EC9"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y(усл1) = 0,1067 * 0,4384 * 0,7878 = 0,0368</w:t>
      </w:r>
    </w:p>
    <w:p w14:paraId="6C01AD22"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y(усл2) = 0,1067 * 0,4054 * 0,7878 = 0,0341</w:t>
      </w:r>
    </w:p>
    <w:p w14:paraId="175BE292"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 xml:space="preserve">y1 = 0,0541 </w:t>
      </w:r>
    </w:p>
    <w:p w14:paraId="3B0FC033"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Δya = y(усл1) – y0 = 0,0368 - 0,0792 = -0,0424</w:t>
      </w:r>
    </w:p>
    <w:p w14:paraId="664D311A"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Δyb = y(усл2) – y(усл1) = 0,0341 - 0,0368 = -0,0027</w:t>
      </w:r>
    </w:p>
    <w:p w14:paraId="3A61A4B6"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Δyc =  y1 – y(усл2) = 0,0541 - 0,0341 = 0,02</w:t>
      </w:r>
    </w:p>
    <w:p w14:paraId="4EF8B408" w14:textId="77777777" w:rsidR="006B4110" w:rsidRPr="006B4110" w:rsidRDefault="006B4110" w:rsidP="006B4110">
      <w:pPr>
        <w:pStyle w:val="1"/>
        <w:widowControl w:val="0"/>
        <w:spacing w:after="0" w:line="360" w:lineRule="auto"/>
        <w:ind w:firstLine="708"/>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Δy = -0,0424 - 0,0027 + 0,02 = -0,0251</w:t>
      </w:r>
    </w:p>
    <w:p w14:paraId="361F6F8C" w14:textId="77777777" w:rsidR="00AE421C" w:rsidRPr="00647A0D" w:rsidRDefault="00AE421C" w:rsidP="000C4199">
      <w:pPr>
        <w:pStyle w:val="1"/>
        <w:widowControl w:val="0"/>
        <w:spacing w:after="0" w:line="360" w:lineRule="auto"/>
        <w:ind w:firstLine="708"/>
        <w:jc w:val="both"/>
        <w:rPr>
          <w:rFonts w:ascii="Times New Roman" w:eastAsia="Times New Roman" w:hAnsi="Times New Roman" w:cs="Times New Roman"/>
          <w:sz w:val="28"/>
          <w:szCs w:val="28"/>
        </w:rPr>
      </w:pPr>
      <w:r w:rsidRPr="00647A0D">
        <w:rPr>
          <w:rFonts w:ascii="Times New Roman" w:eastAsia="Times New Roman" w:hAnsi="Times New Roman" w:cs="Times New Roman"/>
          <w:sz w:val="28"/>
          <w:szCs w:val="28"/>
        </w:rPr>
        <w:t>Выводы:</w:t>
      </w:r>
    </w:p>
    <w:p w14:paraId="6F072320" w14:textId="77777777" w:rsidR="000C4199" w:rsidRPr="000C4199" w:rsidRDefault="006B4110" w:rsidP="006B4110">
      <w:pPr>
        <w:pStyle w:val="1"/>
        <w:widowControl w:val="0"/>
        <w:spacing w:before="0" w:after="0" w:line="360" w:lineRule="auto"/>
        <w:jc w:val="both"/>
        <w:rPr>
          <w:rFonts w:ascii="Times New Roman" w:eastAsia="Times New Roman" w:hAnsi="Times New Roman" w:cs="Times New Roman"/>
          <w:b w:val="0"/>
          <w:sz w:val="28"/>
          <w:szCs w:val="28"/>
        </w:rPr>
      </w:pPr>
      <w:r w:rsidRPr="006B4110">
        <w:rPr>
          <w:rFonts w:ascii="Times New Roman" w:eastAsia="Times New Roman" w:hAnsi="Times New Roman" w:cs="Times New Roman"/>
          <w:b w:val="0"/>
          <w:sz w:val="28"/>
          <w:szCs w:val="28"/>
        </w:rPr>
        <w:t>Рентабельность собственного капитала (ROE) в отчетном 2024 го</w:t>
      </w:r>
      <w:r w:rsidR="007F08C1">
        <w:rPr>
          <w:rFonts w:ascii="Times New Roman" w:eastAsia="Times New Roman" w:hAnsi="Times New Roman" w:cs="Times New Roman"/>
          <w:b w:val="0"/>
          <w:sz w:val="28"/>
          <w:szCs w:val="28"/>
        </w:rPr>
        <w:t xml:space="preserve">ду составила 5,41%, что на 2,50% </w:t>
      </w:r>
      <w:r w:rsidRPr="006B4110">
        <w:rPr>
          <w:rFonts w:ascii="Times New Roman" w:eastAsia="Times New Roman" w:hAnsi="Times New Roman" w:cs="Times New Roman"/>
          <w:b w:val="0"/>
          <w:sz w:val="28"/>
          <w:szCs w:val="28"/>
        </w:rPr>
        <w:t>ниже уровня предыдущего года (7,92%). Проведённый факторный анализ позволил определить количественное влияние каждого из компонентов на изменение данного показателя. Наибольшее отрицательное влияние оказало снижение рентабельности продаж: при условии неизменности других факторов изменение рентабельности с 22,92% до 10,67% привело к снижению ROE н</w:t>
      </w:r>
      <w:r w:rsidR="007F08C1">
        <w:rPr>
          <w:rFonts w:ascii="Times New Roman" w:eastAsia="Times New Roman" w:hAnsi="Times New Roman" w:cs="Times New Roman"/>
          <w:b w:val="0"/>
          <w:sz w:val="28"/>
          <w:szCs w:val="28"/>
        </w:rPr>
        <w:t>а 4,24%</w:t>
      </w:r>
      <w:r w:rsidRPr="006B4110">
        <w:rPr>
          <w:rFonts w:ascii="Times New Roman" w:eastAsia="Times New Roman" w:hAnsi="Times New Roman" w:cs="Times New Roman"/>
          <w:b w:val="0"/>
          <w:sz w:val="28"/>
          <w:szCs w:val="28"/>
        </w:rPr>
        <w:t xml:space="preserve"> (Δya = –0,0424). Уменьшение оборачиваемости активов с 0,4384 до 0,4054 дополнительно снизило рентабельность со</w:t>
      </w:r>
      <w:r w:rsidR="007F08C1">
        <w:rPr>
          <w:rFonts w:ascii="Times New Roman" w:eastAsia="Times New Roman" w:hAnsi="Times New Roman" w:cs="Times New Roman"/>
          <w:b w:val="0"/>
          <w:sz w:val="28"/>
          <w:szCs w:val="28"/>
        </w:rPr>
        <w:t>бственного капитала на 0,27%</w:t>
      </w:r>
      <w:r w:rsidRPr="006B4110">
        <w:rPr>
          <w:rFonts w:ascii="Times New Roman" w:eastAsia="Times New Roman" w:hAnsi="Times New Roman" w:cs="Times New Roman"/>
          <w:b w:val="0"/>
          <w:sz w:val="28"/>
          <w:szCs w:val="28"/>
        </w:rPr>
        <w:t xml:space="preserve"> (Δyb = –0,0027), что свидетельствует о снижении эффективности использования активов для генерации выручки. В то же время рост коэффициента финансового левериджа с 0,7878 до 1,2520 оказал положительное</w:t>
      </w:r>
      <w:r w:rsidR="007F08C1">
        <w:rPr>
          <w:rFonts w:ascii="Times New Roman" w:eastAsia="Times New Roman" w:hAnsi="Times New Roman" w:cs="Times New Roman"/>
          <w:b w:val="0"/>
          <w:sz w:val="28"/>
          <w:szCs w:val="28"/>
        </w:rPr>
        <w:t xml:space="preserve"> влияние, увеличив ROE на 2%</w:t>
      </w:r>
      <w:r w:rsidRPr="006B4110">
        <w:rPr>
          <w:rFonts w:ascii="Times New Roman" w:eastAsia="Times New Roman" w:hAnsi="Times New Roman" w:cs="Times New Roman"/>
          <w:b w:val="0"/>
          <w:sz w:val="28"/>
          <w:szCs w:val="28"/>
        </w:rPr>
        <w:t xml:space="preserve"> (Δyc = +0,02), что может быть связано с увеличением доли заемного капитала в структуре источников финансирования. Однако положительный эффект от роста финансового рычага оказался недостаточным для компенсации отрицательных изменений в рентабельности продаж и оборачиваемости активов. Таким образом, ключевым фактором снижения рентабельности собственного капитала в отчетном периоде выступает резкое сокращение рентабельности продаж, на фоне которого наблюдается также незначительное замедление деловой активности, в то время как использование заемных средств хоть и усилилось, но не обеспечило роста финансовой отдачи. Это указывает на необходимость повышения операционной эффективности, в том числе за счёт оптимизации затрат и повышения управляемости выручкой.</w:t>
      </w:r>
    </w:p>
    <w:p w14:paraId="7FDB7796" w14:textId="77777777" w:rsidR="00F1590E" w:rsidRDefault="000C4199">
      <w:pPr>
        <w:rPr>
          <w:rFonts w:ascii="Times New Roman" w:eastAsia="Times New Roman" w:hAnsi="Times New Roman" w:cs="Times New Roman"/>
          <w:b/>
          <w:sz w:val="28"/>
          <w:szCs w:val="28"/>
        </w:rPr>
      </w:pPr>
      <w:r>
        <w:br w:type="page"/>
      </w:r>
    </w:p>
    <w:p w14:paraId="2187A42A"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Задание 9. </w:t>
      </w:r>
      <w:r>
        <w:rPr>
          <w:rFonts w:ascii="Times New Roman" w:eastAsia="Times New Roman" w:hAnsi="Times New Roman" w:cs="Times New Roman"/>
          <w:b w:val="0"/>
          <w:sz w:val="28"/>
          <w:szCs w:val="28"/>
        </w:rPr>
        <w:t>Рассчитать коэффициенты деловой активности и оценить насколько эффективно организация использует свои средства.</w:t>
      </w:r>
    </w:p>
    <w:p w14:paraId="6BB19DAC" w14:textId="77777777" w:rsidR="00F1590E" w:rsidRDefault="000C4199">
      <w:pPr>
        <w:pStyle w:val="1"/>
        <w:widowControl w:val="0"/>
        <w:spacing w:before="0" w:after="0"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9.1</w:t>
      </w:r>
    </w:p>
    <w:p w14:paraId="17FAB517" w14:textId="77777777" w:rsidR="003E366F" w:rsidRPr="003E366F" w:rsidRDefault="000C4199" w:rsidP="003E366F">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коэффициентов деловой активности</w:t>
      </w:r>
    </w:p>
    <w:tbl>
      <w:tblPr>
        <w:tblW w:w="13462" w:type="dxa"/>
        <w:jc w:val="center"/>
        <w:tblLook w:val="04A0" w:firstRow="1" w:lastRow="0" w:firstColumn="1" w:lastColumn="0" w:noHBand="0" w:noVBand="1"/>
      </w:tblPr>
      <w:tblGrid>
        <w:gridCol w:w="560"/>
        <w:gridCol w:w="1992"/>
        <w:gridCol w:w="3247"/>
        <w:gridCol w:w="1673"/>
        <w:gridCol w:w="1440"/>
        <w:gridCol w:w="4550"/>
      </w:tblGrid>
      <w:tr w:rsidR="003E366F" w:rsidRPr="003E366F" w14:paraId="28DDBB25" w14:textId="77777777" w:rsidTr="00AA188C">
        <w:trPr>
          <w:trHeight w:val="630"/>
          <w:jc w:val="center"/>
        </w:trPr>
        <w:tc>
          <w:tcPr>
            <w:tcW w:w="560" w:type="dxa"/>
            <w:tcBorders>
              <w:top w:val="single" w:sz="4" w:space="0" w:color="000000"/>
              <w:left w:val="single" w:sz="4" w:space="0" w:color="000000"/>
              <w:bottom w:val="single" w:sz="4" w:space="0" w:color="auto"/>
              <w:right w:val="single" w:sz="4" w:space="0" w:color="000000"/>
            </w:tcBorders>
            <w:vAlign w:val="center"/>
            <w:hideMark/>
          </w:tcPr>
          <w:p w14:paraId="0801F286" w14:textId="77777777" w:rsidR="003E366F" w:rsidRPr="003E366F" w:rsidRDefault="003E366F" w:rsidP="003E366F">
            <w:pPr>
              <w:spacing w:after="0" w:line="240" w:lineRule="auto"/>
              <w:jc w:val="center"/>
              <w:rPr>
                <w:rFonts w:ascii="Times New Roman" w:eastAsia="Times New Roman" w:hAnsi="Times New Roman" w:cs="Times New Roman"/>
                <w:b/>
                <w:bCs/>
                <w:color w:val="000000"/>
                <w:sz w:val="24"/>
                <w:szCs w:val="24"/>
              </w:rPr>
            </w:pPr>
            <w:r w:rsidRPr="003E366F">
              <w:rPr>
                <w:rFonts w:ascii="Times New Roman" w:eastAsia="Times New Roman" w:hAnsi="Times New Roman" w:cs="Times New Roman"/>
                <w:b/>
                <w:bCs/>
                <w:color w:val="000000"/>
                <w:sz w:val="24"/>
                <w:szCs w:val="24"/>
              </w:rPr>
              <w:t>№ п/п</w:t>
            </w:r>
          </w:p>
        </w:tc>
        <w:tc>
          <w:tcPr>
            <w:tcW w:w="1992" w:type="dxa"/>
            <w:tcBorders>
              <w:top w:val="single" w:sz="4" w:space="0" w:color="000000"/>
              <w:left w:val="nil"/>
              <w:bottom w:val="single" w:sz="4" w:space="0" w:color="auto"/>
              <w:right w:val="single" w:sz="4" w:space="0" w:color="000000"/>
            </w:tcBorders>
            <w:vAlign w:val="center"/>
            <w:hideMark/>
          </w:tcPr>
          <w:p w14:paraId="4DC1B6E0" w14:textId="77777777" w:rsidR="003E366F" w:rsidRPr="003E366F" w:rsidRDefault="003E366F" w:rsidP="003E366F">
            <w:pPr>
              <w:spacing w:after="0" w:line="240" w:lineRule="auto"/>
              <w:jc w:val="center"/>
              <w:rPr>
                <w:rFonts w:ascii="Times New Roman" w:eastAsia="Times New Roman" w:hAnsi="Times New Roman" w:cs="Times New Roman"/>
                <w:b/>
                <w:bCs/>
                <w:color w:val="000000"/>
                <w:sz w:val="24"/>
                <w:szCs w:val="24"/>
              </w:rPr>
            </w:pPr>
            <w:r w:rsidRPr="003E366F">
              <w:rPr>
                <w:rFonts w:ascii="Times New Roman" w:eastAsia="Times New Roman" w:hAnsi="Times New Roman" w:cs="Times New Roman"/>
                <w:b/>
                <w:bCs/>
                <w:color w:val="000000"/>
                <w:sz w:val="24"/>
                <w:szCs w:val="24"/>
              </w:rPr>
              <w:t>Показатели</w:t>
            </w:r>
          </w:p>
        </w:tc>
        <w:tc>
          <w:tcPr>
            <w:tcW w:w="3247" w:type="dxa"/>
            <w:tcBorders>
              <w:top w:val="single" w:sz="4" w:space="0" w:color="000000"/>
              <w:left w:val="nil"/>
              <w:bottom w:val="single" w:sz="4" w:space="0" w:color="auto"/>
              <w:right w:val="single" w:sz="4" w:space="0" w:color="000000"/>
            </w:tcBorders>
            <w:vAlign w:val="center"/>
            <w:hideMark/>
          </w:tcPr>
          <w:p w14:paraId="1B91920F" w14:textId="77777777" w:rsidR="003E366F" w:rsidRPr="003E366F" w:rsidRDefault="003E366F" w:rsidP="003E366F">
            <w:pPr>
              <w:spacing w:after="0" w:line="240" w:lineRule="auto"/>
              <w:jc w:val="center"/>
              <w:rPr>
                <w:rFonts w:ascii="Times New Roman" w:eastAsia="Times New Roman" w:hAnsi="Times New Roman" w:cs="Times New Roman"/>
                <w:b/>
                <w:bCs/>
                <w:color w:val="000000"/>
                <w:sz w:val="24"/>
                <w:szCs w:val="24"/>
              </w:rPr>
            </w:pPr>
            <w:r w:rsidRPr="003E366F">
              <w:rPr>
                <w:rFonts w:ascii="Times New Roman" w:eastAsia="Times New Roman" w:hAnsi="Times New Roman" w:cs="Times New Roman"/>
                <w:b/>
                <w:bCs/>
                <w:color w:val="000000"/>
                <w:sz w:val="24"/>
                <w:szCs w:val="24"/>
              </w:rPr>
              <w:t>Формула расчета</w:t>
            </w:r>
          </w:p>
        </w:tc>
        <w:tc>
          <w:tcPr>
            <w:tcW w:w="1673" w:type="dxa"/>
            <w:tcBorders>
              <w:top w:val="single" w:sz="4" w:space="0" w:color="000000"/>
              <w:left w:val="nil"/>
              <w:bottom w:val="single" w:sz="4" w:space="0" w:color="000000"/>
              <w:right w:val="single" w:sz="4" w:space="0" w:color="000000"/>
            </w:tcBorders>
            <w:vAlign w:val="center"/>
            <w:hideMark/>
          </w:tcPr>
          <w:p w14:paraId="3A9D0564" w14:textId="77777777" w:rsidR="003E366F" w:rsidRPr="003E366F" w:rsidRDefault="003E366F" w:rsidP="003E366F">
            <w:pPr>
              <w:spacing w:after="0" w:line="240" w:lineRule="auto"/>
              <w:jc w:val="center"/>
              <w:rPr>
                <w:rFonts w:ascii="Times New Roman" w:eastAsia="Times New Roman" w:hAnsi="Times New Roman" w:cs="Times New Roman"/>
                <w:b/>
                <w:bCs/>
                <w:color w:val="000000"/>
                <w:sz w:val="24"/>
                <w:szCs w:val="24"/>
              </w:rPr>
            </w:pPr>
            <w:r w:rsidRPr="003E366F">
              <w:rPr>
                <w:rFonts w:ascii="Times New Roman" w:eastAsia="Times New Roman" w:hAnsi="Times New Roman" w:cs="Times New Roman"/>
                <w:b/>
                <w:bCs/>
                <w:color w:val="000000"/>
                <w:sz w:val="24"/>
                <w:szCs w:val="24"/>
              </w:rPr>
              <w:t>Предыдущий год</w:t>
            </w:r>
          </w:p>
        </w:tc>
        <w:tc>
          <w:tcPr>
            <w:tcW w:w="1440" w:type="dxa"/>
            <w:tcBorders>
              <w:top w:val="single" w:sz="4" w:space="0" w:color="000000"/>
              <w:left w:val="nil"/>
              <w:bottom w:val="single" w:sz="4" w:space="0" w:color="000000"/>
              <w:right w:val="single" w:sz="4" w:space="0" w:color="000000"/>
            </w:tcBorders>
            <w:vAlign w:val="center"/>
            <w:hideMark/>
          </w:tcPr>
          <w:p w14:paraId="34E4B328" w14:textId="77777777" w:rsidR="003E366F" w:rsidRPr="003E366F" w:rsidRDefault="003E366F" w:rsidP="003E366F">
            <w:pPr>
              <w:spacing w:after="0" w:line="240" w:lineRule="auto"/>
              <w:jc w:val="center"/>
              <w:rPr>
                <w:rFonts w:ascii="Times New Roman" w:eastAsia="Times New Roman" w:hAnsi="Times New Roman" w:cs="Times New Roman"/>
                <w:b/>
                <w:bCs/>
                <w:color w:val="000000"/>
                <w:sz w:val="24"/>
                <w:szCs w:val="24"/>
              </w:rPr>
            </w:pPr>
            <w:r w:rsidRPr="003E366F">
              <w:rPr>
                <w:rFonts w:ascii="Times New Roman" w:eastAsia="Times New Roman" w:hAnsi="Times New Roman" w:cs="Times New Roman"/>
                <w:b/>
                <w:bCs/>
                <w:color w:val="000000"/>
                <w:sz w:val="24"/>
                <w:szCs w:val="24"/>
              </w:rPr>
              <w:t>Отчетный год</w:t>
            </w:r>
          </w:p>
        </w:tc>
        <w:tc>
          <w:tcPr>
            <w:tcW w:w="4550" w:type="dxa"/>
            <w:tcBorders>
              <w:top w:val="single" w:sz="4" w:space="0" w:color="000000"/>
              <w:left w:val="nil"/>
              <w:bottom w:val="single" w:sz="4" w:space="0" w:color="auto"/>
              <w:right w:val="single" w:sz="4" w:space="0" w:color="000000"/>
            </w:tcBorders>
            <w:vAlign w:val="center"/>
            <w:hideMark/>
          </w:tcPr>
          <w:p w14:paraId="44B9D99A" w14:textId="77777777" w:rsidR="003E366F" w:rsidRPr="003E366F" w:rsidRDefault="003E366F" w:rsidP="003E366F">
            <w:pPr>
              <w:spacing w:after="0" w:line="240" w:lineRule="auto"/>
              <w:jc w:val="center"/>
              <w:rPr>
                <w:rFonts w:ascii="Times New Roman" w:eastAsia="Times New Roman" w:hAnsi="Times New Roman" w:cs="Times New Roman"/>
                <w:b/>
                <w:bCs/>
                <w:color w:val="000000"/>
                <w:sz w:val="24"/>
                <w:szCs w:val="24"/>
              </w:rPr>
            </w:pPr>
            <w:r w:rsidRPr="003E366F">
              <w:rPr>
                <w:rFonts w:ascii="Times New Roman" w:eastAsia="Times New Roman" w:hAnsi="Times New Roman" w:cs="Times New Roman"/>
                <w:b/>
                <w:bCs/>
                <w:color w:val="000000"/>
                <w:sz w:val="24"/>
                <w:szCs w:val="24"/>
              </w:rPr>
              <w:t>Характеристика показателя</w:t>
            </w:r>
          </w:p>
        </w:tc>
      </w:tr>
      <w:tr w:rsidR="003E366F" w:rsidRPr="003E366F" w14:paraId="5716E924" w14:textId="77777777" w:rsidTr="00AA188C">
        <w:trPr>
          <w:trHeight w:val="3165"/>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5D6137E2"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w:t>
            </w:r>
          </w:p>
        </w:tc>
        <w:tc>
          <w:tcPr>
            <w:tcW w:w="1992" w:type="dxa"/>
            <w:tcBorders>
              <w:top w:val="single" w:sz="4" w:space="0" w:color="auto"/>
              <w:left w:val="single" w:sz="4" w:space="0" w:color="auto"/>
              <w:bottom w:val="single" w:sz="4" w:space="0" w:color="auto"/>
              <w:right w:val="single" w:sz="4" w:space="0" w:color="auto"/>
            </w:tcBorders>
            <w:vAlign w:val="center"/>
            <w:hideMark/>
          </w:tcPr>
          <w:p w14:paraId="75A9B0D7"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Коэффициент оборачиваемости активов, раз</w:t>
            </w:r>
          </w:p>
        </w:tc>
        <w:tc>
          <w:tcPr>
            <w:tcW w:w="3247" w:type="dxa"/>
            <w:tcBorders>
              <w:top w:val="single" w:sz="4" w:space="0" w:color="auto"/>
              <w:left w:val="single" w:sz="4" w:space="0" w:color="auto"/>
              <w:bottom w:val="single" w:sz="4" w:space="0" w:color="auto"/>
              <w:right w:val="single" w:sz="4" w:space="0" w:color="auto"/>
            </w:tcBorders>
            <w:vAlign w:val="center"/>
            <w:hideMark/>
          </w:tcPr>
          <w:p w14:paraId="09F21CD9"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w:t>
            </w:r>
            <w:r w:rsidRPr="003E366F">
              <w:rPr>
                <w:rFonts w:ascii="Times New Roman" w:eastAsia="Times New Roman" w:hAnsi="Times New Roman" w:cs="Times New Roman"/>
                <w:color w:val="000000"/>
                <w:sz w:val="24"/>
                <w:szCs w:val="24"/>
                <w:vertAlign w:val="subscript"/>
              </w:rPr>
              <w:t>ОА</w:t>
            </w:r>
            <w:r w:rsidRPr="003E366F">
              <w:rPr>
                <w:rFonts w:ascii="Times New Roman" w:eastAsia="Times New Roman" w:hAnsi="Times New Roman" w:cs="Times New Roman"/>
                <w:color w:val="000000"/>
                <w:sz w:val="24"/>
                <w:szCs w:val="24"/>
              </w:rPr>
              <w:t xml:space="preserve">= </w:t>
            </w:r>
            <w:r w:rsidRPr="003E366F">
              <w:rPr>
                <w:rFonts w:ascii="Times New Roman" w:eastAsia="Times New Roman" w:hAnsi="Times New Roman" w:cs="Times New Roman"/>
                <w:color w:val="00B050"/>
                <w:sz w:val="24"/>
                <w:szCs w:val="24"/>
              </w:rPr>
              <w:t>Выручка</w:t>
            </w:r>
            <w:r w:rsidRPr="003E366F">
              <w:rPr>
                <w:rFonts w:ascii="Times New Roman" w:eastAsia="Times New Roman" w:hAnsi="Times New Roman" w:cs="Times New Roman"/>
                <w:color w:val="000000"/>
                <w:sz w:val="24"/>
                <w:szCs w:val="24"/>
              </w:rPr>
              <w:t xml:space="preserve">/Суммарный актив </w:t>
            </w:r>
          </w:p>
        </w:tc>
        <w:tc>
          <w:tcPr>
            <w:tcW w:w="1673" w:type="dxa"/>
            <w:tcBorders>
              <w:top w:val="nil"/>
              <w:left w:val="single" w:sz="4" w:space="0" w:color="auto"/>
              <w:bottom w:val="single" w:sz="4" w:space="0" w:color="auto"/>
              <w:right w:val="single" w:sz="4" w:space="0" w:color="000000"/>
            </w:tcBorders>
            <w:vAlign w:val="center"/>
            <w:hideMark/>
          </w:tcPr>
          <w:p w14:paraId="2849644F"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0,3879</w:t>
            </w:r>
          </w:p>
        </w:tc>
        <w:tc>
          <w:tcPr>
            <w:tcW w:w="1440" w:type="dxa"/>
            <w:tcBorders>
              <w:top w:val="nil"/>
              <w:left w:val="nil"/>
              <w:bottom w:val="single" w:sz="4" w:space="0" w:color="auto"/>
              <w:right w:val="single" w:sz="4" w:space="0" w:color="auto"/>
            </w:tcBorders>
            <w:vAlign w:val="center"/>
            <w:hideMark/>
          </w:tcPr>
          <w:p w14:paraId="2299FC60"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0,4522</w:t>
            </w:r>
          </w:p>
        </w:tc>
        <w:tc>
          <w:tcPr>
            <w:tcW w:w="4550" w:type="dxa"/>
            <w:tcBorders>
              <w:top w:val="single" w:sz="4" w:space="0" w:color="auto"/>
              <w:left w:val="single" w:sz="4" w:space="0" w:color="auto"/>
              <w:bottom w:val="single" w:sz="4" w:space="0" w:color="auto"/>
              <w:right w:val="single" w:sz="4" w:space="0" w:color="auto"/>
            </w:tcBorders>
            <w:vAlign w:val="center"/>
            <w:hideMark/>
          </w:tcPr>
          <w:p w14:paraId="0873A1E8"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Характеризует эффективность использования организацией всех имеющихся в ее распоряжении ресурсов, независимо от источников их привлечения. Данный коэффициент показывает сколько раз за год совершается полный цикл производства и обращения, приносящий соответствующий эффект в виде прибыли.</w:t>
            </w:r>
          </w:p>
        </w:tc>
      </w:tr>
      <w:tr w:rsidR="003E366F" w:rsidRPr="003E366F" w14:paraId="14DC6C3E" w14:textId="77777777" w:rsidTr="00AA188C">
        <w:trPr>
          <w:trHeight w:val="3660"/>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4FAFC32"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w:t>
            </w:r>
          </w:p>
        </w:tc>
        <w:tc>
          <w:tcPr>
            <w:tcW w:w="1992" w:type="dxa"/>
            <w:tcBorders>
              <w:top w:val="single" w:sz="4" w:space="0" w:color="auto"/>
              <w:left w:val="nil"/>
              <w:bottom w:val="single" w:sz="4" w:space="0" w:color="auto"/>
              <w:right w:val="single" w:sz="4" w:space="0" w:color="auto"/>
            </w:tcBorders>
            <w:vAlign w:val="center"/>
            <w:hideMark/>
          </w:tcPr>
          <w:p w14:paraId="4BA9D624"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Скорость оборачиваемости активов, дней</w:t>
            </w:r>
          </w:p>
        </w:tc>
        <w:tc>
          <w:tcPr>
            <w:tcW w:w="3247" w:type="dxa"/>
            <w:tcBorders>
              <w:top w:val="single" w:sz="4" w:space="0" w:color="auto"/>
              <w:left w:val="nil"/>
              <w:bottom w:val="single" w:sz="4" w:space="0" w:color="auto"/>
              <w:right w:val="single" w:sz="4" w:space="0" w:color="auto"/>
            </w:tcBorders>
            <w:vAlign w:val="center"/>
            <w:hideMark/>
          </w:tcPr>
          <w:p w14:paraId="4D8903F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Д(К</w:t>
            </w:r>
            <w:r w:rsidRPr="003E366F">
              <w:rPr>
                <w:rFonts w:eastAsia="Times New Roman"/>
                <w:color w:val="000000"/>
                <w:vertAlign w:val="subscript"/>
              </w:rPr>
              <w:t>ОА</w:t>
            </w:r>
            <w:r w:rsidRPr="003E366F">
              <w:rPr>
                <w:rFonts w:eastAsia="Times New Roman"/>
                <w:color w:val="000000"/>
              </w:rPr>
              <w:t>)</w:t>
            </w:r>
            <w:r w:rsidRPr="003E366F">
              <w:rPr>
                <w:rFonts w:ascii="Times New Roman" w:eastAsia="Times New Roman" w:hAnsi="Times New Roman" w:cs="Times New Roman"/>
                <w:color w:val="000000"/>
                <w:sz w:val="24"/>
                <w:szCs w:val="24"/>
              </w:rPr>
              <w:t>= 365/К</w:t>
            </w:r>
            <w:r w:rsidRPr="003E366F">
              <w:rPr>
                <w:rFonts w:ascii="Times New Roman" w:eastAsia="Times New Roman" w:hAnsi="Times New Roman" w:cs="Times New Roman"/>
                <w:color w:val="000000"/>
                <w:sz w:val="24"/>
                <w:szCs w:val="24"/>
                <w:vertAlign w:val="subscript"/>
              </w:rPr>
              <w:t>ОА</w:t>
            </w:r>
          </w:p>
        </w:tc>
        <w:tc>
          <w:tcPr>
            <w:tcW w:w="1673" w:type="dxa"/>
            <w:tcBorders>
              <w:top w:val="single" w:sz="4" w:space="0" w:color="auto"/>
              <w:left w:val="single" w:sz="4" w:space="0" w:color="auto"/>
              <w:bottom w:val="single" w:sz="4" w:space="0" w:color="auto"/>
              <w:right w:val="single" w:sz="4" w:space="0" w:color="auto"/>
            </w:tcBorders>
            <w:vAlign w:val="center"/>
            <w:hideMark/>
          </w:tcPr>
          <w:p w14:paraId="1C69C8E4"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940,9108</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14C821C"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807,2280</w:t>
            </w:r>
          </w:p>
        </w:tc>
        <w:tc>
          <w:tcPr>
            <w:tcW w:w="4550" w:type="dxa"/>
            <w:tcBorders>
              <w:top w:val="single" w:sz="4" w:space="0" w:color="auto"/>
              <w:left w:val="single" w:sz="4" w:space="0" w:color="auto"/>
              <w:bottom w:val="single" w:sz="4" w:space="0" w:color="auto"/>
              <w:right w:val="single" w:sz="4" w:space="0" w:color="auto"/>
            </w:tcBorders>
            <w:vAlign w:val="center"/>
            <w:hideMark/>
          </w:tcPr>
          <w:p w14:paraId="0F283741"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3E366F" w:rsidRPr="003E366F" w14:paraId="65FF7E36" w14:textId="77777777" w:rsidTr="00AA188C">
        <w:trPr>
          <w:trHeight w:val="3525"/>
          <w:jc w:val="center"/>
        </w:trPr>
        <w:tc>
          <w:tcPr>
            <w:tcW w:w="560" w:type="dxa"/>
            <w:tcBorders>
              <w:top w:val="nil"/>
              <w:left w:val="single" w:sz="4" w:space="0" w:color="000000"/>
              <w:bottom w:val="single" w:sz="4" w:space="0" w:color="auto"/>
              <w:right w:val="single" w:sz="4" w:space="0" w:color="000000"/>
            </w:tcBorders>
            <w:vAlign w:val="center"/>
            <w:hideMark/>
          </w:tcPr>
          <w:p w14:paraId="67313FC4"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3</w:t>
            </w:r>
          </w:p>
        </w:tc>
        <w:tc>
          <w:tcPr>
            <w:tcW w:w="1992" w:type="dxa"/>
            <w:tcBorders>
              <w:top w:val="nil"/>
              <w:left w:val="nil"/>
              <w:bottom w:val="single" w:sz="4" w:space="0" w:color="auto"/>
              <w:right w:val="single" w:sz="4" w:space="0" w:color="000000"/>
            </w:tcBorders>
            <w:vAlign w:val="center"/>
            <w:hideMark/>
          </w:tcPr>
          <w:p w14:paraId="676839B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Коэффициент оборачиваемости</w:t>
            </w:r>
            <w:r w:rsidRPr="003E366F">
              <w:rPr>
                <w:rFonts w:ascii="Times New Roman" w:eastAsia="Times New Roman" w:hAnsi="Times New Roman" w:cs="Times New Roman"/>
                <w:color w:val="00B050"/>
                <w:sz w:val="24"/>
                <w:szCs w:val="24"/>
              </w:rPr>
              <w:t xml:space="preserve"> основных средств</w:t>
            </w:r>
            <w:r w:rsidRPr="003E366F">
              <w:rPr>
                <w:rFonts w:ascii="Times New Roman" w:eastAsia="Times New Roman" w:hAnsi="Times New Roman" w:cs="Times New Roman"/>
                <w:color w:val="000000"/>
                <w:sz w:val="24"/>
                <w:szCs w:val="24"/>
              </w:rPr>
              <w:t xml:space="preserve"> (фондоотдача), раз</w:t>
            </w:r>
          </w:p>
        </w:tc>
        <w:tc>
          <w:tcPr>
            <w:tcW w:w="3247" w:type="dxa"/>
            <w:tcBorders>
              <w:top w:val="nil"/>
              <w:left w:val="nil"/>
              <w:bottom w:val="single" w:sz="4" w:space="0" w:color="auto"/>
              <w:right w:val="single" w:sz="4" w:space="0" w:color="000000"/>
            </w:tcBorders>
            <w:vAlign w:val="center"/>
            <w:hideMark/>
          </w:tcPr>
          <w:p w14:paraId="247AF075"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xml:space="preserve">Фо = </w:t>
            </w:r>
            <w:r w:rsidRPr="003E366F">
              <w:rPr>
                <w:rFonts w:ascii="Times New Roman" w:eastAsia="Times New Roman" w:hAnsi="Times New Roman" w:cs="Times New Roman"/>
                <w:color w:val="00B050"/>
                <w:sz w:val="24"/>
                <w:szCs w:val="24"/>
              </w:rPr>
              <w:t>Выручка</w:t>
            </w:r>
            <w:r w:rsidRPr="003E366F">
              <w:rPr>
                <w:rFonts w:ascii="Times New Roman" w:eastAsia="Times New Roman" w:hAnsi="Times New Roman" w:cs="Times New Roman"/>
                <w:color w:val="000000"/>
                <w:sz w:val="24"/>
                <w:szCs w:val="24"/>
              </w:rPr>
              <w:t>/Долгосрочные активы</w:t>
            </w:r>
          </w:p>
        </w:tc>
        <w:tc>
          <w:tcPr>
            <w:tcW w:w="1673" w:type="dxa"/>
            <w:tcBorders>
              <w:top w:val="single" w:sz="4" w:space="0" w:color="auto"/>
              <w:left w:val="nil"/>
              <w:bottom w:val="single" w:sz="4" w:space="0" w:color="auto"/>
              <w:right w:val="single" w:sz="4" w:space="0" w:color="000000"/>
            </w:tcBorders>
            <w:vAlign w:val="center"/>
            <w:hideMark/>
          </w:tcPr>
          <w:p w14:paraId="1B677D37"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1,7935</w:t>
            </w:r>
          </w:p>
        </w:tc>
        <w:tc>
          <w:tcPr>
            <w:tcW w:w="1440" w:type="dxa"/>
            <w:tcBorders>
              <w:top w:val="single" w:sz="4" w:space="0" w:color="auto"/>
              <w:left w:val="nil"/>
              <w:bottom w:val="single" w:sz="4" w:space="0" w:color="auto"/>
              <w:right w:val="single" w:sz="4" w:space="0" w:color="000000"/>
            </w:tcBorders>
            <w:vAlign w:val="center"/>
            <w:hideMark/>
          </w:tcPr>
          <w:p w14:paraId="6C3B701C"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2,0905</w:t>
            </w:r>
          </w:p>
        </w:tc>
        <w:tc>
          <w:tcPr>
            <w:tcW w:w="4550" w:type="dxa"/>
            <w:tcBorders>
              <w:top w:val="nil"/>
              <w:left w:val="nil"/>
              <w:bottom w:val="single" w:sz="4" w:space="0" w:color="auto"/>
              <w:right w:val="single" w:sz="4" w:space="0" w:color="000000"/>
            </w:tcBorders>
            <w:vAlign w:val="center"/>
            <w:hideMark/>
          </w:tcPr>
          <w:p w14:paraId="3F48C6CD"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Этот коэффициент характеризует эффективность использования организацией имеющихся в распоряжении основных средств. Чем выше значение коэффициента, тем более эффективно организация использует основные средства. Низкий уровень фондоотдачи свидетельствует о недостаточном объеме продаж или о слишком высоком уровне капитальных вложений.</w:t>
            </w:r>
          </w:p>
        </w:tc>
      </w:tr>
      <w:tr w:rsidR="003E366F" w:rsidRPr="003E366F" w14:paraId="52C77A1F" w14:textId="77777777" w:rsidTr="00AA188C">
        <w:trPr>
          <w:trHeight w:val="3135"/>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1599D25C"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4</w:t>
            </w:r>
          </w:p>
        </w:tc>
        <w:tc>
          <w:tcPr>
            <w:tcW w:w="1992" w:type="dxa"/>
            <w:tcBorders>
              <w:top w:val="single" w:sz="4" w:space="0" w:color="auto"/>
              <w:left w:val="single" w:sz="4" w:space="0" w:color="auto"/>
              <w:bottom w:val="single" w:sz="4" w:space="0" w:color="auto"/>
              <w:right w:val="single" w:sz="4" w:space="0" w:color="auto"/>
            </w:tcBorders>
            <w:vAlign w:val="center"/>
            <w:hideMark/>
          </w:tcPr>
          <w:p w14:paraId="4927C6BF"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Скорость оборачиваемости основных средств (фондоотдача), дней</w:t>
            </w:r>
          </w:p>
        </w:tc>
        <w:tc>
          <w:tcPr>
            <w:tcW w:w="3247" w:type="dxa"/>
            <w:tcBorders>
              <w:top w:val="single" w:sz="4" w:space="0" w:color="auto"/>
              <w:left w:val="single" w:sz="4" w:space="0" w:color="auto"/>
              <w:bottom w:val="single" w:sz="4" w:space="0" w:color="auto"/>
              <w:right w:val="single" w:sz="4" w:space="0" w:color="auto"/>
            </w:tcBorders>
            <w:vAlign w:val="center"/>
            <w:hideMark/>
          </w:tcPr>
          <w:p w14:paraId="1600777D"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Д(Фо)= 365/Фо</w:t>
            </w:r>
          </w:p>
        </w:tc>
        <w:tc>
          <w:tcPr>
            <w:tcW w:w="1673" w:type="dxa"/>
            <w:tcBorders>
              <w:top w:val="single" w:sz="4" w:space="0" w:color="auto"/>
              <w:left w:val="single" w:sz="4" w:space="0" w:color="auto"/>
              <w:bottom w:val="single" w:sz="4" w:space="0" w:color="auto"/>
              <w:right w:val="single" w:sz="4" w:space="0" w:color="auto"/>
            </w:tcBorders>
            <w:vAlign w:val="center"/>
            <w:hideMark/>
          </w:tcPr>
          <w:p w14:paraId="2AF4B1AE"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203,5169</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8512DB1"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174,6016</w:t>
            </w:r>
          </w:p>
        </w:tc>
        <w:tc>
          <w:tcPr>
            <w:tcW w:w="4550" w:type="dxa"/>
            <w:tcBorders>
              <w:top w:val="single" w:sz="4" w:space="0" w:color="auto"/>
              <w:left w:val="single" w:sz="4" w:space="0" w:color="auto"/>
              <w:bottom w:val="single" w:sz="4" w:space="0" w:color="auto"/>
              <w:right w:val="single" w:sz="4" w:space="0" w:color="auto"/>
            </w:tcBorders>
            <w:vAlign w:val="center"/>
            <w:hideMark/>
          </w:tcPr>
          <w:p w14:paraId="2D528BBC"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3E366F" w:rsidRPr="003E366F" w14:paraId="48E39A95" w14:textId="77777777" w:rsidTr="00AA188C">
        <w:trPr>
          <w:trHeight w:val="3675"/>
          <w:jc w:val="center"/>
        </w:trPr>
        <w:tc>
          <w:tcPr>
            <w:tcW w:w="560" w:type="dxa"/>
            <w:tcBorders>
              <w:top w:val="single" w:sz="4" w:space="0" w:color="auto"/>
              <w:left w:val="single" w:sz="4" w:space="0" w:color="000000"/>
              <w:bottom w:val="single" w:sz="4" w:space="0" w:color="auto"/>
              <w:right w:val="single" w:sz="4" w:space="0" w:color="000000"/>
            </w:tcBorders>
            <w:vAlign w:val="center"/>
            <w:hideMark/>
          </w:tcPr>
          <w:p w14:paraId="49A4D46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5</w:t>
            </w:r>
          </w:p>
        </w:tc>
        <w:tc>
          <w:tcPr>
            <w:tcW w:w="1992" w:type="dxa"/>
            <w:tcBorders>
              <w:top w:val="single" w:sz="4" w:space="0" w:color="auto"/>
              <w:left w:val="nil"/>
              <w:bottom w:val="single" w:sz="4" w:space="0" w:color="auto"/>
              <w:right w:val="single" w:sz="4" w:space="0" w:color="000000"/>
            </w:tcBorders>
            <w:vAlign w:val="center"/>
            <w:hideMark/>
          </w:tcPr>
          <w:p w14:paraId="53751E6D"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xml:space="preserve"> Коэффициент оборачиваемости запасов, раз</w:t>
            </w:r>
          </w:p>
        </w:tc>
        <w:tc>
          <w:tcPr>
            <w:tcW w:w="3247" w:type="dxa"/>
            <w:tcBorders>
              <w:top w:val="single" w:sz="4" w:space="0" w:color="auto"/>
              <w:left w:val="nil"/>
              <w:bottom w:val="single" w:sz="4" w:space="0" w:color="auto"/>
              <w:right w:val="single" w:sz="4" w:space="0" w:color="000000"/>
            </w:tcBorders>
            <w:vAlign w:val="center"/>
            <w:hideMark/>
          </w:tcPr>
          <w:p w14:paraId="4F1D1F7A"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w:t>
            </w:r>
            <w:r w:rsidRPr="003E366F">
              <w:rPr>
                <w:rFonts w:ascii="Times New Roman" w:eastAsia="Times New Roman" w:hAnsi="Times New Roman" w:cs="Times New Roman"/>
                <w:color w:val="000000"/>
                <w:sz w:val="24"/>
                <w:szCs w:val="24"/>
                <w:vertAlign w:val="subscript"/>
              </w:rPr>
              <w:t>ОЗ</w:t>
            </w:r>
            <w:r w:rsidRPr="003E366F">
              <w:rPr>
                <w:rFonts w:ascii="Times New Roman" w:eastAsia="Times New Roman" w:hAnsi="Times New Roman" w:cs="Times New Roman"/>
                <w:color w:val="000000"/>
                <w:sz w:val="24"/>
                <w:szCs w:val="24"/>
              </w:rPr>
              <w:t>=Себестоимость реализованной продукции/Запасы</w:t>
            </w:r>
          </w:p>
        </w:tc>
        <w:tc>
          <w:tcPr>
            <w:tcW w:w="1673" w:type="dxa"/>
            <w:tcBorders>
              <w:top w:val="single" w:sz="4" w:space="0" w:color="auto"/>
              <w:left w:val="nil"/>
              <w:bottom w:val="single" w:sz="4" w:space="0" w:color="auto"/>
              <w:right w:val="single" w:sz="4" w:space="0" w:color="000000"/>
            </w:tcBorders>
            <w:vAlign w:val="center"/>
            <w:hideMark/>
          </w:tcPr>
          <w:p w14:paraId="2B4D6A08"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3,3875</w:t>
            </w:r>
          </w:p>
        </w:tc>
        <w:tc>
          <w:tcPr>
            <w:tcW w:w="1440" w:type="dxa"/>
            <w:tcBorders>
              <w:top w:val="single" w:sz="4" w:space="0" w:color="auto"/>
              <w:left w:val="nil"/>
              <w:bottom w:val="single" w:sz="4" w:space="0" w:color="auto"/>
              <w:right w:val="single" w:sz="4" w:space="0" w:color="000000"/>
            </w:tcBorders>
            <w:vAlign w:val="center"/>
            <w:hideMark/>
          </w:tcPr>
          <w:p w14:paraId="53E97F29"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3,7852</w:t>
            </w:r>
          </w:p>
        </w:tc>
        <w:tc>
          <w:tcPr>
            <w:tcW w:w="4550" w:type="dxa"/>
            <w:tcBorders>
              <w:top w:val="single" w:sz="4" w:space="0" w:color="auto"/>
              <w:left w:val="nil"/>
              <w:bottom w:val="single" w:sz="4" w:space="0" w:color="auto"/>
              <w:right w:val="single" w:sz="4" w:space="0" w:color="000000"/>
            </w:tcBorders>
            <w:vAlign w:val="center"/>
            <w:hideMark/>
          </w:tcPr>
          <w:p w14:paraId="3FC021F5"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Отражает скорость реализации запасов. Для расчета коэффициента в днях необходимо 365 дн. Разделить на значение коэффициента. В целом, чем выше показатель оборачиваемости запасов, тем меньше средств связано в этой наименее ликвидной группе активов. Особенно актуально повышение оборачиваемости и снижение запасов при наличии значительной задолженности в пассивах компании</w:t>
            </w:r>
          </w:p>
        </w:tc>
      </w:tr>
      <w:tr w:rsidR="003E366F" w:rsidRPr="003E366F" w14:paraId="69C94D0D" w14:textId="77777777" w:rsidTr="00AA188C">
        <w:trPr>
          <w:trHeight w:val="1755"/>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5EAE1327"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6</w:t>
            </w:r>
          </w:p>
        </w:tc>
        <w:tc>
          <w:tcPr>
            <w:tcW w:w="1992" w:type="dxa"/>
            <w:tcBorders>
              <w:top w:val="single" w:sz="4" w:space="0" w:color="auto"/>
              <w:left w:val="single" w:sz="4" w:space="0" w:color="auto"/>
              <w:bottom w:val="single" w:sz="4" w:space="0" w:color="auto"/>
              <w:right w:val="single" w:sz="4" w:space="0" w:color="auto"/>
            </w:tcBorders>
            <w:vAlign w:val="center"/>
            <w:hideMark/>
          </w:tcPr>
          <w:p w14:paraId="5721B4E1"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xml:space="preserve"> Скорость оборачиваемости запасов, дней</w:t>
            </w:r>
          </w:p>
        </w:tc>
        <w:tc>
          <w:tcPr>
            <w:tcW w:w="3247" w:type="dxa"/>
            <w:tcBorders>
              <w:top w:val="single" w:sz="4" w:space="0" w:color="auto"/>
              <w:left w:val="single" w:sz="4" w:space="0" w:color="auto"/>
              <w:bottom w:val="single" w:sz="4" w:space="0" w:color="auto"/>
              <w:right w:val="single" w:sz="4" w:space="0" w:color="auto"/>
            </w:tcBorders>
            <w:vAlign w:val="center"/>
            <w:hideMark/>
          </w:tcPr>
          <w:p w14:paraId="4325034A"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Д(К</w:t>
            </w:r>
            <w:r w:rsidRPr="003E366F">
              <w:rPr>
                <w:rFonts w:ascii="Times New Roman" w:eastAsia="Times New Roman" w:hAnsi="Times New Roman" w:cs="Times New Roman"/>
                <w:color w:val="000000"/>
                <w:sz w:val="24"/>
                <w:szCs w:val="24"/>
                <w:vertAlign w:val="subscript"/>
              </w:rPr>
              <w:t>ОЗ</w:t>
            </w:r>
            <w:r w:rsidRPr="003E366F">
              <w:rPr>
                <w:rFonts w:ascii="Times New Roman" w:eastAsia="Times New Roman" w:hAnsi="Times New Roman" w:cs="Times New Roman"/>
                <w:color w:val="000000"/>
                <w:sz w:val="24"/>
                <w:szCs w:val="24"/>
              </w:rPr>
              <w:t>)= 365/К</w:t>
            </w:r>
            <w:r w:rsidRPr="003E366F">
              <w:rPr>
                <w:rFonts w:ascii="Times New Roman" w:eastAsia="Times New Roman" w:hAnsi="Times New Roman" w:cs="Times New Roman"/>
                <w:color w:val="000000"/>
                <w:sz w:val="24"/>
                <w:szCs w:val="24"/>
                <w:vertAlign w:val="subscript"/>
              </w:rPr>
              <w:t>ОЗ</w:t>
            </w:r>
          </w:p>
        </w:tc>
        <w:tc>
          <w:tcPr>
            <w:tcW w:w="1673" w:type="dxa"/>
            <w:tcBorders>
              <w:top w:val="single" w:sz="4" w:space="0" w:color="auto"/>
              <w:left w:val="single" w:sz="4" w:space="0" w:color="auto"/>
              <w:bottom w:val="single" w:sz="4" w:space="0" w:color="auto"/>
              <w:right w:val="single" w:sz="4" w:space="0" w:color="auto"/>
            </w:tcBorders>
            <w:vAlign w:val="center"/>
            <w:hideMark/>
          </w:tcPr>
          <w:p w14:paraId="7DFC08C4"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107,7477</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E95411"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96,4284</w:t>
            </w:r>
          </w:p>
        </w:tc>
        <w:tc>
          <w:tcPr>
            <w:tcW w:w="4550" w:type="dxa"/>
            <w:tcBorders>
              <w:top w:val="single" w:sz="4" w:space="0" w:color="auto"/>
              <w:left w:val="single" w:sz="4" w:space="0" w:color="auto"/>
              <w:bottom w:val="single" w:sz="4" w:space="0" w:color="auto"/>
              <w:right w:val="single" w:sz="4" w:space="0" w:color="auto"/>
            </w:tcBorders>
            <w:vAlign w:val="center"/>
            <w:hideMark/>
          </w:tcPr>
          <w:p w14:paraId="3A4AFC99"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D6692C" w:rsidRPr="003E366F" w14:paraId="3DFDEECD" w14:textId="77777777" w:rsidTr="00AA188C">
        <w:trPr>
          <w:trHeight w:val="1725"/>
          <w:jc w:val="center"/>
        </w:trPr>
        <w:tc>
          <w:tcPr>
            <w:tcW w:w="560" w:type="dxa"/>
            <w:tcBorders>
              <w:top w:val="single" w:sz="4" w:space="0" w:color="auto"/>
              <w:left w:val="single" w:sz="4" w:space="0" w:color="000000"/>
              <w:bottom w:val="single" w:sz="4" w:space="0" w:color="000000"/>
              <w:right w:val="single" w:sz="4" w:space="0" w:color="000000"/>
            </w:tcBorders>
            <w:vAlign w:val="center"/>
            <w:hideMark/>
          </w:tcPr>
          <w:p w14:paraId="6A9DD2E6" w14:textId="77777777" w:rsidR="00D6692C" w:rsidRPr="003E366F" w:rsidRDefault="00D6692C" w:rsidP="00D6692C">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7</w:t>
            </w:r>
          </w:p>
        </w:tc>
        <w:tc>
          <w:tcPr>
            <w:tcW w:w="1992" w:type="dxa"/>
            <w:tcBorders>
              <w:top w:val="single" w:sz="4" w:space="0" w:color="auto"/>
              <w:left w:val="nil"/>
              <w:bottom w:val="single" w:sz="4" w:space="0" w:color="000000"/>
              <w:right w:val="single" w:sz="4" w:space="0" w:color="000000"/>
            </w:tcBorders>
            <w:vAlign w:val="center"/>
            <w:hideMark/>
          </w:tcPr>
          <w:p w14:paraId="43B09FF7" w14:textId="77777777" w:rsidR="00D6692C" w:rsidRPr="003E366F" w:rsidRDefault="00D6692C" w:rsidP="00D6692C">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Коэффициент оборачиваемости денежных средств, раз</w:t>
            </w:r>
          </w:p>
        </w:tc>
        <w:tc>
          <w:tcPr>
            <w:tcW w:w="3247" w:type="dxa"/>
            <w:tcBorders>
              <w:top w:val="single" w:sz="4" w:space="0" w:color="auto"/>
              <w:left w:val="nil"/>
              <w:bottom w:val="single" w:sz="4" w:space="0" w:color="000000"/>
              <w:right w:val="single" w:sz="4" w:space="0" w:color="000000"/>
            </w:tcBorders>
            <w:vAlign w:val="center"/>
            <w:hideMark/>
          </w:tcPr>
          <w:p w14:paraId="69F59B79" w14:textId="77777777" w:rsidR="00D6692C" w:rsidRPr="003E366F" w:rsidRDefault="00D6692C" w:rsidP="00D6692C">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w:t>
            </w:r>
            <w:r w:rsidRPr="003E366F">
              <w:rPr>
                <w:rFonts w:ascii="Times New Roman" w:eastAsia="Times New Roman" w:hAnsi="Times New Roman" w:cs="Times New Roman"/>
                <w:color w:val="000000"/>
                <w:sz w:val="24"/>
                <w:szCs w:val="24"/>
                <w:vertAlign w:val="subscript"/>
              </w:rPr>
              <w:t>ОДС</w:t>
            </w:r>
            <w:r w:rsidRPr="003E366F">
              <w:rPr>
                <w:rFonts w:ascii="Times New Roman" w:eastAsia="Times New Roman" w:hAnsi="Times New Roman" w:cs="Times New Roman"/>
                <w:color w:val="000000"/>
                <w:sz w:val="24"/>
                <w:szCs w:val="24"/>
              </w:rPr>
              <w:t>=Выручка/Денежные средства</w:t>
            </w:r>
          </w:p>
        </w:tc>
        <w:tc>
          <w:tcPr>
            <w:tcW w:w="1673" w:type="dxa"/>
            <w:tcBorders>
              <w:top w:val="single" w:sz="4" w:space="0" w:color="auto"/>
              <w:left w:val="nil"/>
              <w:bottom w:val="single" w:sz="4" w:space="0" w:color="000000"/>
              <w:right w:val="single" w:sz="4" w:space="0" w:color="000000"/>
            </w:tcBorders>
            <w:vAlign w:val="center"/>
            <w:hideMark/>
          </w:tcPr>
          <w:p w14:paraId="0E5A5B82" w14:textId="77777777" w:rsidR="00D6692C" w:rsidRPr="00D6692C" w:rsidRDefault="00D6692C" w:rsidP="00D6692C">
            <w:pPr>
              <w:spacing w:after="0" w:line="240" w:lineRule="auto"/>
              <w:jc w:val="center"/>
              <w:rPr>
                <w:rFonts w:ascii="Times New Roman" w:eastAsia="Times New Roman" w:hAnsi="Times New Roman" w:cs="Times New Roman"/>
                <w:color w:val="000000"/>
                <w:sz w:val="24"/>
                <w:szCs w:val="24"/>
              </w:rPr>
            </w:pPr>
            <w:r w:rsidRPr="00D6692C">
              <w:rPr>
                <w:rFonts w:ascii="Times New Roman" w:eastAsia="Times New Roman" w:hAnsi="Times New Roman" w:cs="Times New Roman"/>
                <w:color w:val="000000"/>
                <w:sz w:val="24"/>
                <w:szCs w:val="24"/>
              </w:rPr>
              <w:t>2,5242</w:t>
            </w:r>
          </w:p>
        </w:tc>
        <w:tc>
          <w:tcPr>
            <w:tcW w:w="1440" w:type="dxa"/>
            <w:tcBorders>
              <w:top w:val="single" w:sz="4" w:space="0" w:color="auto"/>
              <w:left w:val="nil"/>
              <w:bottom w:val="single" w:sz="4" w:space="0" w:color="000000"/>
              <w:right w:val="single" w:sz="4" w:space="0" w:color="000000"/>
            </w:tcBorders>
            <w:vAlign w:val="center"/>
            <w:hideMark/>
          </w:tcPr>
          <w:p w14:paraId="3B7548F1" w14:textId="77777777" w:rsidR="00D6692C" w:rsidRPr="00D6692C" w:rsidRDefault="00D6692C" w:rsidP="00D6692C">
            <w:pPr>
              <w:spacing w:after="0" w:line="240" w:lineRule="auto"/>
              <w:jc w:val="center"/>
              <w:rPr>
                <w:rFonts w:ascii="Times New Roman" w:eastAsia="Times New Roman" w:hAnsi="Times New Roman" w:cs="Times New Roman"/>
                <w:color w:val="000000"/>
                <w:sz w:val="24"/>
                <w:szCs w:val="24"/>
              </w:rPr>
            </w:pPr>
            <w:r w:rsidRPr="00D6692C">
              <w:rPr>
                <w:rFonts w:ascii="Times New Roman" w:eastAsia="Times New Roman" w:hAnsi="Times New Roman" w:cs="Times New Roman"/>
                <w:color w:val="000000"/>
                <w:sz w:val="24"/>
                <w:szCs w:val="24"/>
              </w:rPr>
              <w:t>2,9422</w:t>
            </w:r>
          </w:p>
        </w:tc>
        <w:tc>
          <w:tcPr>
            <w:tcW w:w="4550" w:type="dxa"/>
            <w:tcBorders>
              <w:top w:val="single" w:sz="4" w:space="0" w:color="auto"/>
              <w:left w:val="nil"/>
              <w:bottom w:val="single" w:sz="4" w:space="0" w:color="000000"/>
              <w:right w:val="single" w:sz="4" w:space="0" w:color="000000"/>
            </w:tcBorders>
            <w:vAlign w:val="center"/>
            <w:hideMark/>
          </w:tcPr>
          <w:p w14:paraId="1D7C20AB" w14:textId="77777777" w:rsidR="00D6692C" w:rsidRPr="003E366F" w:rsidRDefault="00D6692C" w:rsidP="00D6692C">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D6692C" w:rsidRPr="003E366F" w14:paraId="578624E0" w14:textId="77777777" w:rsidTr="00AA188C">
        <w:trPr>
          <w:trHeight w:val="1680"/>
          <w:jc w:val="center"/>
        </w:trPr>
        <w:tc>
          <w:tcPr>
            <w:tcW w:w="560" w:type="dxa"/>
            <w:tcBorders>
              <w:top w:val="nil"/>
              <w:left w:val="single" w:sz="4" w:space="0" w:color="000000"/>
              <w:bottom w:val="single" w:sz="4" w:space="0" w:color="000000"/>
              <w:right w:val="single" w:sz="4" w:space="0" w:color="000000"/>
            </w:tcBorders>
            <w:vAlign w:val="center"/>
            <w:hideMark/>
          </w:tcPr>
          <w:p w14:paraId="51BF0E88" w14:textId="77777777" w:rsidR="00D6692C" w:rsidRPr="003E366F" w:rsidRDefault="00D6692C" w:rsidP="00D6692C">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8</w:t>
            </w:r>
          </w:p>
        </w:tc>
        <w:tc>
          <w:tcPr>
            <w:tcW w:w="1992" w:type="dxa"/>
            <w:tcBorders>
              <w:top w:val="nil"/>
              <w:left w:val="nil"/>
              <w:bottom w:val="single" w:sz="4" w:space="0" w:color="000000"/>
              <w:right w:val="single" w:sz="4" w:space="0" w:color="000000"/>
            </w:tcBorders>
            <w:vAlign w:val="center"/>
            <w:hideMark/>
          </w:tcPr>
          <w:p w14:paraId="299D4C01" w14:textId="77777777" w:rsidR="00D6692C" w:rsidRPr="003E366F" w:rsidRDefault="00D6692C" w:rsidP="00D6692C">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Скорость оборачиваемости денежных средств, дней</w:t>
            </w:r>
          </w:p>
        </w:tc>
        <w:tc>
          <w:tcPr>
            <w:tcW w:w="3247" w:type="dxa"/>
            <w:tcBorders>
              <w:top w:val="nil"/>
              <w:left w:val="nil"/>
              <w:bottom w:val="single" w:sz="4" w:space="0" w:color="000000"/>
              <w:right w:val="single" w:sz="4" w:space="0" w:color="000000"/>
            </w:tcBorders>
            <w:vAlign w:val="center"/>
            <w:hideMark/>
          </w:tcPr>
          <w:p w14:paraId="1279789D" w14:textId="77777777" w:rsidR="00D6692C" w:rsidRPr="003E366F" w:rsidRDefault="00D6692C" w:rsidP="00D6692C">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Д(К</w:t>
            </w:r>
            <w:r w:rsidRPr="003E366F">
              <w:rPr>
                <w:rFonts w:ascii="Times New Roman" w:eastAsia="Times New Roman" w:hAnsi="Times New Roman" w:cs="Times New Roman"/>
                <w:color w:val="000000"/>
                <w:sz w:val="24"/>
                <w:szCs w:val="24"/>
                <w:vertAlign w:val="subscript"/>
              </w:rPr>
              <w:t>ОДС</w:t>
            </w:r>
            <w:r w:rsidRPr="003E366F">
              <w:rPr>
                <w:rFonts w:ascii="Times New Roman" w:eastAsia="Times New Roman" w:hAnsi="Times New Roman" w:cs="Times New Roman"/>
                <w:color w:val="000000"/>
                <w:sz w:val="24"/>
                <w:szCs w:val="24"/>
              </w:rPr>
              <w:t>)= 365/К</w:t>
            </w:r>
            <w:r w:rsidRPr="003E366F">
              <w:rPr>
                <w:rFonts w:ascii="Times New Roman" w:eastAsia="Times New Roman" w:hAnsi="Times New Roman" w:cs="Times New Roman"/>
                <w:color w:val="000000"/>
                <w:sz w:val="24"/>
                <w:szCs w:val="24"/>
                <w:vertAlign w:val="subscript"/>
              </w:rPr>
              <w:t>ОДС</w:t>
            </w:r>
          </w:p>
        </w:tc>
        <w:tc>
          <w:tcPr>
            <w:tcW w:w="1673" w:type="dxa"/>
            <w:tcBorders>
              <w:top w:val="nil"/>
              <w:left w:val="nil"/>
              <w:bottom w:val="single" w:sz="4" w:space="0" w:color="000000"/>
              <w:right w:val="single" w:sz="4" w:space="0" w:color="000000"/>
            </w:tcBorders>
            <w:vAlign w:val="center"/>
            <w:hideMark/>
          </w:tcPr>
          <w:p w14:paraId="5914E5FE" w14:textId="77777777" w:rsidR="00D6692C" w:rsidRPr="00D6692C" w:rsidRDefault="00D6692C" w:rsidP="00D6692C">
            <w:pPr>
              <w:spacing w:after="0" w:line="240" w:lineRule="auto"/>
              <w:jc w:val="center"/>
              <w:rPr>
                <w:rFonts w:ascii="Times New Roman" w:eastAsia="Times New Roman" w:hAnsi="Times New Roman" w:cs="Times New Roman"/>
                <w:color w:val="000000"/>
                <w:sz w:val="24"/>
                <w:szCs w:val="24"/>
              </w:rPr>
            </w:pPr>
            <w:r w:rsidRPr="00D6692C">
              <w:rPr>
                <w:rFonts w:ascii="Times New Roman" w:eastAsia="Times New Roman" w:hAnsi="Times New Roman" w:cs="Times New Roman"/>
                <w:color w:val="000000"/>
                <w:sz w:val="24"/>
                <w:szCs w:val="24"/>
              </w:rPr>
              <w:t>144,6005</w:t>
            </w:r>
          </w:p>
        </w:tc>
        <w:tc>
          <w:tcPr>
            <w:tcW w:w="1440" w:type="dxa"/>
            <w:tcBorders>
              <w:top w:val="nil"/>
              <w:left w:val="nil"/>
              <w:bottom w:val="single" w:sz="4" w:space="0" w:color="000000"/>
              <w:right w:val="single" w:sz="4" w:space="0" w:color="000000"/>
            </w:tcBorders>
            <w:vAlign w:val="center"/>
            <w:hideMark/>
          </w:tcPr>
          <w:p w14:paraId="11C81BA4" w14:textId="77777777" w:rsidR="00D6692C" w:rsidRPr="00D6692C" w:rsidRDefault="00D6692C" w:rsidP="00D6692C">
            <w:pPr>
              <w:spacing w:after="0" w:line="240" w:lineRule="auto"/>
              <w:jc w:val="center"/>
              <w:rPr>
                <w:rFonts w:ascii="Times New Roman" w:eastAsia="Times New Roman" w:hAnsi="Times New Roman" w:cs="Times New Roman"/>
                <w:color w:val="000000"/>
                <w:sz w:val="24"/>
                <w:szCs w:val="24"/>
              </w:rPr>
            </w:pPr>
            <w:r w:rsidRPr="00D6692C">
              <w:rPr>
                <w:rFonts w:ascii="Times New Roman" w:eastAsia="Times New Roman" w:hAnsi="Times New Roman" w:cs="Times New Roman"/>
                <w:color w:val="000000"/>
                <w:sz w:val="24"/>
                <w:szCs w:val="24"/>
              </w:rPr>
              <w:t>124,0559</w:t>
            </w:r>
          </w:p>
        </w:tc>
        <w:tc>
          <w:tcPr>
            <w:tcW w:w="4550" w:type="dxa"/>
            <w:tcBorders>
              <w:top w:val="nil"/>
              <w:left w:val="nil"/>
              <w:bottom w:val="single" w:sz="4" w:space="0" w:color="000000"/>
              <w:right w:val="single" w:sz="4" w:space="0" w:color="000000"/>
            </w:tcBorders>
            <w:vAlign w:val="center"/>
            <w:hideMark/>
          </w:tcPr>
          <w:p w14:paraId="44D9184D" w14:textId="77777777" w:rsidR="00D6692C" w:rsidRPr="003E366F" w:rsidRDefault="00D6692C" w:rsidP="00D6692C">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3E366F" w:rsidRPr="003E366F" w14:paraId="43F55AF5" w14:textId="77777777" w:rsidTr="00AA188C">
        <w:trPr>
          <w:trHeight w:val="2535"/>
          <w:jc w:val="center"/>
        </w:trPr>
        <w:tc>
          <w:tcPr>
            <w:tcW w:w="560" w:type="dxa"/>
            <w:tcBorders>
              <w:top w:val="nil"/>
              <w:left w:val="single" w:sz="4" w:space="0" w:color="000000"/>
              <w:bottom w:val="single" w:sz="4" w:space="0" w:color="auto"/>
              <w:right w:val="single" w:sz="4" w:space="0" w:color="000000"/>
            </w:tcBorders>
            <w:vAlign w:val="center"/>
            <w:hideMark/>
          </w:tcPr>
          <w:p w14:paraId="50419C9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9</w:t>
            </w:r>
          </w:p>
        </w:tc>
        <w:tc>
          <w:tcPr>
            <w:tcW w:w="1992" w:type="dxa"/>
            <w:tcBorders>
              <w:top w:val="nil"/>
              <w:left w:val="nil"/>
              <w:bottom w:val="single" w:sz="4" w:space="0" w:color="auto"/>
              <w:right w:val="single" w:sz="4" w:space="0" w:color="000000"/>
            </w:tcBorders>
            <w:vAlign w:val="center"/>
            <w:hideMark/>
          </w:tcPr>
          <w:p w14:paraId="0020FFF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Коэффициент оборачиваемости финансовых вложений, раз</w:t>
            </w:r>
          </w:p>
        </w:tc>
        <w:tc>
          <w:tcPr>
            <w:tcW w:w="3247" w:type="dxa"/>
            <w:tcBorders>
              <w:top w:val="nil"/>
              <w:left w:val="nil"/>
              <w:bottom w:val="single" w:sz="4" w:space="0" w:color="auto"/>
              <w:right w:val="single" w:sz="4" w:space="0" w:color="000000"/>
            </w:tcBorders>
            <w:vAlign w:val="center"/>
            <w:hideMark/>
          </w:tcPr>
          <w:p w14:paraId="0D082F33"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w:t>
            </w:r>
            <w:r w:rsidRPr="003E366F">
              <w:rPr>
                <w:rFonts w:ascii="Times New Roman" w:eastAsia="Times New Roman" w:hAnsi="Times New Roman" w:cs="Times New Roman"/>
                <w:color w:val="000000"/>
                <w:sz w:val="24"/>
                <w:szCs w:val="24"/>
                <w:vertAlign w:val="subscript"/>
              </w:rPr>
              <w:t>ОФВ</w:t>
            </w:r>
            <w:r w:rsidRPr="003E366F">
              <w:rPr>
                <w:rFonts w:ascii="Times New Roman" w:eastAsia="Times New Roman" w:hAnsi="Times New Roman" w:cs="Times New Roman"/>
                <w:color w:val="000000"/>
                <w:sz w:val="24"/>
                <w:szCs w:val="24"/>
              </w:rPr>
              <w:t>=Выручка/Финансовые вложения</w:t>
            </w:r>
          </w:p>
        </w:tc>
        <w:tc>
          <w:tcPr>
            <w:tcW w:w="1673" w:type="dxa"/>
            <w:tcBorders>
              <w:top w:val="nil"/>
              <w:left w:val="nil"/>
              <w:bottom w:val="single" w:sz="4" w:space="0" w:color="auto"/>
              <w:right w:val="single" w:sz="4" w:space="0" w:color="000000"/>
            </w:tcBorders>
            <w:vAlign w:val="center"/>
            <w:hideMark/>
          </w:tcPr>
          <w:p w14:paraId="0E077F2A"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17,3321</w:t>
            </w:r>
          </w:p>
        </w:tc>
        <w:tc>
          <w:tcPr>
            <w:tcW w:w="1440" w:type="dxa"/>
            <w:tcBorders>
              <w:top w:val="nil"/>
              <w:left w:val="nil"/>
              <w:bottom w:val="single" w:sz="4" w:space="0" w:color="auto"/>
              <w:right w:val="single" w:sz="4" w:space="0" w:color="000000"/>
            </w:tcBorders>
            <w:vAlign w:val="center"/>
            <w:hideMark/>
          </w:tcPr>
          <w:p w14:paraId="50A6229F"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20,2024</w:t>
            </w:r>
          </w:p>
        </w:tc>
        <w:tc>
          <w:tcPr>
            <w:tcW w:w="4550" w:type="dxa"/>
            <w:tcBorders>
              <w:top w:val="nil"/>
              <w:left w:val="nil"/>
              <w:bottom w:val="single" w:sz="4" w:space="0" w:color="auto"/>
              <w:right w:val="single" w:sz="4" w:space="0" w:color="000000"/>
            </w:tcBorders>
            <w:vAlign w:val="center"/>
            <w:hideMark/>
          </w:tcPr>
          <w:p w14:paraId="108B1D72"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3E366F" w:rsidRPr="003E366F" w14:paraId="150A5AA6" w14:textId="77777777" w:rsidTr="00AA188C">
        <w:trPr>
          <w:trHeight w:val="1785"/>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36AF39DA"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10</w:t>
            </w:r>
          </w:p>
        </w:tc>
        <w:tc>
          <w:tcPr>
            <w:tcW w:w="1992" w:type="dxa"/>
            <w:tcBorders>
              <w:top w:val="single" w:sz="4" w:space="0" w:color="auto"/>
              <w:left w:val="single" w:sz="4" w:space="0" w:color="auto"/>
              <w:bottom w:val="single" w:sz="4" w:space="0" w:color="auto"/>
              <w:right w:val="single" w:sz="4" w:space="0" w:color="auto"/>
            </w:tcBorders>
            <w:vAlign w:val="center"/>
            <w:hideMark/>
          </w:tcPr>
          <w:p w14:paraId="7B4B39A8"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Скорость оборачиваемости финансовых вложений, дней</w:t>
            </w:r>
          </w:p>
        </w:tc>
        <w:tc>
          <w:tcPr>
            <w:tcW w:w="3247" w:type="dxa"/>
            <w:tcBorders>
              <w:top w:val="single" w:sz="4" w:space="0" w:color="auto"/>
              <w:left w:val="single" w:sz="4" w:space="0" w:color="auto"/>
              <w:bottom w:val="single" w:sz="4" w:space="0" w:color="auto"/>
              <w:right w:val="single" w:sz="4" w:space="0" w:color="auto"/>
            </w:tcBorders>
            <w:vAlign w:val="center"/>
            <w:hideMark/>
          </w:tcPr>
          <w:p w14:paraId="0FEFDD97"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Д(К</w:t>
            </w:r>
            <w:r w:rsidRPr="003E366F">
              <w:rPr>
                <w:rFonts w:ascii="Times New Roman" w:eastAsia="Times New Roman" w:hAnsi="Times New Roman" w:cs="Times New Roman"/>
                <w:color w:val="000000"/>
                <w:sz w:val="24"/>
                <w:szCs w:val="24"/>
                <w:vertAlign w:val="subscript"/>
              </w:rPr>
              <w:t>ОФВ</w:t>
            </w:r>
            <w:r w:rsidRPr="003E366F">
              <w:rPr>
                <w:rFonts w:ascii="Times New Roman" w:eastAsia="Times New Roman" w:hAnsi="Times New Roman" w:cs="Times New Roman"/>
                <w:color w:val="000000"/>
                <w:sz w:val="24"/>
                <w:szCs w:val="24"/>
              </w:rPr>
              <w:t>)= 365/К</w:t>
            </w:r>
            <w:r w:rsidRPr="003E366F">
              <w:rPr>
                <w:rFonts w:ascii="Times New Roman" w:eastAsia="Times New Roman" w:hAnsi="Times New Roman" w:cs="Times New Roman"/>
                <w:color w:val="000000"/>
                <w:sz w:val="24"/>
                <w:szCs w:val="24"/>
                <w:vertAlign w:val="subscript"/>
              </w:rPr>
              <w:t>ОФВ</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014B191"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21,0592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4ECB4A2"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18,0671</w:t>
            </w:r>
          </w:p>
        </w:tc>
        <w:tc>
          <w:tcPr>
            <w:tcW w:w="4550" w:type="dxa"/>
            <w:tcBorders>
              <w:top w:val="single" w:sz="4" w:space="0" w:color="auto"/>
              <w:left w:val="single" w:sz="4" w:space="0" w:color="auto"/>
              <w:bottom w:val="single" w:sz="4" w:space="0" w:color="auto"/>
              <w:right w:val="single" w:sz="4" w:space="0" w:color="auto"/>
            </w:tcBorders>
            <w:vAlign w:val="center"/>
            <w:hideMark/>
          </w:tcPr>
          <w:p w14:paraId="77DA8417"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3E366F" w:rsidRPr="003E366F" w14:paraId="5934515D" w14:textId="77777777" w:rsidTr="00AA188C">
        <w:trPr>
          <w:trHeight w:val="2025"/>
          <w:jc w:val="center"/>
        </w:trPr>
        <w:tc>
          <w:tcPr>
            <w:tcW w:w="560" w:type="dxa"/>
            <w:tcBorders>
              <w:top w:val="single" w:sz="4" w:space="0" w:color="auto"/>
              <w:left w:val="single" w:sz="4" w:space="0" w:color="000000"/>
              <w:bottom w:val="single" w:sz="4" w:space="0" w:color="auto"/>
              <w:right w:val="single" w:sz="4" w:space="0" w:color="000000"/>
            </w:tcBorders>
            <w:vAlign w:val="center"/>
            <w:hideMark/>
          </w:tcPr>
          <w:p w14:paraId="4944422F"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11</w:t>
            </w:r>
          </w:p>
        </w:tc>
        <w:tc>
          <w:tcPr>
            <w:tcW w:w="1992" w:type="dxa"/>
            <w:tcBorders>
              <w:top w:val="single" w:sz="4" w:space="0" w:color="auto"/>
              <w:left w:val="nil"/>
              <w:bottom w:val="single" w:sz="4" w:space="0" w:color="auto"/>
              <w:right w:val="single" w:sz="4" w:space="0" w:color="000000"/>
            </w:tcBorders>
            <w:vAlign w:val="center"/>
            <w:hideMark/>
          </w:tcPr>
          <w:p w14:paraId="5AABE189"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Коэффициент оборачиваемости кредиторской задолженности, раз</w:t>
            </w:r>
          </w:p>
        </w:tc>
        <w:tc>
          <w:tcPr>
            <w:tcW w:w="3247" w:type="dxa"/>
            <w:tcBorders>
              <w:top w:val="single" w:sz="4" w:space="0" w:color="auto"/>
              <w:left w:val="nil"/>
              <w:bottom w:val="single" w:sz="4" w:space="0" w:color="auto"/>
              <w:right w:val="single" w:sz="4" w:space="0" w:color="000000"/>
            </w:tcBorders>
            <w:vAlign w:val="center"/>
            <w:hideMark/>
          </w:tcPr>
          <w:p w14:paraId="0EF82428"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К</w:t>
            </w:r>
            <w:r w:rsidRPr="003E366F">
              <w:rPr>
                <w:rFonts w:ascii="Times New Roman" w:eastAsia="Times New Roman" w:hAnsi="Times New Roman" w:cs="Times New Roman"/>
                <w:color w:val="000000"/>
                <w:sz w:val="24"/>
                <w:szCs w:val="24"/>
                <w:vertAlign w:val="subscript"/>
              </w:rPr>
              <w:t>ОКЗ</w:t>
            </w:r>
            <w:r w:rsidRPr="003E366F">
              <w:rPr>
                <w:rFonts w:ascii="Times New Roman" w:eastAsia="Times New Roman" w:hAnsi="Times New Roman" w:cs="Times New Roman"/>
                <w:color w:val="000000"/>
                <w:sz w:val="24"/>
                <w:szCs w:val="24"/>
              </w:rPr>
              <w:t>=Себестоимость реализованной продукции/Кредиторская задолженность</w:t>
            </w:r>
          </w:p>
        </w:tc>
        <w:tc>
          <w:tcPr>
            <w:tcW w:w="1673" w:type="dxa"/>
            <w:tcBorders>
              <w:top w:val="single" w:sz="4" w:space="0" w:color="auto"/>
              <w:left w:val="nil"/>
              <w:bottom w:val="single" w:sz="4" w:space="0" w:color="auto"/>
              <w:right w:val="single" w:sz="4" w:space="0" w:color="000000"/>
            </w:tcBorders>
            <w:vAlign w:val="center"/>
            <w:hideMark/>
          </w:tcPr>
          <w:p w14:paraId="608FCEC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2,6197</w:t>
            </w:r>
          </w:p>
        </w:tc>
        <w:tc>
          <w:tcPr>
            <w:tcW w:w="1440" w:type="dxa"/>
            <w:tcBorders>
              <w:top w:val="single" w:sz="4" w:space="0" w:color="auto"/>
              <w:left w:val="nil"/>
              <w:bottom w:val="single" w:sz="4" w:space="0" w:color="auto"/>
              <w:right w:val="single" w:sz="4" w:space="0" w:color="000000"/>
            </w:tcBorders>
            <w:vAlign w:val="center"/>
            <w:hideMark/>
          </w:tcPr>
          <w:p w14:paraId="07FC5D45"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2,9272</w:t>
            </w:r>
          </w:p>
        </w:tc>
        <w:tc>
          <w:tcPr>
            <w:tcW w:w="4550" w:type="dxa"/>
            <w:tcBorders>
              <w:top w:val="single" w:sz="4" w:space="0" w:color="auto"/>
              <w:left w:val="nil"/>
              <w:bottom w:val="single" w:sz="4" w:space="0" w:color="auto"/>
              <w:right w:val="single" w:sz="4" w:space="0" w:color="000000"/>
            </w:tcBorders>
            <w:vAlign w:val="center"/>
            <w:hideMark/>
          </w:tcPr>
          <w:p w14:paraId="7792E3A6"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3E366F" w:rsidRPr="003E366F" w14:paraId="554BD587" w14:textId="77777777" w:rsidTr="00AA188C">
        <w:trPr>
          <w:trHeight w:val="2010"/>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47223294"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12</w:t>
            </w:r>
          </w:p>
        </w:tc>
        <w:tc>
          <w:tcPr>
            <w:tcW w:w="1992" w:type="dxa"/>
            <w:tcBorders>
              <w:top w:val="single" w:sz="4" w:space="0" w:color="auto"/>
              <w:left w:val="single" w:sz="4" w:space="0" w:color="auto"/>
              <w:bottom w:val="single" w:sz="4" w:space="0" w:color="auto"/>
              <w:right w:val="single" w:sz="4" w:space="0" w:color="auto"/>
            </w:tcBorders>
            <w:vAlign w:val="center"/>
            <w:hideMark/>
          </w:tcPr>
          <w:p w14:paraId="05FB30C9"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Скорость оборачиваемости кредиторской задолженности, дней</w:t>
            </w:r>
          </w:p>
        </w:tc>
        <w:tc>
          <w:tcPr>
            <w:tcW w:w="3247" w:type="dxa"/>
            <w:tcBorders>
              <w:top w:val="single" w:sz="4" w:space="0" w:color="auto"/>
              <w:left w:val="single" w:sz="4" w:space="0" w:color="auto"/>
              <w:bottom w:val="single" w:sz="4" w:space="0" w:color="auto"/>
              <w:right w:val="single" w:sz="4" w:space="0" w:color="auto"/>
            </w:tcBorders>
            <w:vAlign w:val="center"/>
            <w:hideMark/>
          </w:tcPr>
          <w:p w14:paraId="108B3A68"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Д(К</w:t>
            </w:r>
            <w:r w:rsidRPr="003E366F">
              <w:rPr>
                <w:rFonts w:ascii="Times New Roman" w:eastAsia="Times New Roman" w:hAnsi="Times New Roman" w:cs="Times New Roman"/>
                <w:color w:val="000000"/>
                <w:sz w:val="24"/>
                <w:szCs w:val="24"/>
                <w:vertAlign w:val="subscript"/>
              </w:rPr>
              <w:t>ОКЗ</w:t>
            </w:r>
            <w:r w:rsidRPr="003E366F">
              <w:rPr>
                <w:rFonts w:ascii="Times New Roman" w:eastAsia="Times New Roman" w:hAnsi="Times New Roman" w:cs="Times New Roman"/>
                <w:color w:val="000000"/>
                <w:sz w:val="24"/>
                <w:szCs w:val="24"/>
              </w:rPr>
              <w:t>)= 365/К</w:t>
            </w:r>
            <w:r w:rsidRPr="003E366F">
              <w:rPr>
                <w:rFonts w:ascii="Times New Roman" w:eastAsia="Times New Roman" w:hAnsi="Times New Roman" w:cs="Times New Roman"/>
                <w:color w:val="000000"/>
                <w:sz w:val="24"/>
                <w:szCs w:val="24"/>
                <w:vertAlign w:val="subscript"/>
              </w:rPr>
              <w:t>ОКЗ</w:t>
            </w:r>
          </w:p>
        </w:tc>
        <w:tc>
          <w:tcPr>
            <w:tcW w:w="1673" w:type="dxa"/>
            <w:tcBorders>
              <w:top w:val="single" w:sz="4" w:space="0" w:color="auto"/>
              <w:left w:val="single" w:sz="4" w:space="0" w:color="auto"/>
              <w:bottom w:val="single" w:sz="4" w:space="0" w:color="auto"/>
              <w:right w:val="single" w:sz="4" w:space="0" w:color="auto"/>
            </w:tcBorders>
            <w:vAlign w:val="center"/>
            <w:hideMark/>
          </w:tcPr>
          <w:p w14:paraId="484C61C7"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139,3310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54FD966" w14:textId="77777777" w:rsidR="003E366F" w:rsidRPr="003E366F" w:rsidRDefault="003E366F" w:rsidP="003E366F">
            <w:pPr>
              <w:spacing w:after="0" w:line="240" w:lineRule="auto"/>
              <w:jc w:val="center"/>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124,6938</w:t>
            </w:r>
          </w:p>
        </w:tc>
        <w:tc>
          <w:tcPr>
            <w:tcW w:w="4550" w:type="dxa"/>
            <w:tcBorders>
              <w:top w:val="single" w:sz="4" w:space="0" w:color="auto"/>
              <w:left w:val="single" w:sz="4" w:space="0" w:color="auto"/>
              <w:bottom w:val="single" w:sz="4" w:space="0" w:color="auto"/>
              <w:right w:val="single" w:sz="4" w:space="0" w:color="auto"/>
            </w:tcBorders>
            <w:vAlign w:val="center"/>
            <w:hideMark/>
          </w:tcPr>
          <w:p w14:paraId="5353EA2E" w14:textId="77777777" w:rsidR="003E366F" w:rsidRPr="003E366F" w:rsidRDefault="003E366F" w:rsidP="003E366F">
            <w:pPr>
              <w:spacing w:after="0" w:line="240" w:lineRule="auto"/>
              <w:rPr>
                <w:rFonts w:ascii="Times New Roman" w:eastAsia="Times New Roman" w:hAnsi="Times New Roman" w:cs="Times New Roman"/>
                <w:color w:val="000000"/>
                <w:sz w:val="24"/>
                <w:szCs w:val="24"/>
              </w:rPr>
            </w:pPr>
            <w:r w:rsidRPr="003E366F">
              <w:rPr>
                <w:rFonts w:ascii="Times New Roman" w:eastAsia="Times New Roman" w:hAnsi="Times New Roman" w:cs="Times New Roman"/>
                <w:color w:val="000000"/>
                <w:sz w:val="24"/>
                <w:szCs w:val="24"/>
              </w:rPr>
              <w:t> </w:t>
            </w:r>
          </w:p>
        </w:tc>
      </w:tr>
      <w:tr w:rsidR="00AA188C" w:rsidRPr="003E366F" w14:paraId="2E379E71" w14:textId="77777777" w:rsidTr="00AA188C">
        <w:trPr>
          <w:trHeight w:val="1612"/>
          <w:jc w:val="center"/>
        </w:trPr>
        <w:tc>
          <w:tcPr>
            <w:tcW w:w="560" w:type="dxa"/>
            <w:tcBorders>
              <w:top w:val="single" w:sz="4" w:space="0" w:color="auto"/>
              <w:left w:val="single" w:sz="4" w:space="0" w:color="auto"/>
              <w:bottom w:val="single" w:sz="4" w:space="0" w:color="auto"/>
              <w:right w:val="single" w:sz="4" w:space="0" w:color="auto"/>
            </w:tcBorders>
            <w:vAlign w:val="center"/>
          </w:tcPr>
          <w:p w14:paraId="594B8EAF"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13</w:t>
            </w:r>
          </w:p>
        </w:tc>
        <w:tc>
          <w:tcPr>
            <w:tcW w:w="1992" w:type="dxa"/>
            <w:tcBorders>
              <w:top w:val="single" w:sz="4" w:space="0" w:color="auto"/>
              <w:left w:val="single" w:sz="4" w:space="0" w:color="auto"/>
              <w:bottom w:val="single" w:sz="4" w:space="0" w:color="auto"/>
              <w:right w:val="single" w:sz="4" w:space="0" w:color="auto"/>
            </w:tcBorders>
            <w:vAlign w:val="center"/>
          </w:tcPr>
          <w:p w14:paraId="42ADA5F7"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Коэффициент оборачиваемости дебиторской задолженности, раз</w:t>
            </w:r>
          </w:p>
        </w:tc>
        <w:tc>
          <w:tcPr>
            <w:tcW w:w="3247" w:type="dxa"/>
            <w:tcBorders>
              <w:top w:val="single" w:sz="4" w:space="0" w:color="auto"/>
              <w:left w:val="single" w:sz="4" w:space="0" w:color="auto"/>
              <w:bottom w:val="single" w:sz="4" w:space="0" w:color="auto"/>
              <w:right w:val="single" w:sz="4" w:space="0" w:color="auto"/>
            </w:tcBorders>
            <w:vAlign w:val="center"/>
          </w:tcPr>
          <w:p w14:paraId="1AC4DF22"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КОДЗ=Выручка/Дебиторская задолженность</w:t>
            </w:r>
          </w:p>
        </w:tc>
        <w:tc>
          <w:tcPr>
            <w:tcW w:w="1673" w:type="dxa"/>
            <w:tcBorders>
              <w:top w:val="single" w:sz="4" w:space="0" w:color="auto"/>
              <w:left w:val="single" w:sz="4" w:space="0" w:color="auto"/>
              <w:bottom w:val="single" w:sz="4" w:space="0" w:color="auto"/>
              <w:right w:val="single" w:sz="4" w:space="0" w:color="auto"/>
            </w:tcBorders>
            <w:vAlign w:val="center"/>
          </w:tcPr>
          <w:p w14:paraId="0DB0CC22"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2,7443</w:t>
            </w:r>
          </w:p>
        </w:tc>
        <w:tc>
          <w:tcPr>
            <w:tcW w:w="1440" w:type="dxa"/>
            <w:tcBorders>
              <w:top w:val="single" w:sz="4" w:space="0" w:color="auto"/>
              <w:left w:val="single" w:sz="4" w:space="0" w:color="auto"/>
              <w:bottom w:val="single" w:sz="4" w:space="0" w:color="auto"/>
              <w:right w:val="single" w:sz="4" w:space="0" w:color="auto"/>
            </w:tcBorders>
            <w:vAlign w:val="center"/>
          </w:tcPr>
          <w:p w14:paraId="5293F158"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3,1988</w:t>
            </w:r>
          </w:p>
        </w:tc>
        <w:tc>
          <w:tcPr>
            <w:tcW w:w="4550" w:type="dxa"/>
            <w:tcBorders>
              <w:top w:val="single" w:sz="4" w:space="0" w:color="auto"/>
              <w:left w:val="single" w:sz="4" w:space="0" w:color="auto"/>
              <w:bottom w:val="single" w:sz="4" w:space="0" w:color="auto"/>
              <w:right w:val="single" w:sz="4" w:space="0" w:color="auto"/>
            </w:tcBorders>
            <w:vAlign w:val="center"/>
          </w:tcPr>
          <w:p w14:paraId="109E9144"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p>
        </w:tc>
      </w:tr>
      <w:tr w:rsidR="00AA188C" w:rsidRPr="003E366F" w14:paraId="2522D792" w14:textId="77777777" w:rsidTr="00AA188C">
        <w:trPr>
          <w:trHeight w:val="1549"/>
          <w:jc w:val="center"/>
        </w:trPr>
        <w:tc>
          <w:tcPr>
            <w:tcW w:w="560" w:type="dxa"/>
            <w:tcBorders>
              <w:top w:val="single" w:sz="4" w:space="0" w:color="auto"/>
              <w:left w:val="single" w:sz="4" w:space="0" w:color="auto"/>
              <w:bottom w:val="single" w:sz="4" w:space="0" w:color="auto"/>
              <w:right w:val="single" w:sz="4" w:space="0" w:color="auto"/>
            </w:tcBorders>
            <w:vAlign w:val="center"/>
          </w:tcPr>
          <w:p w14:paraId="26C62C7E"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14</w:t>
            </w:r>
          </w:p>
        </w:tc>
        <w:tc>
          <w:tcPr>
            <w:tcW w:w="1992" w:type="dxa"/>
            <w:tcBorders>
              <w:top w:val="single" w:sz="4" w:space="0" w:color="auto"/>
              <w:left w:val="single" w:sz="4" w:space="0" w:color="auto"/>
              <w:bottom w:val="single" w:sz="4" w:space="0" w:color="auto"/>
              <w:right w:val="single" w:sz="4" w:space="0" w:color="auto"/>
            </w:tcBorders>
            <w:vAlign w:val="center"/>
          </w:tcPr>
          <w:p w14:paraId="1BA5B6A4"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Скорость оборачиваемости дебиторской задолженности, дней</w:t>
            </w:r>
          </w:p>
        </w:tc>
        <w:tc>
          <w:tcPr>
            <w:tcW w:w="3247" w:type="dxa"/>
            <w:tcBorders>
              <w:top w:val="single" w:sz="4" w:space="0" w:color="auto"/>
              <w:left w:val="single" w:sz="4" w:space="0" w:color="auto"/>
              <w:bottom w:val="single" w:sz="4" w:space="0" w:color="auto"/>
              <w:right w:val="single" w:sz="4" w:space="0" w:color="auto"/>
            </w:tcBorders>
            <w:vAlign w:val="center"/>
          </w:tcPr>
          <w:p w14:paraId="3F5C7563"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Д(КОДЗ)= 365/КОДЗ</w:t>
            </w:r>
          </w:p>
        </w:tc>
        <w:tc>
          <w:tcPr>
            <w:tcW w:w="1673" w:type="dxa"/>
            <w:tcBorders>
              <w:top w:val="single" w:sz="4" w:space="0" w:color="auto"/>
              <w:left w:val="single" w:sz="4" w:space="0" w:color="auto"/>
              <w:bottom w:val="single" w:sz="4" w:space="0" w:color="auto"/>
              <w:right w:val="single" w:sz="4" w:space="0" w:color="auto"/>
            </w:tcBorders>
            <w:vAlign w:val="center"/>
          </w:tcPr>
          <w:p w14:paraId="59103F90"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133,0027</w:t>
            </w:r>
          </w:p>
        </w:tc>
        <w:tc>
          <w:tcPr>
            <w:tcW w:w="1440" w:type="dxa"/>
            <w:tcBorders>
              <w:top w:val="single" w:sz="4" w:space="0" w:color="auto"/>
              <w:left w:val="single" w:sz="4" w:space="0" w:color="auto"/>
              <w:bottom w:val="single" w:sz="4" w:space="0" w:color="auto"/>
              <w:right w:val="single" w:sz="4" w:space="0" w:color="auto"/>
            </w:tcBorders>
            <w:vAlign w:val="center"/>
          </w:tcPr>
          <w:p w14:paraId="5F636707"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r w:rsidRPr="00AA188C">
              <w:rPr>
                <w:rFonts w:ascii="Times New Roman" w:eastAsia="Times New Roman" w:hAnsi="Times New Roman" w:cs="Times New Roman"/>
                <w:color w:val="000000"/>
                <w:sz w:val="24"/>
                <w:szCs w:val="24"/>
              </w:rPr>
              <w:t>114,1060</w:t>
            </w:r>
          </w:p>
        </w:tc>
        <w:tc>
          <w:tcPr>
            <w:tcW w:w="4550" w:type="dxa"/>
            <w:tcBorders>
              <w:top w:val="single" w:sz="4" w:space="0" w:color="auto"/>
              <w:left w:val="single" w:sz="4" w:space="0" w:color="auto"/>
              <w:bottom w:val="single" w:sz="4" w:space="0" w:color="auto"/>
              <w:right w:val="single" w:sz="4" w:space="0" w:color="auto"/>
            </w:tcBorders>
            <w:vAlign w:val="center"/>
          </w:tcPr>
          <w:p w14:paraId="03747115" w14:textId="77777777" w:rsidR="00AA188C" w:rsidRPr="00AA188C" w:rsidRDefault="00AA188C" w:rsidP="00AA188C">
            <w:pPr>
              <w:spacing w:after="0" w:line="240" w:lineRule="auto"/>
              <w:jc w:val="center"/>
              <w:rPr>
                <w:rFonts w:ascii="Times New Roman" w:eastAsia="Times New Roman" w:hAnsi="Times New Roman" w:cs="Times New Roman"/>
                <w:color w:val="000000"/>
                <w:sz w:val="24"/>
                <w:szCs w:val="24"/>
              </w:rPr>
            </w:pPr>
          </w:p>
        </w:tc>
      </w:tr>
    </w:tbl>
    <w:p w14:paraId="44B4C492" w14:textId="77777777" w:rsidR="00F1590E" w:rsidRDefault="00F1590E">
      <w:pPr>
        <w:rPr>
          <w:rFonts w:ascii="Times New Roman" w:eastAsia="Times New Roman" w:hAnsi="Times New Roman" w:cs="Times New Roman"/>
          <w:b/>
          <w:sz w:val="28"/>
          <w:szCs w:val="28"/>
        </w:rPr>
      </w:pPr>
    </w:p>
    <w:p w14:paraId="65E5E848" w14:textId="77777777" w:rsidR="00AD46C4" w:rsidRDefault="003E366F" w:rsidP="00C75A4F">
      <w:pPr>
        <w:rPr>
          <w:rFonts w:ascii="Times New Roman" w:eastAsia="Times New Roman" w:hAnsi="Times New Roman" w:cs="Times New Roman"/>
          <w:bCs/>
          <w:kern w:val="36"/>
          <w:sz w:val="28"/>
          <w:szCs w:val="28"/>
        </w:rPr>
      </w:pPr>
      <w:r>
        <w:rPr>
          <w:rFonts w:ascii="Times New Roman" w:eastAsia="Times New Roman" w:hAnsi="Times New Roman" w:cs="Times New Roman"/>
          <w:b/>
          <w:sz w:val="28"/>
          <w:szCs w:val="28"/>
        </w:rPr>
        <w:t>Выводы:</w:t>
      </w:r>
      <w:r w:rsidR="00C75A4F" w:rsidRPr="00C75A4F">
        <w:rPr>
          <w:rFonts w:ascii="Times New Roman" w:eastAsia="Times New Roman" w:hAnsi="Times New Roman" w:cs="Times New Roman"/>
          <w:sz w:val="24"/>
          <w:szCs w:val="24"/>
        </w:rPr>
        <w:br/>
      </w:r>
      <w:r w:rsidR="00C75A4F" w:rsidRPr="00C75A4F">
        <w:rPr>
          <w:rFonts w:ascii="Times New Roman" w:eastAsia="Times New Roman" w:hAnsi="Times New Roman" w:cs="Times New Roman"/>
          <w:b/>
          <w:bCs/>
          <w:sz w:val="24"/>
          <w:szCs w:val="24"/>
        </w:rPr>
        <w:br/>
      </w:r>
      <w:r w:rsidR="00C75A4F" w:rsidRPr="00C75A4F">
        <w:rPr>
          <w:rFonts w:ascii="Times New Roman" w:eastAsia="Times New Roman" w:hAnsi="Times New Roman" w:cs="Times New Roman"/>
          <w:bCs/>
          <w:kern w:val="36"/>
          <w:sz w:val="28"/>
          <w:szCs w:val="28"/>
        </w:rPr>
        <w:t>Анализ динамики показателей скорости оборачиваемости в днях позволяет сделать вывод о повышении эффективности использования ресурсов в отчетном периоде. Прежде всего, обращает на себя внимание значительное сокращение скорости оборачиваемости активов — с 940,91 до 807,23 дней. Это свидетельствует об ускорении полного цикла оборота всех активов предприятия, что положительно отражается на его финансово-хозяйственной деятельности.</w:t>
      </w:r>
      <w:r w:rsidR="00C75A4F" w:rsidRPr="00C75A4F">
        <w:rPr>
          <w:rFonts w:ascii="Times New Roman" w:eastAsia="Times New Roman" w:hAnsi="Times New Roman" w:cs="Times New Roman"/>
          <w:bCs/>
          <w:kern w:val="36"/>
          <w:sz w:val="28"/>
          <w:szCs w:val="28"/>
        </w:rPr>
        <w:br/>
      </w:r>
      <w:r w:rsidR="00C75A4F" w:rsidRPr="00C75A4F">
        <w:rPr>
          <w:rFonts w:ascii="Times New Roman" w:eastAsia="Times New Roman" w:hAnsi="Times New Roman" w:cs="Times New Roman"/>
          <w:bCs/>
          <w:kern w:val="36"/>
          <w:sz w:val="28"/>
          <w:szCs w:val="28"/>
        </w:rPr>
        <w:br/>
        <w:t>Скорость оборачиваемости основных средств также сократилась — с 203,52 до 174,60 дней. Это указывает на то, что вложения в долгосрочные активы стали окупаться быстрее, а сами активы использоваться интенсивнее.</w:t>
      </w:r>
      <w:r w:rsidR="00C75A4F" w:rsidRPr="00C75A4F">
        <w:rPr>
          <w:rFonts w:ascii="Times New Roman" w:eastAsia="Times New Roman" w:hAnsi="Times New Roman" w:cs="Times New Roman"/>
          <w:bCs/>
          <w:kern w:val="36"/>
          <w:sz w:val="28"/>
          <w:szCs w:val="28"/>
        </w:rPr>
        <w:br/>
      </w:r>
      <w:r w:rsidR="00C75A4F" w:rsidRPr="00C75A4F">
        <w:rPr>
          <w:rFonts w:ascii="Times New Roman" w:eastAsia="Times New Roman" w:hAnsi="Times New Roman" w:cs="Times New Roman"/>
          <w:bCs/>
          <w:kern w:val="36"/>
          <w:sz w:val="28"/>
          <w:szCs w:val="28"/>
        </w:rPr>
        <w:br/>
        <w:t>Существенное сокращение сроков оборачиваемости запасов — с 107,75 до 96,43 дней — говорит о повышении эффективности процессов закупки, производства и реализации, что способствует ускорению оборота капитала и снижению затрат на хранение товарно-материальных ценностей.</w:t>
      </w:r>
      <w:r w:rsidR="00C75A4F" w:rsidRPr="00C75A4F">
        <w:rPr>
          <w:rFonts w:ascii="Times New Roman" w:eastAsia="Times New Roman" w:hAnsi="Times New Roman" w:cs="Times New Roman"/>
          <w:bCs/>
          <w:kern w:val="36"/>
          <w:sz w:val="28"/>
          <w:szCs w:val="28"/>
        </w:rPr>
        <w:br/>
      </w:r>
      <w:r w:rsidR="00C75A4F" w:rsidRPr="00C75A4F">
        <w:rPr>
          <w:rFonts w:ascii="Times New Roman" w:eastAsia="Times New Roman" w:hAnsi="Times New Roman" w:cs="Times New Roman"/>
          <w:bCs/>
          <w:kern w:val="36"/>
          <w:sz w:val="28"/>
          <w:szCs w:val="28"/>
        </w:rPr>
        <w:br/>
      </w:r>
      <w:r w:rsidR="00060B78" w:rsidRPr="00060B78">
        <w:rPr>
          <w:rFonts w:ascii="Times New Roman" w:eastAsia="Times New Roman" w:hAnsi="Times New Roman" w:cs="Times New Roman"/>
          <w:bCs/>
          <w:kern w:val="36"/>
          <w:sz w:val="28"/>
          <w:szCs w:val="28"/>
        </w:rPr>
        <w:t>Скорость оборачиваемости денежных средств также продемонстрировала положительную динамику: показатель снизился с 144,60 до 124,06 дней. Это свидетельствует об ускорении использования денежных ресурсов в операционной деятельности организации, что может указывать на более активное и эффективное управление денежными потоками, а также на повышение общей финансовой подвижности.</w:t>
      </w:r>
      <w:r w:rsidR="00C75A4F" w:rsidRPr="00C75A4F">
        <w:rPr>
          <w:rFonts w:ascii="Times New Roman" w:eastAsia="Times New Roman" w:hAnsi="Times New Roman" w:cs="Times New Roman"/>
          <w:bCs/>
          <w:kern w:val="36"/>
          <w:sz w:val="28"/>
          <w:szCs w:val="28"/>
        </w:rPr>
        <w:br/>
      </w:r>
      <w:r w:rsidR="00C75A4F" w:rsidRPr="00C75A4F">
        <w:rPr>
          <w:rFonts w:ascii="Times New Roman" w:eastAsia="Times New Roman" w:hAnsi="Times New Roman" w:cs="Times New Roman"/>
          <w:bCs/>
          <w:kern w:val="36"/>
          <w:sz w:val="28"/>
          <w:szCs w:val="28"/>
        </w:rPr>
        <w:br/>
        <w:t>Скорость оборачиваемости финансовых вложений улучшилась: показатель сократился с 21,06 до 18,07 дней. Это говорит о росте доходности и ликвидности вложенных средств, а также об оптимизации инвестиционного портфеля.</w:t>
      </w:r>
    </w:p>
    <w:p w14:paraId="400D0ACB" w14:textId="77777777" w:rsidR="00AD46C4" w:rsidRDefault="00AD46C4" w:rsidP="00C75A4F">
      <w:pPr>
        <w:rPr>
          <w:rFonts w:ascii="Times New Roman" w:eastAsia="Times New Roman" w:hAnsi="Times New Roman" w:cs="Times New Roman"/>
          <w:bCs/>
          <w:kern w:val="36"/>
          <w:sz w:val="28"/>
          <w:szCs w:val="28"/>
        </w:rPr>
      </w:pPr>
      <w:r w:rsidRPr="00AD46C4">
        <w:rPr>
          <w:rFonts w:ascii="Times New Roman" w:eastAsia="Times New Roman" w:hAnsi="Times New Roman" w:cs="Times New Roman"/>
          <w:bCs/>
          <w:kern w:val="36"/>
          <w:sz w:val="28"/>
          <w:szCs w:val="28"/>
        </w:rPr>
        <w:t>Особое внимание следует уделить ускорению оборачиваемости дебиторской задолженности — с 133,00 до 114,11 дней. Это положительная тенденция, свидетельствующая о более эффективной работе с покупателями и улучшении политики управления расчетами.</w:t>
      </w:r>
      <w:r w:rsidR="00C75A4F" w:rsidRPr="00C75A4F">
        <w:rPr>
          <w:rFonts w:ascii="Times New Roman" w:eastAsia="Times New Roman" w:hAnsi="Times New Roman" w:cs="Times New Roman"/>
          <w:bCs/>
          <w:kern w:val="36"/>
          <w:sz w:val="28"/>
          <w:szCs w:val="28"/>
        </w:rPr>
        <w:br/>
      </w:r>
      <w:r w:rsidR="00C75A4F" w:rsidRPr="00C75A4F">
        <w:rPr>
          <w:rFonts w:ascii="Times New Roman" w:eastAsia="Times New Roman" w:hAnsi="Times New Roman" w:cs="Times New Roman"/>
          <w:bCs/>
          <w:kern w:val="36"/>
          <w:sz w:val="28"/>
          <w:szCs w:val="28"/>
        </w:rPr>
        <w:br/>
        <w:t>Наконец, скорость оборачиваемости кредиторской задолженности сократилась со 139,33 до 124,69 дней, что отражает более оперативное исполнение предприятием своих обязательств перед поставщиками и контрагентами.</w:t>
      </w:r>
    </w:p>
    <w:p w14:paraId="4F63D228" w14:textId="77777777" w:rsidR="00C75A4F" w:rsidRPr="00C75A4F" w:rsidRDefault="00AD46C4" w:rsidP="00C75A4F">
      <w:pPr>
        <w:rPr>
          <w:rFonts w:ascii="Times New Roman" w:eastAsia="Times New Roman" w:hAnsi="Times New Roman" w:cs="Times New Roman"/>
          <w:bCs/>
          <w:kern w:val="36"/>
          <w:sz w:val="28"/>
          <w:szCs w:val="28"/>
        </w:rPr>
      </w:pPr>
      <w:r w:rsidRPr="00AD46C4">
        <w:rPr>
          <w:rFonts w:ascii="Times New Roman" w:eastAsia="Times New Roman" w:hAnsi="Times New Roman" w:cs="Times New Roman"/>
          <w:bCs/>
          <w:kern w:val="36"/>
          <w:sz w:val="28"/>
          <w:szCs w:val="28"/>
        </w:rPr>
        <w:t xml:space="preserve">В отчетном периоде наблюдается сокращение </w:t>
      </w:r>
      <w:r>
        <w:rPr>
          <w:rFonts w:ascii="Times New Roman" w:eastAsia="Times New Roman" w:hAnsi="Times New Roman" w:cs="Times New Roman"/>
          <w:bCs/>
          <w:kern w:val="36"/>
          <w:sz w:val="28"/>
          <w:szCs w:val="28"/>
        </w:rPr>
        <w:t>скорости</w:t>
      </w:r>
      <w:r w:rsidRPr="00AD46C4">
        <w:rPr>
          <w:rFonts w:ascii="Times New Roman" w:eastAsia="Times New Roman" w:hAnsi="Times New Roman" w:cs="Times New Roman"/>
          <w:bCs/>
          <w:kern w:val="36"/>
          <w:sz w:val="28"/>
          <w:szCs w:val="28"/>
        </w:rPr>
        <w:t xml:space="preserve"> оборачиваемости как дебиторской, так и кредиторской задолженности, что отражает улучшение динамики расчетов с контрагентами. Скорость оборачиваемости дебиторской задолженности снизилась со 133,00 до 114,11 дней, что свидетельствует об ускорении поступления денежных средств от покупателей. Одновременно сократилась и продолжительность расчетов с поставщиками: срок оборачиваемости кредиторской задолженности уменьшился с 139,33 до 124,69 дней.</w:t>
      </w:r>
      <w:r w:rsidR="00C75A4F" w:rsidRPr="00C75A4F">
        <w:rPr>
          <w:rFonts w:ascii="Times New Roman" w:eastAsia="Times New Roman" w:hAnsi="Times New Roman" w:cs="Times New Roman"/>
          <w:bCs/>
          <w:kern w:val="36"/>
          <w:sz w:val="28"/>
          <w:szCs w:val="28"/>
        </w:rPr>
        <w:br/>
      </w:r>
      <w:r w:rsidR="00C75A4F" w:rsidRPr="00C75A4F">
        <w:rPr>
          <w:rFonts w:ascii="Times New Roman" w:eastAsia="Times New Roman" w:hAnsi="Times New Roman" w:cs="Times New Roman"/>
          <w:bCs/>
          <w:kern w:val="36"/>
          <w:sz w:val="28"/>
          <w:szCs w:val="28"/>
        </w:rPr>
        <w:br/>
        <w:t>Таким образом, динамика всех показателей</w:t>
      </w:r>
      <w:r w:rsidR="00060B78">
        <w:rPr>
          <w:rFonts w:ascii="Times New Roman" w:eastAsia="Times New Roman" w:hAnsi="Times New Roman" w:cs="Times New Roman"/>
          <w:bCs/>
          <w:kern w:val="36"/>
          <w:sz w:val="28"/>
          <w:szCs w:val="28"/>
        </w:rPr>
        <w:t xml:space="preserve"> </w:t>
      </w:r>
      <w:r w:rsidR="00C75A4F" w:rsidRPr="00C75A4F">
        <w:rPr>
          <w:rFonts w:ascii="Times New Roman" w:eastAsia="Times New Roman" w:hAnsi="Times New Roman" w:cs="Times New Roman"/>
          <w:bCs/>
          <w:kern w:val="36"/>
          <w:sz w:val="28"/>
          <w:szCs w:val="28"/>
        </w:rPr>
        <w:t>характеризуется сокращением длительности оборота, что является положительным трендом и свидетельствует о росте эффективности операционной и финансовой деятельности предприятия.</w:t>
      </w:r>
    </w:p>
    <w:p w14:paraId="43821C27" w14:textId="77777777" w:rsidR="00C75A4F" w:rsidRPr="003E366F" w:rsidRDefault="00C75A4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17ED2EA" w14:textId="77777777" w:rsidR="00F1590E" w:rsidRDefault="000C4199">
      <w:pPr>
        <w:pStyle w:val="1"/>
        <w:widowControl w:val="0"/>
        <w:spacing w:before="0" w:after="0" w:line="360" w:lineRule="auto"/>
        <w:ind w:firstLine="708"/>
        <w:jc w:val="both"/>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Задание 10. </w:t>
      </w:r>
      <w:r>
        <w:rPr>
          <w:rFonts w:ascii="Times New Roman" w:eastAsia="Times New Roman" w:hAnsi="Times New Roman" w:cs="Times New Roman"/>
          <w:b w:val="0"/>
          <w:sz w:val="28"/>
          <w:szCs w:val="28"/>
        </w:rPr>
        <w:t>На основе расчетов показателей оборачиваемости оборотных средств определить сумму высвобожденных или дополнительно привлеченных средств, вследствие изменения оборачиваемости всех оборотных средств. Определить влияние факторов на изменение оборачиваемости оборотных средств способом цепных подстановок (таблица 10.2).</w:t>
      </w:r>
    </w:p>
    <w:p w14:paraId="296E578A" w14:textId="77777777" w:rsidR="00F1590E" w:rsidRDefault="000C4199">
      <w:pPr>
        <w:pStyle w:val="1"/>
        <w:widowControl w:val="0"/>
        <w:spacing w:before="0" w:after="0"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10.1</w:t>
      </w:r>
    </w:p>
    <w:p w14:paraId="09211EC8" w14:textId="77777777" w:rsidR="00F1590E" w:rsidRDefault="000C4199">
      <w:pPr>
        <w:pStyle w:val="1"/>
        <w:widowControl w:val="0"/>
        <w:spacing w:before="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оборачиваемости оборотных средств организации</w:t>
      </w:r>
    </w:p>
    <w:tbl>
      <w:tblPr>
        <w:tblStyle w:val="afd"/>
        <w:tblW w:w="14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78"/>
        <w:gridCol w:w="2694"/>
        <w:gridCol w:w="2617"/>
        <w:gridCol w:w="3697"/>
      </w:tblGrid>
      <w:tr w:rsidR="00F1590E" w14:paraId="4E978EC3" w14:textId="77777777">
        <w:tc>
          <w:tcPr>
            <w:tcW w:w="5778" w:type="dxa"/>
          </w:tcPr>
          <w:p w14:paraId="56A6835F"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Показатели</w:t>
            </w:r>
          </w:p>
        </w:tc>
        <w:tc>
          <w:tcPr>
            <w:tcW w:w="2694" w:type="dxa"/>
          </w:tcPr>
          <w:p w14:paraId="4D0AAD80"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Предыдущий год</w:t>
            </w:r>
          </w:p>
        </w:tc>
        <w:tc>
          <w:tcPr>
            <w:tcW w:w="2617" w:type="dxa"/>
          </w:tcPr>
          <w:p w14:paraId="2DAEE71C"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Отчетный год</w:t>
            </w:r>
          </w:p>
        </w:tc>
        <w:tc>
          <w:tcPr>
            <w:tcW w:w="3697" w:type="dxa"/>
          </w:tcPr>
          <w:p w14:paraId="29E4EE52" w14:textId="77777777" w:rsidR="00F1590E" w:rsidRDefault="000C4199">
            <w:pPr>
              <w:pStyle w:val="1"/>
              <w:widowControl w:val="0"/>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Абсолютное изменение</w:t>
            </w:r>
          </w:p>
        </w:tc>
      </w:tr>
      <w:tr w:rsidR="00153AFF" w14:paraId="3F09859F" w14:textId="77777777" w:rsidTr="008B6A24">
        <w:tc>
          <w:tcPr>
            <w:tcW w:w="5778" w:type="dxa"/>
          </w:tcPr>
          <w:p w14:paraId="274CB9EA"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1.Выручка, тыс. руб.</w:t>
            </w:r>
          </w:p>
        </w:tc>
        <w:tc>
          <w:tcPr>
            <w:tcW w:w="2694" w:type="dxa"/>
            <w:vAlign w:val="center"/>
          </w:tcPr>
          <w:p w14:paraId="45850F23"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126 820 736</w:t>
            </w:r>
          </w:p>
        </w:tc>
        <w:tc>
          <w:tcPr>
            <w:tcW w:w="2617" w:type="dxa"/>
            <w:vAlign w:val="center"/>
          </w:tcPr>
          <w:p w14:paraId="1CA29659"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147 823 158</w:t>
            </w:r>
          </w:p>
        </w:tc>
        <w:tc>
          <w:tcPr>
            <w:tcW w:w="3697" w:type="dxa"/>
            <w:vAlign w:val="center"/>
          </w:tcPr>
          <w:p w14:paraId="246E85A3"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21 002 422</w:t>
            </w:r>
          </w:p>
        </w:tc>
      </w:tr>
      <w:tr w:rsidR="00153AFF" w14:paraId="086E20E0" w14:textId="77777777" w:rsidTr="008B6A24">
        <w:tc>
          <w:tcPr>
            <w:tcW w:w="5778" w:type="dxa"/>
          </w:tcPr>
          <w:p w14:paraId="6B580292"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 Количество дней анализируемого периода</w:t>
            </w:r>
          </w:p>
        </w:tc>
        <w:tc>
          <w:tcPr>
            <w:tcW w:w="2694" w:type="dxa"/>
            <w:vAlign w:val="center"/>
          </w:tcPr>
          <w:p w14:paraId="2A6784C4"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365</w:t>
            </w:r>
          </w:p>
        </w:tc>
        <w:tc>
          <w:tcPr>
            <w:tcW w:w="2617" w:type="dxa"/>
            <w:vAlign w:val="center"/>
          </w:tcPr>
          <w:p w14:paraId="605D1211"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365</w:t>
            </w:r>
          </w:p>
        </w:tc>
        <w:tc>
          <w:tcPr>
            <w:tcW w:w="3697" w:type="dxa"/>
            <w:vAlign w:val="center"/>
          </w:tcPr>
          <w:p w14:paraId="6D8AFF39"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w:t>
            </w:r>
          </w:p>
        </w:tc>
      </w:tr>
      <w:tr w:rsidR="00153AFF" w14:paraId="4390EF5C" w14:textId="77777777" w:rsidTr="008B6A24">
        <w:tc>
          <w:tcPr>
            <w:tcW w:w="5778" w:type="dxa"/>
          </w:tcPr>
          <w:p w14:paraId="03EFEBE6"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 Однодневная выручка, тыс. руб. (стр.1/стр. 2)</w:t>
            </w:r>
          </w:p>
        </w:tc>
        <w:tc>
          <w:tcPr>
            <w:tcW w:w="2694" w:type="dxa"/>
            <w:vAlign w:val="center"/>
          </w:tcPr>
          <w:p w14:paraId="263984B6"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347 454,07</w:t>
            </w:r>
          </w:p>
        </w:tc>
        <w:tc>
          <w:tcPr>
            <w:tcW w:w="2617" w:type="dxa"/>
            <w:vAlign w:val="center"/>
          </w:tcPr>
          <w:p w14:paraId="07A50FC4"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404 994,95</w:t>
            </w:r>
          </w:p>
        </w:tc>
        <w:tc>
          <w:tcPr>
            <w:tcW w:w="3697" w:type="dxa"/>
            <w:vAlign w:val="center"/>
          </w:tcPr>
          <w:p w14:paraId="625A76EB"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57 540,88</w:t>
            </w:r>
          </w:p>
        </w:tc>
      </w:tr>
      <w:tr w:rsidR="00153AFF" w14:paraId="37B597CF" w14:textId="77777777" w:rsidTr="008B6A24">
        <w:tc>
          <w:tcPr>
            <w:tcW w:w="5778" w:type="dxa"/>
          </w:tcPr>
          <w:p w14:paraId="2A3B7C08"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 Средний остаток оборотных средств, тыс. руб.</w:t>
            </w:r>
          </w:p>
        </w:tc>
        <w:tc>
          <w:tcPr>
            <w:tcW w:w="2694" w:type="dxa"/>
            <w:vAlign w:val="center"/>
          </w:tcPr>
          <w:p w14:paraId="4712100E"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122 655 748</w:t>
            </w:r>
          </w:p>
        </w:tc>
        <w:tc>
          <w:tcPr>
            <w:tcW w:w="2617" w:type="dxa"/>
            <w:vAlign w:val="center"/>
          </w:tcPr>
          <w:p w14:paraId="1AFEB810"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122 655 748</w:t>
            </w:r>
          </w:p>
        </w:tc>
        <w:tc>
          <w:tcPr>
            <w:tcW w:w="3697" w:type="dxa"/>
            <w:vAlign w:val="center"/>
          </w:tcPr>
          <w:p w14:paraId="38E80286"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w:t>
            </w:r>
          </w:p>
        </w:tc>
      </w:tr>
      <w:tr w:rsidR="00153AFF" w14:paraId="169F3BDF" w14:textId="77777777" w:rsidTr="008B6A24">
        <w:tc>
          <w:tcPr>
            <w:tcW w:w="5778" w:type="dxa"/>
          </w:tcPr>
          <w:p w14:paraId="4C8DC4D4"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 Продолжительность одного оборота, дн. (стр.4 /стр. 3)</w:t>
            </w:r>
          </w:p>
        </w:tc>
        <w:tc>
          <w:tcPr>
            <w:tcW w:w="2694" w:type="dxa"/>
            <w:vAlign w:val="center"/>
          </w:tcPr>
          <w:p w14:paraId="75C4D0AE"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353,01</w:t>
            </w:r>
          </w:p>
        </w:tc>
        <w:tc>
          <w:tcPr>
            <w:tcW w:w="2617" w:type="dxa"/>
            <w:vAlign w:val="center"/>
          </w:tcPr>
          <w:p w14:paraId="1A8690FC"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302,86</w:t>
            </w:r>
          </w:p>
        </w:tc>
        <w:tc>
          <w:tcPr>
            <w:tcW w:w="3697" w:type="dxa"/>
            <w:vAlign w:val="center"/>
          </w:tcPr>
          <w:p w14:paraId="3774CB12"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-50,16</w:t>
            </w:r>
          </w:p>
        </w:tc>
      </w:tr>
      <w:tr w:rsidR="00153AFF" w14:paraId="78FAB3F3" w14:textId="77777777" w:rsidTr="008B6A24">
        <w:tc>
          <w:tcPr>
            <w:tcW w:w="5778" w:type="dxa"/>
          </w:tcPr>
          <w:p w14:paraId="75C894AD"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 Коэффициент оборачиваемости средств, оборотов (стр. 2/стр. 5)</w:t>
            </w:r>
          </w:p>
        </w:tc>
        <w:tc>
          <w:tcPr>
            <w:tcW w:w="2694" w:type="dxa"/>
            <w:vAlign w:val="center"/>
          </w:tcPr>
          <w:p w14:paraId="2AFCB9AB"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1,03</w:t>
            </w:r>
          </w:p>
        </w:tc>
        <w:tc>
          <w:tcPr>
            <w:tcW w:w="2617" w:type="dxa"/>
            <w:vAlign w:val="center"/>
          </w:tcPr>
          <w:p w14:paraId="3C6BA2AC"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1,21</w:t>
            </w:r>
          </w:p>
        </w:tc>
        <w:tc>
          <w:tcPr>
            <w:tcW w:w="3697" w:type="dxa"/>
            <w:vAlign w:val="center"/>
          </w:tcPr>
          <w:p w14:paraId="084C7A41"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0,17</w:t>
            </w:r>
          </w:p>
        </w:tc>
      </w:tr>
      <w:tr w:rsidR="00153AFF" w14:paraId="54BE69F0" w14:textId="77777777" w:rsidTr="008B6A24">
        <w:tc>
          <w:tcPr>
            <w:tcW w:w="5778" w:type="dxa"/>
          </w:tcPr>
          <w:p w14:paraId="44D67527"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7. Коэффициент загрузки средств в обороте, % (стр. 4/ стр.1*100)</w:t>
            </w:r>
          </w:p>
        </w:tc>
        <w:tc>
          <w:tcPr>
            <w:tcW w:w="2694" w:type="dxa"/>
            <w:vAlign w:val="center"/>
          </w:tcPr>
          <w:p w14:paraId="72592704"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96,72%</w:t>
            </w:r>
          </w:p>
        </w:tc>
        <w:tc>
          <w:tcPr>
            <w:tcW w:w="2617" w:type="dxa"/>
            <w:vAlign w:val="center"/>
          </w:tcPr>
          <w:p w14:paraId="613ABA17"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82,97%</w:t>
            </w:r>
          </w:p>
        </w:tc>
        <w:tc>
          <w:tcPr>
            <w:tcW w:w="3697" w:type="dxa"/>
            <w:vAlign w:val="center"/>
          </w:tcPr>
          <w:p w14:paraId="2501E517"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-13,74%</w:t>
            </w:r>
          </w:p>
        </w:tc>
      </w:tr>
      <w:tr w:rsidR="00153AFF" w14:paraId="50F96956" w14:textId="77777777" w:rsidTr="008B6A24">
        <w:tc>
          <w:tcPr>
            <w:tcW w:w="5778" w:type="dxa"/>
          </w:tcPr>
          <w:p w14:paraId="27F2FA13" w14:textId="77777777" w:rsidR="00153AFF" w:rsidRDefault="00153AFF" w:rsidP="00153AFF">
            <w:pPr>
              <w:pStyle w:val="1"/>
              <w:widowControl w:val="0"/>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 Экономический результат (высвобождение при ускорении «-», привлечение при замедлении «+») оборачиваемости:</w:t>
            </w:r>
          </w:p>
        </w:tc>
        <w:tc>
          <w:tcPr>
            <w:tcW w:w="2694" w:type="dxa"/>
            <w:vAlign w:val="center"/>
          </w:tcPr>
          <w:p w14:paraId="2F70753C"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w:t>
            </w:r>
          </w:p>
        </w:tc>
        <w:tc>
          <w:tcPr>
            <w:tcW w:w="2617" w:type="dxa"/>
            <w:vAlign w:val="center"/>
          </w:tcPr>
          <w:p w14:paraId="084E3978" w14:textId="77777777" w:rsidR="00153AFF" w:rsidRPr="00153AFF" w:rsidRDefault="00B2273C" w:rsidP="00153AFF">
            <w:pPr>
              <w:jc w:val="center"/>
              <w:rPr>
                <w:rFonts w:ascii="Times New Roman" w:hAnsi="Times New Roman" w:cs="Times New Roman"/>
                <w:color w:val="000000"/>
              </w:rPr>
            </w:pPr>
            <w:r w:rsidRPr="00B2273C">
              <w:rPr>
                <w:rFonts w:ascii="Times New Roman" w:hAnsi="Times New Roman" w:cs="Times New Roman"/>
                <w:color w:val="000000"/>
              </w:rPr>
              <w:t xml:space="preserve">-20 312 670   </w:t>
            </w:r>
          </w:p>
        </w:tc>
        <w:tc>
          <w:tcPr>
            <w:tcW w:w="3697" w:type="dxa"/>
            <w:vAlign w:val="center"/>
          </w:tcPr>
          <w:p w14:paraId="3BFF6CB0" w14:textId="77777777" w:rsidR="00153AFF" w:rsidRPr="00153AFF" w:rsidRDefault="00153AFF" w:rsidP="00153AFF">
            <w:pPr>
              <w:jc w:val="center"/>
              <w:rPr>
                <w:rFonts w:ascii="Times New Roman" w:hAnsi="Times New Roman" w:cs="Times New Roman"/>
                <w:color w:val="000000"/>
              </w:rPr>
            </w:pPr>
            <w:r w:rsidRPr="00153AFF">
              <w:rPr>
                <w:rFonts w:ascii="Times New Roman" w:hAnsi="Times New Roman" w:cs="Times New Roman"/>
                <w:color w:val="000000"/>
              </w:rPr>
              <w:t>-</w:t>
            </w:r>
          </w:p>
        </w:tc>
      </w:tr>
    </w:tbl>
    <w:p w14:paraId="0B4AFA70" w14:textId="77777777" w:rsidR="00F1590E" w:rsidRDefault="00F1590E">
      <w:pPr>
        <w:pStyle w:val="1"/>
        <w:widowControl w:val="0"/>
        <w:spacing w:before="0" w:after="0" w:line="360" w:lineRule="auto"/>
        <w:ind w:firstLine="708"/>
        <w:jc w:val="center"/>
        <w:rPr>
          <w:rFonts w:ascii="Times New Roman" w:eastAsia="Times New Roman" w:hAnsi="Times New Roman" w:cs="Times New Roman"/>
          <w:sz w:val="28"/>
          <w:szCs w:val="28"/>
        </w:rPr>
      </w:pPr>
    </w:p>
    <w:p w14:paraId="56764745" w14:textId="77777777" w:rsidR="00F1590E" w:rsidRDefault="000C4199">
      <w:pPr>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Выводы:</w:t>
      </w:r>
    </w:p>
    <w:p w14:paraId="1298FED5" w14:textId="77777777" w:rsidR="008B6A24" w:rsidRPr="008B6A24" w:rsidRDefault="008B6A24" w:rsidP="00153AFF">
      <w:pPr>
        <w:ind w:firstLine="709"/>
        <w:rPr>
          <w:rFonts w:ascii="Times New Roman" w:eastAsia="Times New Roman" w:hAnsi="Times New Roman" w:cs="Times New Roman"/>
          <w:b/>
          <w:sz w:val="28"/>
          <w:szCs w:val="28"/>
        </w:rPr>
      </w:pPr>
      <w:r w:rsidRPr="008B6A24">
        <w:rPr>
          <w:rFonts w:ascii="Times New Roman" w:eastAsia="Times New Roman" w:hAnsi="Times New Roman" w:cs="Times New Roman"/>
          <w:b/>
          <w:sz w:val="28"/>
          <w:szCs w:val="28"/>
        </w:rPr>
        <w:t>Выводы:</w:t>
      </w:r>
    </w:p>
    <w:p w14:paraId="1274DFEA" w14:textId="77777777" w:rsidR="00153AFF" w:rsidRPr="00153AFF" w:rsidRDefault="00153AFF" w:rsidP="00153AFF">
      <w:pPr>
        <w:ind w:firstLine="709"/>
        <w:rPr>
          <w:rFonts w:ascii="Times New Roman" w:eastAsia="Times New Roman" w:hAnsi="Times New Roman" w:cs="Times New Roman"/>
          <w:sz w:val="28"/>
          <w:szCs w:val="28"/>
        </w:rPr>
      </w:pPr>
      <w:r w:rsidRPr="00153AFF">
        <w:rPr>
          <w:rFonts w:ascii="Times New Roman" w:eastAsia="Times New Roman" w:hAnsi="Times New Roman" w:cs="Times New Roman"/>
          <w:sz w:val="28"/>
          <w:szCs w:val="28"/>
        </w:rPr>
        <w:t xml:space="preserve">Экономический результат, отражённый в виде высвобождения или дополнительного привлечения средств вследствие изменения оборачиваемости оборотных средств, является ключевым итогом проведённого анализа. В отчетном периоде наблюдается ускорение оборачиваемости, что выразилось в сокращении продолжительности одного оборота с 353,01 до 302,86 дня. Это улучшение повлекло за собой высвобождение средств из оборота, которое, согласно расчету, составило </w:t>
      </w:r>
      <w:r w:rsidR="00B2273C" w:rsidRPr="00B2273C">
        <w:rPr>
          <w:rFonts w:ascii="Times New Roman" w:eastAsia="Times New Roman" w:hAnsi="Times New Roman" w:cs="Times New Roman"/>
          <w:sz w:val="28"/>
          <w:szCs w:val="28"/>
        </w:rPr>
        <w:t xml:space="preserve">20 312 670 </w:t>
      </w:r>
      <w:r w:rsidRPr="00153AFF">
        <w:rPr>
          <w:rFonts w:ascii="Times New Roman" w:eastAsia="Times New Roman" w:hAnsi="Times New Roman" w:cs="Times New Roman"/>
          <w:sz w:val="28"/>
          <w:szCs w:val="28"/>
        </w:rPr>
        <w:t>тыс. руб. Хотя абсолютное значение высвобожденной суммы представляется незначительным, сам факт её появления свидетельствует об увеличении эффективности использования оборотных активов.</w:t>
      </w:r>
    </w:p>
    <w:p w14:paraId="28BEBFC5" w14:textId="77777777" w:rsidR="00153AFF" w:rsidRPr="00153AFF" w:rsidRDefault="00153AFF" w:rsidP="00153AFF">
      <w:pPr>
        <w:ind w:firstLine="709"/>
        <w:rPr>
          <w:rFonts w:ascii="Times New Roman" w:eastAsia="Times New Roman" w:hAnsi="Times New Roman" w:cs="Times New Roman"/>
          <w:sz w:val="28"/>
          <w:szCs w:val="28"/>
        </w:rPr>
      </w:pPr>
      <w:r w:rsidRPr="00153AFF">
        <w:rPr>
          <w:rFonts w:ascii="Times New Roman" w:eastAsia="Times New Roman" w:hAnsi="Times New Roman" w:cs="Times New Roman"/>
          <w:sz w:val="28"/>
          <w:szCs w:val="28"/>
        </w:rPr>
        <w:t>Высвобождение средств произошло за счёт того, что при неизменной средней величине оборотных средств и при росте объёма выручки на 21 002 422 тыс. руб. предприятие стало быстрее оборачивать вложенные ресурсы, что позволило получать выручку в более короткие сроки. Однодневная выручка увеличилась на 57 540,88 тыс. руб., что свидетельствует о росте интенсивности хозяйственной деятельности, а увеличение коэффициента оборачиваемости с 1,03 до 1,21 оборота подтверждает повышение скорости обращения средств.</w:t>
      </w:r>
    </w:p>
    <w:p w14:paraId="38CF9F0A" w14:textId="77777777" w:rsidR="00153AFF" w:rsidRPr="00153AFF" w:rsidRDefault="00153AFF" w:rsidP="00153AFF">
      <w:pPr>
        <w:ind w:firstLine="709"/>
        <w:rPr>
          <w:rFonts w:ascii="Times New Roman" w:eastAsia="Times New Roman" w:hAnsi="Times New Roman" w:cs="Times New Roman"/>
          <w:sz w:val="28"/>
          <w:szCs w:val="28"/>
        </w:rPr>
      </w:pPr>
      <w:r w:rsidRPr="00153AFF">
        <w:rPr>
          <w:rFonts w:ascii="Times New Roman" w:eastAsia="Times New Roman" w:hAnsi="Times New Roman" w:cs="Times New Roman"/>
          <w:sz w:val="28"/>
          <w:szCs w:val="28"/>
        </w:rPr>
        <w:t xml:space="preserve">Таким образом, ускорение оборачиваемости позволило условно </w:t>
      </w:r>
      <w:r w:rsidR="00946029">
        <w:rPr>
          <w:rFonts w:ascii="Times New Roman" w:eastAsia="Times New Roman" w:hAnsi="Times New Roman" w:cs="Times New Roman"/>
          <w:sz w:val="28"/>
          <w:szCs w:val="28"/>
        </w:rPr>
        <w:t>вы</w:t>
      </w:r>
      <w:r w:rsidRPr="00153AFF">
        <w:rPr>
          <w:rFonts w:ascii="Times New Roman" w:eastAsia="Times New Roman" w:hAnsi="Times New Roman" w:cs="Times New Roman"/>
          <w:sz w:val="28"/>
          <w:szCs w:val="28"/>
        </w:rPr>
        <w:t>свободить часть капитала из оборота. Этот эффект возникает потому, что при более быстрой оборачиваемости предприятие способно обеспечивать тот же или даже больший объем продаж при меньшей потребности в оборотных активах. Следовательно, предприятие может либо сократить сумму средств, постоянно отвлечённых в оборот, либо перераспределить их на иные цели — например, на инвестиции, погашение обязательств или иное эффективное использование.</w:t>
      </w:r>
    </w:p>
    <w:p w14:paraId="10151E80" w14:textId="77777777" w:rsidR="008B6A24" w:rsidRDefault="00153AFF" w:rsidP="00B2366C">
      <w:pPr>
        <w:ind w:firstLine="709"/>
        <w:rPr>
          <w:rFonts w:ascii="Times New Roman" w:eastAsia="Times New Roman" w:hAnsi="Times New Roman" w:cs="Times New Roman"/>
          <w:sz w:val="28"/>
          <w:szCs w:val="28"/>
        </w:rPr>
      </w:pPr>
      <w:r w:rsidRPr="00153AFF">
        <w:rPr>
          <w:rFonts w:ascii="Times New Roman" w:eastAsia="Times New Roman" w:hAnsi="Times New Roman" w:cs="Times New Roman"/>
          <w:sz w:val="28"/>
          <w:szCs w:val="28"/>
        </w:rPr>
        <w:t>При обратной ситуации, то есть замедлении оборачиваемости, предприятие было бы вынуждено дополнительно привлекать средства для поддержания прежнего объёма выручки, что означало бы снижение финансовой устойчивости. В данном случае положительная динамика показателя свидетельствует о благоприятных изменениях в управлении оборотными средствами, что в долгосрочной перспективе способствует укреплению ликвидности, снижению издержек на обслуживание капитала и улучшению общей финансовой устойчивости ПАО «Акрон».</w:t>
      </w:r>
    </w:p>
    <w:p w14:paraId="153FBC24" w14:textId="77777777" w:rsidR="008B6A24" w:rsidRDefault="008B6A2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92167ED" w14:textId="77777777" w:rsidR="00B2366C" w:rsidRDefault="00B2366C" w:rsidP="00B2366C">
      <w:pPr>
        <w:ind w:firstLine="709"/>
        <w:rPr>
          <w:rFonts w:ascii="Times New Roman" w:eastAsia="Times New Roman" w:hAnsi="Times New Roman" w:cs="Times New Roman"/>
          <w:sz w:val="28"/>
          <w:szCs w:val="28"/>
        </w:rPr>
      </w:pPr>
    </w:p>
    <w:p w14:paraId="219CC771" w14:textId="77777777" w:rsidR="00F1590E" w:rsidRPr="00B2366C" w:rsidRDefault="000C4199" w:rsidP="00B2366C">
      <w:pPr>
        <w:ind w:firstLine="709"/>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Диагностика вероятности банкротства организации</w:t>
      </w:r>
    </w:p>
    <w:p w14:paraId="169BF373" w14:textId="77777777" w:rsidR="00F1590E" w:rsidRDefault="000C4199">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Задание 11. </w:t>
      </w:r>
      <w:r>
        <w:rPr>
          <w:rFonts w:ascii="Times New Roman" w:eastAsia="Times New Roman" w:hAnsi="Times New Roman" w:cs="Times New Roman"/>
          <w:sz w:val="28"/>
          <w:szCs w:val="28"/>
        </w:rPr>
        <w:t>Оценить вероятность угрозы банкротства организации на основе модели Альтмана.</w:t>
      </w:r>
    </w:p>
    <w:p w14:paraId="77D73B7F" w14:textId="77777777" w:rsidR="00F1590E" w:rsidRDefault="000C4199">
      <w:pPr>
        <w:ind w:firstLine="708"/>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Таблица 11.1</w:t>
      </w:r>
    </w:p>
    <w:p w14:paraId="1712643C" w14:textId="77777777" w:rsidR="00F1590E" w:rsidRDefault="000C4199">
      <w:pPr>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Диагностика банкротства  на основе оригинальной модели Альтмана</w:t>
      </w:r>
    </w:p>
    <w:tbl>
      <w:tblPr>
        <w:tblStyle w:val="aff"/>
        <w:tblW w:w="14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4105"/>
        <w:gridCol w:w="2957"/>
        <w:gridCol w:w="2957"/>
        <w:gridCol w:w="2958"/>
      </w:tblGrid>
      <w:tr w:rsidR="00F1590E" w14:paraId="16656240" w14:textId="77777777">
        <w:tc>
          <w:tcPr>
            <w:tcW w:w="1809" w:type="dxa"/>
          </w:tcPr>
          <w:p w14:paraId="379C1742" w14:textId="77777777" w:rsidR="00F1590E" w:rsidRDefault="000C41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Показатель</w:t>
            </w:r>
          </w:p>
        </w:tc>
        <w:tc>
          <w:tcPr>
            <w:tcW w:w="4105" w:type="dxa"/>
          </w:tcPr>
          <w:p w14:paraId="7A35010F" w14:textId="77777777" w:rsidR="00F1590E" w:rsidRDefault="000C41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Формула расчета</w:t>
            </w:r>
          </w:p>
        </w:tc>
        <w:tc>
          <w:tcPr>
            <w:tcW w:w="2957" w:type="dxa"/>
          </w:tcPr>
          <w:p w14:paraId="5E76A498" w14:textId="77777777" w:rsidR="00F1590E" w:rsidRDefault="000C41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Предыдущий год</w:t>
            </w:r>
          </w:p>
        </w:tc>
        <w:tc>
          <w:tcPr>
            <w:tcW w:w="2957" w:type="dxa"/>
          </w:tcPr>
          <w:p w14:paraId="089536B6" w14:textId="77777777" w:rsidR="00F1590E" w:rsidRDefault="000C41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Отчетный год</w:t>
            </w:r>
          </w:p>
        </w:tc>
        <w:tc>
          <w:tcPr>
            <w:tcW w:w="2958" w:type="dxa"/>
          </w:tcPr>
          <w:p w14:paraId="5F608F46" w14:textId="77777777" w:rsidR="00F1590E" w:rsidRDefault="000C41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Абсолютное изменение</w:t>
            </w:r>
          </w:p>
        </w:tc>
      </w:tr>
      <w:tr w:rsidR="00EE7B14" w14:paraId="13DB6A49" w14:textId="77777777" w:rsidTr="008B6A24">
        <w:tc>
          <w:tcPr>
            <w:tcW w:w="1809" w:type="dxa"/>
          </w:tcPr>
          <w:p w14:paraId="4A76E15B" w14:textId="77777777" w:rsidR="00EE7B14" w:rsidRDefault="00EE7B14" w:rsidP="00B2366C">
            <w:pPr>
              <w:jc w:val="cente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Х</w:t>
            </w:r>
            <w:r>
              <w:rPr>
                <w:rFonts w:ascii="Times New Roman" w:eastAsia="Times New Roman" w:hAnsi="Times New Roman" w:cs="Times New Roman"/>
                <w:sz w:val="24"/>
                <w:szCs w:val="24"/>
                <w:vertAlign w:val="subscript"/>
              </w:rPr>
              <w:t>1</w:t>
            </w:r>
          </w:p>
        </w:tc>
        <w:tc>
          <w:tcPr>
            <w:tcW w:w="4105" w:type="dxa"/>
          </w:tcPr>
          <w:p w14:paraId="4DB02B10" w14:textId="77777777" w:rsidR="00EE7B14" w:rsidRDefault="00EE7B14" w:rsidP="00B2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Отношение собственных оборотных активов (чистого оборотного капитала) в сумме активов</w:t>
            </w:r>
          </w:p>
        </w:tc>
        <w:tc>
          <w:tcPr>
            <w:tcW w:w="2957" w:type="dxa"/>
            <w:vAlign w:val="center"/>
          </w:tcPr>
          <w:p w14:paraId="7A70D7D4"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0,1702</w:t>
            </w:r>
          </w:p>
        </w:tc>
        <w:tc>
          <w:tcPr>
            <w:tcW w:w="2957" w:type="dxa"/>
            <w:vAlign w:val="center"/>
          </w:tcPr>
          <w:p w14:paraId="5614EA1C"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0,0361</w:t>
            </w:r>
          </w:p>
        </w:tc>
        <w:tc>
          <w:tcPr>
            <w:tcW w:w="2958" w:type="dxa"/>
            <w:vAlign w:val="center"/>
          </w:tcPr>
          <w:p w14:paraId="7B660504" w14:textId="77777777" w:rsidR="00EE7B14" w:rsidRPr="00EE7B14" w:rsidRDefault="00EE7B14">
            <w:pPr>
              <w:jc w:val="center"/>
              <w:rPr>
                <w:rFonts w:ascii="Times New Roman" w:hAnsi="Times New Roman" w:cs="Times New Roman"/>
                <w:color w:val="000000"/>
                <w:sz w:val="24"/>
                <w:szCs w:val="24"/>
              </w:rPr>
            </w:pPr>
            <w:r w:rsidRPr="00556722">
              <w:rPr>
                <w:rFonts w:ascii="Times New Roman" w:hAnsi="Times New Roman" w:cs="Times New Roman"/>
                <w:color w:val="000000"/>
                <w:sz w:val="24"/>
                <w:highlight w:val="green"/>
              </w:rPr>
              <w:t>-0,1341</w:t>
            </w:r>
          </w:p>
        </w:tc>
      </w:tr>
      <w:tr w:rsidR="00EE7B14" w14:paraId="5595B7C4" w14:textId="77777777" w:rsidTr="008B6A24">
        <w:tc>
          <w:tcPr>
            <w:tcW w:w="1809" w:type="dxa"/>
          </w:tcPr>
          <w:p w14:paraId="6389217F" w14:textId="77777777" w:rsidR="00EE7B14" w:rsidRDefault="00EE7B14" w:rsidP="00B2366C">
            <w:pPr>
              <w:jc w:val="cente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Х</w:t>
            </w:r>
            <w:r>
              <w:rPr>
                <w:rFonts w:ascii="Times New Roman" w:eastAsia="Times New Roman" w:hAnsi="Times New Roman" w:cs="Times New Roman"/>
                <w:sz w:val="24"/>
                <w:szCs w:val="24"/>
                <w:vertAlign w:val="subscript"/>
              </w:rPr>
              <w:t>2</w:t>
            </w:r>
          </w:p>
        </w:tc>
        <w:tc>
          <w:tcPr>
            <w:tcW w:w="4105" w:type="dxa"/>
          </w:tcPr>
          <w:p w14:paraId="1ED70112" w14:textId="77777777" w:rsidR="00EE7B14" w:rsidRDefault="00EE7B14" w:rsidP="00B2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Рентабельность активов (нераспределенная прибыль к сумме активов)</w:t>
            </w:r>
          </w:p>
        </w:tc>
        <w:tc>
          <w:tcPr>
            <w:tcW w:w="2957" w:type="dxa"/>
            <w:vAlign w:val="center"/>
          </w:tcPr>
          <w:p w14:paraId="3950D3A6"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0,4407</w:t>
            </w:r>
          </w:p>
        </w:tc>
        <w:tc>
          <w:tcPr>
            <w:tcW w:w="2957" w:type="dxa"/>
            <w:vAlign w:val="center"/>
          </w:tcPr>
          <w:p w14:paraId="6CD4656A"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0,4410</w:t>
            </w:r>
          </w:p>
        </w:tc>
        <w:tc>
          <w:tcPr>
            <w:tcW w:w="2958" w:type="dxa"/>
            <w:vAlign w:val="center"/>
          </w:tcPr>
          <w:p w14:paraId="2B4372BE"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0,0003</w:t>
            </w:r>
          </w:p>
        </w:tc>
      </w:tr>
      <w:tr w:rsidR="00EE7B14" w14:paraId="3D804F87" w14:textId="77777777" w:rsidTr="008B6A24">
        <w:tc>
          <w:tcPr>
            <w:tcW w:w="1809" w:type="dxa"/>
          </w:tcPr>
          <w:p w14:paraId="6BB7C4C0" w14:textId="77777777" w:rsidR="00EE7B14" w:rsidRDefault="00EE7B14" w:rsidP="00B2366C">
            <w:pPr>
              <w:jc w:val="cente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Х</w:t>
            </w:r>
            <w:r>
              <w:rPr>
                <w:rFonts w:ascii="Times New Roman" w:eastAsia="Times New Roman" w:hAnsi="Times New Roman" w:cs="Times New Roman"/>
                <w:sz w:val="24"/>
                <w:szCs w:val="24"/>
                <w:vertAlign w:val="subscript"/>
              </w:rPr>
              <w:t>3</w:t>
            </w:r>
          </w:p>
        </w:tc>
        <w:tc>
          <w:tcPr>
            <w:tcW w:w="4105" w:type="dxa"/>
          </w:tcPr>
          <w:p w14:paraId="0403DED5" w14:textId="77777777" w:rsidR="00EE7B14" w:rsidRDefault="00EE7B14" w:rsidP="00B2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Уровень доходности активов (</w:t>
            </w:r>
            <w:r w:rsidRPr="00556722">
              <w:rPr>
                <w:rFonts w:ascii="Times New Roman" w:eastAsia="Times New Roman" w:hAnsi="Times New Roman" w:cs="Times New Roman"/>
                <w:sz w:val="24"/>
                <w:szCs w:val="24"/>
                <w:highlight w:val="green"/>
              </w:rPr>
              <w:t>отношение прибыли</w:t>
            </w:r>
            <w:r>
              <w:rPr>
                <w:rFonts w:ascii="Times New Roman" w:eastAsia="Times New Roman" w:hAnsi="Times New Roman" w:cs="Times New Roman"/>
                <w:sz w:val="24"/>
                <w:szCs w:val="24"/>
              </w:rPr>
              <w:t xml:space="preserve"> к сумме активов)</w:t>
            </w:r>
          </w:p>
        </w:tc>
        <w:tc>
          <w:tcPr>
            <w:tcW w:w="2957" w:type="dxa"/>
            <w:vAlign w:val="center"/>
          </w:tcPr>
          <w:p w14:paraId="23884635"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0,1096</w:t>
            </w:r>
          </w:p>
        </w:tc>
        <w:tc>
          <w:tcPr>
            <w:tcW w:w="2957" w:type="dxa"/>
            <w:vAlign w:val="center"/>
          </w:tcPr>
          <w:p w14:paraId="3DFA14E7"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0,0586</w:t>
            </w:r>
          </w:p>
        </w:tc>
        <w:tc>
          <w:tcPr>
            <w:tcW w:w="2958" w:type="dxa"/>
            <w:vAlign w:val="center"/>
          </w:tcPr>
          <w:p w14:paraId="3E00BDDB" w14:textId="77777777" w:rsidR="00EE7B14" w:rsidRPr="00EE7B14" w:rsidRDefault="00EE7B14">
            <w:pPr>
              <w:jc w:val="center"/>
              <w:rPr>
                <w:rFonts w:ascii="Times New Roman" w:hAnsi="Times New Roman" w:cs="Times New Roman"/>
                <w:color w:val="000000"/>
                <w:sz w:val="24"/>
                <w:szCs w:val="24"/>
              </w:rPr>
            </w:pPr>
            <w:r w:rsidRPr="00556722">
              <w:rPr>
                <w:rFonts w:ascii="Times New Roman" w:hAnsi="Times New Roman" w:cs="Times New Roman"/>
                <w:color w:val="000000"/>
                <w:sz w:val="24"/>
                <w:highlight w:val="green"/>
              </w:rPr>
              <w:t>-0,0510</w:t>
            </w:r>
          </w:p>
        </w:tc>
      </w:tr>
      <w:tr w:rsidR="00EE7B14" w14:paraId="52A75C2A" w14:textId="77777777" w:rsidTr="008B6A24">
        <w:tc>
          <w:tcPr>
            <w:tcW w:w="1809" w:type="dxa"/>
          </w:tcPr>
          <w:p w14:paraId="7E77C721" w14:textId="77777777" w:rsidR="00EE7B14" w:rsidRDefault="00EE7B14" w:rsidP="00B2366C">
            <w:pPr>
              <w:jc w:val="cente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Х</w:t>
            </w:r>
            <w:r>
              <w:rPr>
                <w:rFonts w:ascii="Times New Roman" w:eastAsia="Times New Roman" w:hAnsi="Times New Roman" w:cs="Times New Roman"/>
                <w:sz w:val="24"/>
                <w:szCs w:val="24"/>
                <w:vertAlign w:val="subscript"/>
              </w:rPr>
              <w:t>4</w:t>
            </w:r>
          </w:p>
        </w:tc>
        <w:tc>
          <w:tcPr>
            <w:tcW w:w="4105" w:type="dxa"/>
          </w:tcPr>
          <w:p w14:paraId="541F3C11" w14:textId="77777777" w:rsidR="00EE7B14" w:rsidRDefault="00EE7B14" w:rsidP="00B2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Коэффициент соотношения </w:t>
            </w:r>
            <w:r w:rsidRPr="00556722">
              <w:rPr>
                <w:rFonts w:ascii="Times New Roman" w:eastAsia="Times New Roman" w:hAnsi="Times New Roman" w:cs="Times New Roman"/>
                <w:sz w:val="24"/>
                <w:szCs w:val="24"/>
                <w:highlight w:val="green"/>
              </w:rPr>
              <w:t>собственного и заемного капитала</w:t>
            </w:r>
          </w:p>
        </w:tc>
        <w:tc>
          <w:tcPr>
            <w:tcW w:w="2957" w:type="dxa"/>
            <w:vAlign w:val="center"/>
          </w:tcPr>
          <w:p w14:paraId="4D503469"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0,7982</w:t>
            </w:r>
          </w:p>
        </w:tc>
        <w:tc>
          <w:tcPr>
            <w:tcW w:w="2957" w:type="dxa"/>
            <w:vAlign w:val="center"/>
          </w:tcPr>
          <w:p w14:paraId="18F790FD"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0,7987</w:t>
            </w:r>
          </w:p>
        </w:tc>
        <w:tc>
          <w:tcPr>
            <w:tcW w:w="2958" w:type="dxa"/>
            <w:vAlign w:val="center"/>
          </w:tcPr>
          <w:p w14:paraId="6C820283"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0,0005</w:t>
            </w:r>
          </w:p>
        </w:tc>
      </w:tr>
      <w:tr w:rsidR="00EE7B14" w14:paraId="1B3D1011" w14:textId="77777777" w:rsidTr="008B6A24">
        <w:tc>
          <w:tcPr>
            <w:tcW w:w="1809" w:type="dxa"/>
          </w:tcPr>
          <w:p w14:paraId="7987ABC5" w14:textId="77777777" w:rsidR="00EE7B14" w:rsidRDefault="00EE7B14" w:rsidP="00B2366C">
            <w:pPr>
              <w:jc w:val="cente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Х</w:t>
            </w:r>
            <w:r>
              <w:rPr>
                <w:rFonts w:ascii="Times New Roman" w:eastAsia="Times New Roman" w:hAnsi="Times New Roman" w:cs="Times New Roman"/>
                <w:sz w:val="24"/>
                <w:szCs w:val="24"/>
                <w:vertAlign w:val="subscript"/>
              </w:rPr>
              <w:t>5</w:t>
            </w:r>
          </w:p>
        </w:tc>
        <w:tc>
          <w:tcPr>
            <w:tcW w:w="4105" w:type="dxa"/>
          </w:tcPr>
          <w:p w14:paraId="64D58FB6" w14:textId="77777777" w:rsidR="00EE7B14" w:rsidRDefault="00EE7B14" w:rsidP="00B2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Оборачиваемость активов (или отношение выручки от продаж к сумме активов)</w:t>
            </w:r>
          </w:p>
        </w:tc>
        <w:tc>
          <w:tcPr>
            <w:tcW w:w="2957" w:type="dxa"/>
            <w:vAlign w:val="center"/>
          </w:tcPr>
          <w:p w14:paraId="6FF72FBA"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0,3879</w:t>
            </w:r>
          </w:p>
        </w:tc>
        <w:tc>
          <w:tcPr>
            <w:tcW w:w="2957" w:type="dxa"/>
            <w:vAlign w:val="center"/>
          </w:tcPr>
          <w:p w14:paraId="78EEE103"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0,4522</w:t>
            </w:r>
          </w:p>
        </w:tc>
        <w:tc>
          <w:tcPr>
            <w:tcW w:w="2958" w:type="dxa"/>
            <w:vAlign w:val="center"/>
          </w:tcPr>
          <w:p w14:paraId="7F3B2666"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0,0642</w:t>
            </w:r>
          </w:p>
        </w:tc>
      </w:tr>
      <w:tr w:rsidR="00EE7B14" w14:paraId="459821C5" w14:textId="77777777" w:rsidTr="008B6A24">
        <w:tc>
          <w:tcPr>
            <w:tcW w:w="1809" w:type="dxa"/>
          </w:tcPr>
          <w:p w14:paraId="109E1D24" w14:textId="77777777" w:rsidR="00EE7B14" w:rsidRDefault="00EE7B14" w:rsidP="00B2366C">
            <w:pPr>
              <w:jc w:val="cente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Z</w:t>
            </w:r>
          </w:p>
        </w:tc>
        <w:tc>
          <w:tcPr>
            <w:tcW w:w="4105" w:type="dxa"/>
          </w:tcPr>
          <w:p w14:paraId="1CD0B410" w14:textId="77777777" w:rsidR="00EE7B14" w:rsidRDefault="00EE7B14" w:rsidP="00B2366C">
            <w:pP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1,2Х</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+ 1,4 Х</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+3,3Х</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+ 0,6Х</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+1,0Х</w:t>
            </w:r>
            <w:r>
              <w:rPr>
                <w:rFonts w:ascii="Times New Roman" w:eastAsia="Times New Roman" w:hAnsi="Times New Roman" w:cs="Times New Roman"/>
                <w:sz w:val="24"/>
                <w:szCs w:val="24"/>
                <w:vertAlign w:val="subscript"/>
              </w:rPr>
              <w:t>5</w:t>
            </w:r>
          </w:p>
        </w:tc>
        <w:tc>
          <w:tcPr>
            <w:tcW w:w="2957" w:type="dxa"/>
            <w:vAlign w:val="center"/>
          </w:tcPr>
          <w:p w14:paraId="0D989651"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2,0497</w:t>
            </w:r>
          </w:p>
        </w:tc>
        <w:tc>
          <w:tcPr>
            <w:tcW w:w="2957" w:type="dxa"/>
            <w:vAlign w:val="center"/>
          </w:tcPr>
          <w:p w14:paraId="31CB665C"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1,7855</w:t>
            </w:r>
          </w:p>
        </w:tc>
        <w:tc>
          <w:tcPr>
            <w:tcW w:w="2958" w:type="dxa"/>
            <w:vAlign w:val="center"/>
          </w:tcPr>
          <w:p w14:paraId="6322B574" w14:textId="77777777" w:rsidR="00EE7B14" w:rsidRPr="00EE7B14" w:rsidRDefault="00EE7B14">
            <w:pPr>
              <w:jc w:val="center"/>
              <w:rPr>
                <w:rFonts w:ascii="Times New Roman" w:hAnsi="Times New Roman" w:cs="Times New Roman"/>
                <w:color w:val="000000"/>
                <w:sz w:val="24"/>
                <w:szCs w:val="24"/>
              </w:rPr>
            </w:pPr>
            <w:r w:rsidRPr="00EE7B14">
              <w:rPr>
                <w:rFonts w:ascii="Times New Roman" w:hAnsi="Times New Roman" w:cs="Times New Roman"/>
                <w:color w:val="000000"/>
                <w:sz w:val="24"/>
              </w:rPr>
              <w:t>-0,2642</w:t>
            </w:r>
          </w:p>
        </w:tc>
      </w:tr>
    </w:tbl>
    <w:p w14:paraId="78545B5A" w14:textId="77777777" w:rsidR="00F1590E" w:rsidRDefault="00F1590E">
      <w:pPr>
        <w:ind w:firstLine="708"/>
        <w:jc w:val="both"/>
        <w:rPr>
          <w:rFonts w:ascii="Times New Roman" w:eastAsia="Times New Roman" w:hAnsi="Times New Roman" w:cs="Times New Roman"/>
          <w:b/>
          <w:sz w:val="28"/>
          <w:szCs w:val="28"/>
        </w:rPr>
      </w:pPr>
    </w:p>
    <w:p w14:paraId="57419543" w14:textId="77777777" w:rsidR="00F1590E" w:rsidRDefault="000C4199">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Уровень угрозы банкротства в модели Альтмана оценивается  согласно критериям, представленным в таблице 11.2. Чем больше  Z превышает значение 2,99, тем меньше вероятность банкротства у организации в течение ближайших двух лет.</w:t>
      </w:r>
    </w:p>
    <w:p w14:paraId="0A081810" w14:textId="77777777" w:rsidR="00F1590E" w:rsidRDefault="000C4199">
      <w:pPr>
        <w:ind w:firstLine="708"/>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Таблица 11.2</w:t>
      </w:r>
    </w:p>
    <w:p w14:paraId="738FE6CA" w14:textId="77777777" w:rsidR="00F1590E" w:rsidRDefault="000C4199">
      <w:pPr>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Уровень угрозы банкротства в модели Альтмана</w:t>
      </w:r>
    </w:p>
    <w:tbl>
      <w:tblPr>
        <w:tblStyle w:val="aff0"/>
        <w:tblW w:w="14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3"/>
        <w:gridCol w:w="7393"/>
      </w:tblGrid>
      <w:tr w:rsidR="00F1590E" w14:paraId="1E0CEC30" w14:textId="77777777">
        <w:tc>
          <w:tcPr>
            <w:tcW w:w="7393" w:type="dxa"/>
          </w:tcPr>
          <w:p w14:paraId="7295D06F" w14:textId="77777777" w:rsidR="00F1590E" w:rsidRDefault="000C41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Значение интегрального показателя Z</w:t>
            </w:r>
          </w:p>
        </w:tc>
        <w:tc>
          <w:tcPr>
            <w:tcW w:w="7393" w:type="dxa"/>
          </w:tcPr>
          <w:p w14:paraId="786A38AB" w14:textId="77777777" w:rsidR="00F1590E" w:rsidRDefault="000C41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Вероятность банкротства</w:t>
            </w:r>
          </w:p>
        </w:tc>
      </w:tr>
      <w:tr w:rsidR="00F1590E" w14:paraId="76D39643" w14:textId="77777777">
        <w:tc>
          <w:tcPr>
            <w:tcW w:w="7393" w:type="dxa"/>
          </w:tcPr>
          <w:p w14:paraId="70CDAED9" w14:textId="77777777" w:rsidR="00F1590E" w:rsidRPr="00556722" w:rsidRDefault="000C4199">
            <w:pPr>
              <w:rPr>
                <w:rFonts w:ascii="Times New Roman" w:eastAsia="Times New Roman" w:hAnsi="Times New Roman" w:cs="Times New Roman"/>
                <w:sz w:val="24"/>
                <w:szCs w:val="24"/>
                <w:highlight w:val="green"/>
              </w:rPr>
            </w:pPr>
            <w:r w:rsidRPr="00556722">
              <w:rPr>
                <w:rFonts w:ascii="Times New Roman" w:eastAsia="Times New Roman" w:hAnsi="Times New Roman" w:cs="Times New Roman"/>
                <w:sz w:val="24"/>
                <w:szCs w:val="24"/>
                <w:highlight w:val="green"/>
              </w:rPr>
              <w:t>Менее 1,8</w:t>
            </w:r>
          </w:p>
        </w:tc>
        <w:tc>
          <w:tcPr>
            <w:tcW w:w="7393" w:type="dxa"/>
          </w:tcPr>
          <w:p w14:paraId="1DB9AAA1" w14:textId="77777777" w:rsidR="00F1590E" w:rsidRPr="00556722" w:rsidRDefault="000C4199">
            <w:pPr>
              <w:rPr>
                <w:rFonts w:ascii="Times New Roman" w:eastAsia="Times New Roman" w:hAnsi="Times New Roman" w:cs="Times New Roman"/>
                <w:sz w:val="24"/>
                <w:szCs w:val="24"/>
                <w:highlight w:val="green"/>
              </w:rPr>
            </w:pPr>
            <w:r w:rsidRPr="00556722">
              <w:rPr>
                <w:rFonts w:ascii="Times New Roman" w:eastAsia="Times New Roman" w:hAnsi="Times New Roman" w:cs="Times New Roman"/>
                <w:sz w:val="24"/>
                <w:szCs w:val="24"/>
                <w:highlight w:val="green"/>
              </w:rPr>
              <w:t>Очень высокая</w:t>
            </w:r>
          </w:p>
        </w:tc>
      </w:tr>
      <w:tr w:rsidR="00F1590E" w14:paraId="314421FA" w14:textId="77777777">
        <w:tc>
          <w:tcPr>
            <w:tcW w:w="7393" w:type="dxa"/>
          </w:tcPr>
          <w:p w14:paraId="2E3875E3" w14:textId="77777777" w:rsidR="00F1590E" w:rsidRDefault="000C4199">
            <w:pPr>
              <w:rPr>
                <w:rFonts w:ascii="Times New Roman" w:eastAsia="Times New Roman" w:hAnsi="Times New Roman" w:cs="Times New Roman"/>
                <w:sz w:val="24"/>
                <w:szCs w:val="24"/>
              </w:rPr>
            </w:pPr>
            <w:r w:rsidRPr="00B2366C">
              <w:rPr>
                <w:rFonts w:ascii="Times New Roman" w:eastAsia="Times New Roman" w:hAnsi="Times New Roman" w:cs="Times New Roman"/>
                <w:sz w:val="24"/>
                <w:szCs w:val="24"/>
                <w:highlight w:val="yellow"/>
              </w:rPr>
              <w:t>От 1,81 до 2,7</w:t>
            </w:r>
          </w:p>
        </w:tc>
        <w:tc>
          <w:tcPr>
            <w:tcW w:w="7393" w:type="dxa"/>
          </w:tcPr>
          <w:p w14:paraId="470F4E85" w14:textId="77777777" w:rsidR="00F1590E" w:rsidRDefault="000C4199">
            <w:pPr>
              <w:rPr>
                <w:rFonts w:ascii="Times New Roman" w:eastAsia="Times New Roman" w:hAnsi="Times New Roman" w:cs="Times New Roman"/>
                <w:sz w:val="24"/>
                <w:szCs w:val="24"/>
              </w:rPr>
            </w:pPr>
            <w:r w:rsidRPr="00B2366C">
              <w:rPr>
                <w:rFonts w:ascii="Times New Roman" w:eastAsia="Times New Roman" w:hAnsi="Times New Roman" w:cs="Times New Roman"/>
                <w:sz w:val="24"/>
                <w:szCs w:val="24"/>
                <w:highlight w:val="yellow"/>
              </w:rPr>
              <w:t>высокая</w:t>
            </w:r>
          </w:p>
        </w:tc>
      </w:tr>
      <w:tr w:rsidR="00F1590E" w14:paraId="673D0CB8" w14:textId="77777777">
        <w:tc>
          <w:tcPr>
            <w:tcW w:w="7393" w:type="dxa"/>
          </w:tcPr>
          <w:p w14:paraId="1DD84F9C" w14:textId="77777777" w:rsidR="00F1590E" w:rsidRDefault="000C4199">
            <w:pPr>
              <w:rPr>
                <w:rFonts w:ascii="Times New Roman" w:eastAsia="Times New Roman" w:hAnsi="Times New Roman" w:cs="Times New Roman"/>
                <w:sz w:val="24"/>
                <w:szCs w:val="24"/>
              </w:rPr>
            </w:pPr>
            <w:r>
              <w:rPr>
                <w:rFonts w:ascii="Times New Roman" w:eastAsia="Times New Roman" w:hAnsi="Times New Roman" w:cs="Times New Roman"/>
                <w:sz w:val="24"/>
                <w:szCs w:val="24"/>
              </w:rPr>
              <w:t>От 2,71 до 2,99</w:t>
            </w:r>
          </w:p>
        </w:tc>
        <w:tc>
          <w:tcPr>
            <w:tcW w:w="7393" w:type="dxa"/>
          </w:tcPr>
          <w:p w14:paraId="0E72DAB5" w14:textId="77777777" w:rsidR="00F1590E" w:rsidRDefault="000C4199">
            <w:pPr>
              <w:rPr>
                <w:rFonts w:ascii="Times New Roman" w:eastAsia="Times New Roman" w:hAnsi="Times New Roman" w:cs="Times New Roman"/>
                <w:sz w:val="24"/>
                <w:szCs w:val="24"/>
              </w:rPr>
            </w:pPr>
            <w:r>
              <w:rPr>
                <w:rFonts w:ascii="Times New Roman" w:eastAsia="Times New Roman" w:hAnsi="Times New Roman" w:cs="Times New Roman"/>
                <w:sz w:val="24"/>
                <w:szCs w:val="24"/>
              </w:rPr>
              <w:t>Вероятность невелика</w:t>
            </w:r>
          </w:p>
        </w:tc>
      </w:tr>
      <w:tr w:rsidR="00F1590E" w14:paraId="63E4C207" w14:textId="77777777">
        <w:tc>
          <w:tcPr>
            <w:tcW w:w="7393" w:type="dxa"/>
          </w:tcPr>
          <w:p w14:paraId="2C1DED2D" w14:textId="77777777" w:rsidR="00F1590E" w:rsidRDefault="000C4199">
            <w:pPr>
              <w:rPr>
                <w:rFonts w:ascii="Times New Roman" w:eastAsia="Times New Roman" w:hAnsi="Times New Roman" w:cs="Times New Roman"/>
                <w:sz w:val="24"/>
                <w:szCs w:val="24"/>
              </w:rPr>
            </w:pPr>
            <w:r>
              <w:rPr>
                <w:rFonts w:ascii="Times New Roman" w:eastAsia="Times New Roman" w:hAnsi="Times New Roman" w:cs="Times New Roman"/>
                <w:sz w:val="24"/>
                <w:szCs w:val="24"/>
              </w:rPr>
              <w:t>Более 2,99</w:t>
            </w:r>
          </w:p>
        </w:tc>
        <w:tc>
          <w:tcPr>
            <w:tcW w:w="7393" w:type="dxa"/>
          </w:tcPr>
          <w:p w14:paraId="13209444" w14:textId="77777777" w:rsidR="00F1590E" w:rsidRDefault="000C4199">
            <w:pPr>
              <w:rPr>
                <w:rFonts w:ascii="Times New Roman" w:eastAsia="Times New Roman" w:hAnsi="Times New Roman" w:cs="Times New Roman"/>
                <w:sz w:val="24"/>
                <w:szCs w:val="24"/>
              </w:rPr>
            </w:pPr>
            <w:r>
              <w:rPr>
                <w:rFonts w:ascii="Times New Roman" w:eastAsia="Times New Roman" w:hAnsi="Times New Roman" w:cs="Times New Roman"/>
                <w:sz w:val="24"/>
                <w:szCs w:val="24"/>
              </w:rPr>
              <w:t>Вероятность ничтожна, очень низкая</w:t>
            </w:r>
          </w:p>
        </w:tc>
      </w:tr>
    </w:tbl>
    <w:p w14:paraId="59F471C4" w14:textId="77777777" w:rsidR="00B2366C" w:rsidRDefault="00B2366C" w:rsidP="00B2366C">
      <w:pPr>
        <w:rPr>
          <w:rFonts w:ascii="Times New Roman" w:eastAsia="Times New Roman" w:hAnsi="Times New Roman" w:cs="Times New Roman"/>
          <w:b/>
          <w:sz w:val="28"/>
          <w:szCs w:val="28"/>
        </w:rPr>
      </w:pPr>
    </w:p>
    <w:p w14:paraId="11BD4346" w14:textId="77777777" w:rsidR="00F1590E" w:rsidRDefault="000C4199" w:rsidP="00B2366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Выводы:</w:t>
      </w:r>
    </w:p>
    <w:p w14:paraId="24CA8A74" w14:textId="77777777" w:rsidR="00EE7B14" w:rsidRPr="00EE7B14" w:rsidRDefault="00EE7B14" w:rsidP="00EE7B14">
      <w:pPr>
        <w:ind w:firstLine="709"/>
        <w:rPr>
          <w:rFonts w:ascii="Times New Roman" w:eastAsia="Times New Roman" w:hAnsi="Times New Roman" w:cs="Times New Roman"/>
          <w:sz w:val="28"/>
          <w:szCs w:val="28"/>
        </w:rPr>
      </w:pPr>
      <w:r w:rsidRPr="00EE7B14">
        <w:rPr>
          <w:rFonts w:ascii="Times New Roman" w:eastAsia="Times New Roman" w:hAnsi="Times New Roman" w:cs="Times New Roman"/>
          <w:sz w:val="28"/>
          <w:szCs w:val="28"/>
        </w:rPr>
        <w:t>На основе результатов диагностики вероятности банкротства ПАО «Акрон» по модели Альтмана, рассчитанное значение показателя Z в отчетном году составило 1,7855, что ниже критического значения 1,8 и указывает на очень высокую вероятность банкротства в течение ближайших двух лет. В предыдущем году значение Z составляло 2,0497, что соответствовало высокой, но менее критичной угрозе несостоятельности. Снижение Z-показателя на 0,2642 пункта отражает ухудшение финансового состояния предприятия и перемещение его в более рискованную зону по шкале Альтмана.</w:t>
      </w:r>
    </w:p>
    <w:p w14:paraId="092E5C8F" w14:textId="77777777" w:rsidR="00EE7B14" w:rsidRPr="00EE7B14" w:rsidRDefault="00EE7B14" w:rsidP="00EE7B14">
      <w:pPr>
        <w:ind w:firstLine="709"/>
        <w:rPr>
          <w:rFonts w:ascii="Times New Roman" w:eastAsia="Times New Roman" w:hAnsi="Times New Roman" w:cs="Times New Roman"/>
          <w:sz w:val="28"/>
          <w:szCs w:val="28"/>
        </w:rPr>
      </w:pPr>
      <w:r w:rsidRPr="00EE7B14">
        <w:rPr>
          <w:rFonts w:ascii="Times New Roman" w:eastAsia="Times New Roman" w:hAnsi="Times New Roman" w:cs="Times New Roman"/>
          <w:sz w:val="28"/>
          <w:szCs w:val="28"/>
        </w:rPr>
        <w:t>Наибольшее негативное влияние на совокупный результат оказал компонент X1 — доля чистого оборотного капитала в структуре активов, рассчитанная как отношение собственных оборотных активов к общей величине активов. Показатель снизился с 0,1702 до 0,0361, что отражает резкое сокращение ликвидных ресурсов компании и свидетельствует о снижении краткосрочной финансовой устойчивости. Это может указывать на рост краткосрочной задолженности или недостаточную обеспеченность текущих обязательств оборотными активами, что повышает уязвимость компании перед внешними финансовыми шоками.</w:t>
      </w:r>
    </w:p>
    <w:p w14:paraId="52A19A50" w14:textId="77777777" w:rsidR="00EE7B14" w:rsidRPr="00EE7B14" w:rsidRDefault="00EE7B14" w:rsidP="00EE7B14">
      <w:pPr>
        <w:ind w:firstLine="709"/>
        <w:rPr>
          <w:rFonts w:ascii="Times New Roman" w:eastAsia="Times New Roman" w:hAnsi="Times New Roman" w:cs="Times New Roman"/>
          <w:sz w:val="28"/>
          <w:szCs w:val="28"/>
        </w:rPr>
      </w:pPr>
      <w:r w:rsidRPr="00EE7B14">
        <w:rPr>
          <w:rFonts w:ascii="Times New Roman" w:eastAsia="Times New Roman" w:hAnsi="Times New Roman" w:cs="Times New Roman"/>
          <w:sz w:val="28"/>
          <w:szCs w:val="28"/>
        </w:rPr>
        <w:t>Показатель X2, отражающий рентабельность активов на основе нераспределенной прибыли, остался практически на прежнем уровне: 0,4407 в предыдущем году и 0,4410 в отчетном. Стабильность данного коэффициента демонстрирует сохранение способности предприятия генерировать прибыль на вложенный капитал в долгосрочной перспективе. Это положительный фактор, однако его влияние в модели Альтмана ограничено удельным весом коэффициента (1,4).</w:t>
      </w:r>
    </w:p>
    <w:p w14:paraId="1CA9CA07" w14:textId="77777777" w:rsidR="00EE7B14" w:rsidRPr="00EE7B14" w:rsidRDefault="00EE7B14" w:rsidP="00EE7B14">
      <w:pPr>
        <w:ind w:firstLine="709"/>
        <w:rPr>
          <w:rFonts w:ascii="Times New Roman" w:eastAsia="Times New Roman" w:hAnsi="Times New Roman" w:cs="Times New Roman"/>
          <w:sz w:val="28"/>
          <w:szCs w:val="28"/>
        </w:rPr>
      </w:pPr>
      <w:r w:rsidRPr="00EE7B14">
        <w:rPr>
          <w:rFonts w:ascii="Times New Roman" w:eastAsia="Times New Roman" w:hAnsi="Times New Roman" w:cs="Times New Roman"/>
          <w:sz w:val="28"/>
          <w:szCs w:val="28"/>
        </w:rPr>
        <w:t>X3 — уровень доходности активов, рассчитываемый как отношение прибыли до налогообложения к сумме активов, снизился с 0,1096 до 0,0586. Это значительное сокращение указывает на снижение операционной эффективности компании и может свидетельствовать о росте издержек, падении маржи или снижении объемов прибыли, получаемой от основной деятельности.</w:t>
      </w:r>
    </w:p>
    <w:p w14:paraId="38B835A7" w14:textId="77777777" w:rsidR="00EE7B14" w:rsidRPr="00EE7B14" w:rsidRDefault="00EE7B14" w:rsidP="00EE7B14">
      <w:pPr>
        <w:ind w:firstLine="709"/>
        <w:rPr>
          <w:rFonts w:ascii="Times New Roman" w:eastAsia="Times New Roman" w:hAnsi="Times New Roman" w:cs="Times New Roman"/>
          <w:sz w:val="28"/>
          <w:szCs w:val="28"/>
        </w:rPr>
      </w:pPr>
      <w:r w:rsidRPr="00EE7B14">
        <w:rPr>
          <w:rFonts w:ascii="Times New Roman" w:eastAsia="Times New Roman" w:hAnsi="Times New Roman" w:cs="Times New Roman"/>
          <w:sz w:val="28"/>
          <w:szCs w:val="28"/>
        </w:rPr>
        <w:t>Компонент X4 — коэффициент соотношения собственного и заемного капитала — не претерпел существенных изменений (0,7982 в предыдущем году и 0,7987 в отчетном), что говорит о стабильной структуре источников финансирования и относительно высоком уровне финансовой автономии. Однако из-за небольшого удельного веса в модели (0,6), его влияние на итоговый Z-показатель было ограниченным.</w:t>
      </w:r>
    </w:p>
    <w:p w14:paraId="0DEF099C" w14:textId="77777777" w:rsidR="00EE7B14" w:rsidRPr="00EE7B14" w:rsidRDefault="00EE7B14" w:rsidP="00EE7B14">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Pr="00EE7B14">
        <w:rPr>
          <w:rFonts w:ascii="Times New Roman" w:eastAsia="Times New Roman" w:hAnsi="Times New Roman" w:cs="Times New Roman"/>
          <w:sz w:val="28"/>
          <w:szCs w:val="28"/>
        </w:rPr>
        <w:t>оэффициент X5, отражающий оборачиваемость активов, увеличился с 0,3879 до 0,4522, что является положительной динамикой. Это указывает на улучшение эффективности использования активов для генерации выручки, что может свидетельствовать о росте товарооборота или повышении отдачи от активов. Тем не менее, этот положительный сдвиг не компенсировал совокупное негативное влияние снижения других ключевых показателей, особенно X1 и X3.</w:t>
      </w:r>
    </w:p>
    <w:p w14:paraId="26505328" w14:textId="77777777" w:rsidR="00B2366C" w:rsidRDefault="00EE7B14" w:rsidP="00EE7B14">
      <w:pPr>
        <w:ind w:firstLine="709"/>
        <w:rPr>
          <w:rFonts w:ascii="Times New Roman" w:eastAsia="Times New Roman" w:hAnsi="Times New Roman" w:cs="Times New Roman"/>
          <w:sz w:val="28"/>
          <w:szCs w:val="28"/>
        </w:rPr>
      </w:pPr>
      <w:r w:rsidRPr="00EE7B14">
        <w:rPr>
          <w:rFonts w:ascii="Times New Roman" w:eastAsia="Times New Roman" w:hAnsi="Times New Roman" w:cs="Times New Roman"/>
          <w:sz w:val="28"/>
          <w:szCs w:val="28"/>
        </w:rPr>
        <w:t>Таким образом, несмотря на сохраняющуюся прибыльность и улучшение деловой активности, резкое ухудшение ликвидности и снижение операционной доходности привели к смещению ПАО «Акрон» в зону очень высокой вероятности банкротства по классификации Альтмана. Это требует немедленного внимания со стороны менеджмента к вопросам управления оборотными активами, снижению краткосрочных обязательств и повышению эффективности основной деятельности.</w:t>
      </w:r>
    </w:p>
    <w:p w14:paraId="7292E2D2" w14:textId="77777777" w:rsidR="00B2366C" w:rsidRPr="00B2366C" w:rsidRDefault="00B2366C">
      <w:pPr>
        <w:ind w:firstLine="709"/>
        <w:rPr>
          <w:rFonts w:ascii="Times New Roman" w:eastAsia="Times New Roman" w:hAnsi="Times New Roman" w:cs="Times New Roman"/>
          <w:sz w:val="28"/>
          <w:szCs w:val="28"/>
        </w:rPr>
      </w:pPr>
    </w:p>
    <w:p w14:paraId="08148276" w14:textId="77777777" w:rsidR="00F1590E" w:rsidRDefault="000C4199">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Задание 12. </w:t>
      </w:r>
      <w:r>
        <w:rPr>
          <w:rFonts w:ascii="Times New Roman" w:eastAsia="Times New Roman" w:hAnsi="Times New Roman" w:cs="Times New Roman"/>
          <w:sz w:val="28"/>
          <w:szCs w:val="28"/>
        </w:rPr>
        <w:t xml:space="preserve">На основании проведенного анализа финансового состояния сделать прогноз возможных негативных последствий изменений тех или иных элементов баланса и указать возможные пути их преодоления. Оценить состояние баланса с позиции разных пользователей информации. </w:t>
      </w:r>
    </w:p>
    <w:p w14:paraId="15DD9933" w14:textId="77777777" w:rsidR="00F1590E" w:rsidRDefault="000C4199">
      <w:pPr>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Итоговый вывод:</w:t>
      </w:r>
    </w:p>
    <w:p w14:paraId="714AF312" w14:textId="77777777" w:rsidR="00B06FA0" w:rsidRPr="00B06FA0" w:rsidRDefault="00B06FA0" w:rsidP="00B06FA0">
      <w:pPr>
        <w:ind w:firstLine="709"/>
        <w:rPr>
          <w:rFonts w:ascii="Times New Roman" w:eastAsia="Times New Roman" w:hAnsi="Times New Roman" w:cs="Times New Roman"/>
          <w:sz w:val="28"/>
          <w:szCs w:val="28"/>
        </w:rPr>
      </w:pPr>
      <w:r w:rsidRPr="00B06FA0">
        <w:rPr>
          <w:rFonts w:ascii="Times New Roman" w:eastAsia="Times New Roman" w:hAnsi="Times New Roman" w:cs="Times New Roman"/>
          <w:sz w:val="28"/>
          <w:szCs w:val="28"/>
        </w:rPr>
        <w:t>Проведённый комплексный анализ финансового состояния ПАО «Акрон» выявил серьёзные структурные дисбалансы, характеризующиеся значительным снижением финансовой устойчивости и ростом вероятности банкротства. Резкое уменьшение доли собственного капитала в общей структуре источников финансирования сопровождается значительным увеличением долговой нагрузки, что свидетельствует о высоком финансовом риске и уязвимости предприятия перед внешними экономическими факторами. Критическое сокращение собственных оборотных средств и ухудшение покрытия запасов и затрат собственными средствами указывают на низкий уровень краткосрочной платёжеспособности, создающий угрозу возникновения кассовых разрывов и нарушений финансовой дисциплины. При этом положительная динамика коэффициентов деловой активности и ускорение оборачиваемости активов свидетельствуют о повышении операционной эффективности, что в определённой мере компенсирует недостатки финансовой устойчивости, позволяя высвободить оборотный капитал и улучшить ликвидность.</w:t>
      </w:r>
    </w:p>
    <w:p w14:paraId="635BE68F" w14:textId="77777777" w:rsidR="00B06FA0" w:rsidRPr="00B06FA0" w:rsidRDefault="00B06FA0" w:rsidP="00B06FA0">
      <w:pPr>
        <w:ind w:firstLine="709"/>
        <w:rPr>
          <w:rFonts w:ascii="Times New Roman" w:eastAsia="Times New Roman" w:hAnsi="Times New Roman" w:cs="Times New Roman"/>
          <w:sz w:val="28"/>
          <w:szCs w:val="28"/>
        </w:rPr>
      </w:pPr>
      <w:r w:rsidRPr="00B06FA0">
        <w:rPr>
          <w:rFonts w:ascii="Times New Roman" w:eastAsia="Times New Roman" w:hAnsi="Times New Roman" w:cs="Times New Roman"/>
          <w:sz w:val="28"/>
          <w:szCs w:val="28"/>
        </w:rPr>
        <w:t>Тем не менее, сохранение низких значений ключевых коэффициентов финансовой устойчивости в сочетании с растущей долговой нагрузкой и отрицательным значением чистого оборотного капитала повышает вероятность наступления кризисных ситуаций, что подтверждается результатами диагностики по модели Альтмана, указывающей на высокий риск банкротства. Данная ситуация требует незамедлительного внедрения комплекса антикризисных мер, направленных на реструктуризацию капитала, оптимизацию структуры заемных и собственных источников финансирования, а также усиление контроля над управлением оборотными средствами и затратами. Особое внимание должно быть уделено повышению эффективности управления запасами и дебиторской задолженностью с целью улучшения текущей ликвидности и снижения операционных рисков.</w:t>
      </w:r>
    </w:p>
    <w:p w14:paraId="57A8E0E0" w14:textId="77777777" w:rsidR="00B06FA0" w:rsidRPr="00B06FA0" w:rsidRDefault="00B06FA0" w:rsidP="00B06FA0">
      <w:pPr>
        <w:ind w:firstLine="709"/>
        <w:rPr>
          <w:rFonts w:ascii="Times New Roman" w:eastAsia="Times New Roman" w:hAnsi="Times New Roman" w:cs="Times New Roman"/>
          <w:sz w:val="28"/>
          <w:szCs w:val="28"/>
        </w:rPr>
      </w:pPr>
      <w:r w:rsidRPr="00B06FA0">
        <w:rPr>
          <w:rFonts w:ascii="Times New Roman" w:eastAsia="Times New Roman" w:hAnsi="Times New Roman" w:cs="Times New Roman"/>
          <w:sz w:val="28"/>
          <w:szCs w:val="28"/>
        </w:rPr>
        <w:t>С позиций различных пользователей информации, инвесторы воспринимают текущее состояние как показатель значительных финансовых рисков и неопределённости перспектив, что снижает инвестиционную привлекательность компании. Кредиторы оценивают возросшие долговые обязательства и ухудшение краткосрочной ликвидности как фактор, увеличивающий риск невозврата займов, и ожидают гарантий финансовой стабильности и прозрачности управления. Руководство предприятия вынуждено сосредоточить усилия на реализации стратегии финансового оздоровления, ориентированной на балансировку капитала и повышение операционной рентабельности, тогда как поставщики и контрагенты требуют стабильности расчетов и предсказуемости финансового поведения организации. Наконец, регуляторы и аудиторы обращают внимание на необходимость соблюдения нормативных требований и предупреждение рисков финансовой несостоятельности, требуя адекватного раскрытия информации и мер по укреплению финансового положения.</w:t>
      </w:r>
    </w:p>
    <w:p w14:paraId="04C7E4EB" w14:textId="77777777" w:rsidR="00F1590E" w:rsidRDefault="00B06FA0" w:rsidP="00B06FA0">
      <w:pPr>
        <w:ind w:firstLine="709"/>
        <w:rPr>
          <w:rFonts w:ascii="Times New Roman" w:eastAsia="Times New Roman" w:hAnsi="Times New Roman" w:cs="Times New Roman"/>
          <w:b/>
          <w:sz w:val="28"/>
          <w:szCs w:val="28"/>
        </w:rPr>
        <w:sectPr w:rsidR="00F1590E">
          <w:pgSz w:w="16838" w:h="11906" w:orient="landscape"/>
          <w:pgMar w:top="1701" w:right="1134" w:bottom="851" w:left="1134" w:header="709" w:footer="709" w:gutter="0"/>
          <w:cols w:space="720"/>
        </w:sectPr>
      </w:pPr>
      <w:r w:rsidRPr="00B06FA0">
        <w:rPr>
          <w:rFonts w:ascii="Times New Roman" w:eastAsia="Times New Roman" w:hAnsi="Times New Roman" w:cs="Times New Roman"/>
          <w:sz w:val="28"/>
          <w:szCs w:val="28"/>
        </w:rPr>
        <w:t>Таким образом, ПАО «Акрон» находится на критическом этапе своего развития, характеризующемся ухудшением ключевых финансовых показателей и высокой вероятностью возникновения кризисных ситуаций, что требует комплексного и системного подхода к реструктуризации и управлению финансовыми ресурсами для восстановления устойчивости и обеспечения долгосрочной жизнеспособности предприятия.</w:t>
      </w:r>
      <w:r w:rsidR="000C4199">
        <w:br w:type="page"/>
      </w:r>
    </w:p>
    <w:p w14:paraId="03A5C24C" w14:textId="77777777" w:rsidR="00F1590E" w:rsidRDefault="000C4199">
      <w:pPr>
        <w:spacing w:after="0"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Приложение</w:t>
      </w:r>
    </w:p>
    <w:p w14:paraId="091B968F" w14:textId="77777777" w:rsidR="00F1590E" w:rsidRDefault="000C4199">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F69BD5" wp14:editId="00C4F474">
            <wp:extent cx="5939790" cy="7958507"/>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a:stretch>
                      <a:fillRect/>
                    </a:stretch>
                  </pic:blipFill>
                  <pic:spPr>
                    <a:xfrm>
                      <a:off x="0" y="0"/>
                      <a:ext cx="5939790" cy="7958507"/>
                    </a:xfrm>
                    <a:prstGeom prst="rect">
                      <a:avLst/>
                    </a:prstGeom>
                    <a:ln/>
                  </pic:spPr>
                </pic:pic>
              </a:graphicData>
            </a:graphic>
          </wp:inline>
        </w:drawing>
      </w:r>
    </w:p>
    <w:p w14:paraId="026BA13A"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7614E72A"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1AF51FD6"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48D31C99" w14:textId="77777777" w:rsidR="00F1590E" w:rsidRDefault="000C4199">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E2B0DA" wp14:editId="79A76333">
            <wp:extent cx="5939790" cy="650103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5939790" cy="6501030"/>
                    </a:xfrm>
                    <a:prstGeom prst="rect">
                      <a:avLst/>
                    </a:prstGeom>
                    <a:ln/>
                  </pic:spPr>
                </pic:pic>
              </a:graphicData>
            </a:graphic>
          </wp:inline>
        </w:drawing>
      </w:r>
    </w:p>
    <w:p w14:paraId="65FCFAD6"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352FDB1B"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07F55BDA"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6AD160C8"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7D7AC766"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6A407FE0"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47769CE6"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2C6E0C4E"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14DAE3A1" w14:textId="77777777" w:rsidR="00F1590E" w:rsidRDefault="000C4199">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959639" wp14:editId="76B0E025">
            <wp:extent cx="5939790" cy="687123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5939790" cy="6871239"/>
                    </a:xfrm>
                    <a:prstGeom prst="rect">
                      <a:avLst/>
                    </a:prstGeom>
                    <a:ln/>
                  </pic:spPr>
                </pic:pic>
              </a:graphicData>
            </a:graphic>
          </wp:inline>
        </w:drawing>
      </w:r>
    </w:p>
    <w:p w14:paraId="2C5B626B"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48DB6EEC"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253B3B96"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6C69B9E3"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2F0D35D9"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28D78D64"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7057FAB6" w14:textId="77777777" w:rsidR="00F1590E" w:rsidRDefault="00F1590E">
      <w:pPr>
        <w:spacing w:after="0" w:line="360" w:lineRule="auto"/>
        <w:ind w:firstLine="709"/>
        <w:jc w:val="center"/>
        <w:rPr>
          <w:rFonts w:ascii="Times New Roman" w:eastAsia="Times New Roman" w:hAnsi="Times New Roman" w:cs="Times New Roman"/>
          <w:sz w:val="28"/>
          <w:szCs w:val="28"/>
        </w:rPr>
      </w:pPr>
    </w:p>
    <w:p w14:paraId="7A39F998" w14:textId="77777777" w:rsidR="00F1590E" w:rsidRDefault="000C4199">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93EAAB" wp14:editId="179E8C72">
            <wp:extent cx="5939790" cy="398181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5939790" cy="3981814"/>
                    </a:xfrm>
                    <a:prstGeom prst="rect">
                      <a:avLst/>
                    </a:prstGeom>
                    <a:ln/>
                  </pic:spPr>
                </pic:pic>
              </a:graphicData>
            </a:graphic>
          </wp:inline>
        </w:drawing>
      </w:r>
    </w:p>
    <w:sectPr w:rsidR="00F1590E" w:rsidSect="00D00A1A">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F309D" w14:textId="77777777" w:rsidR="00B96BB6" w:rsidRDefault="00B96BB6">
      <w:pPr>
        <w:spacing w:after="0" w:line="240" w:lineRule="auto"/>
      </w:pPr>
      <w:r>
        <w:separator/>
      </w:r>
    </w:p>
  </w:endnote>
  <w:endnote w:type="continuationSeparator" w:id="0">
    <w:p w14:paraId="7E4279FA" w14:textId="77777777" w:rsidR="00B96BB6" w:rsidRDefault="00B96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altName w:val="Arial Unicode MS"/>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E87A2" w14:textId="77777777" w:rsidR="006B4110" w:rsidRDefault="006B4110">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F08C1">
      <w:rPr>
        <w:rFonts w:ascii="Times New Roman" w:eastAsia="Times New Roman" w:hAnsi="Times New Roman" w:cs="Times New Roman"/>
        <w:noProof/>
        <w:color w:val="000000"/>
      </w:rPr>
      <w:t>37</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C1943" w14:textId="77777777" w:rsidR="00B96BB6" w:rsidRDefault="00B96BB6">
      <w:pPr>
        <w:spacing w:after="0" w:line="240" w:lineRule="auto"/>
      </w:pPr>
      <w:r>
        <w:separator/>
      </w:r>
    </w:p>
  </w:footnote>
  <w:footnote w:type="continuationSeparator" w:id="0">
    <w:p w14:paraId="480707FB" w14:textId="77777777" w:rsidR="00B96BB6" w:rsidRDefault="00B96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50E9B"/>
    <w:multiLevelType w:val="multilevel"/>
    <w:tmpl w:val="2AF0B7A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39DA0FD8"/>
    <w:multiLevelType w:val="multilevel"/>
    <w:tmpl w:val="0A48E21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823013324">
    <w:abstractNumId w:val="1"/>
  </w:num>
  <w:num w:numId="2" w16cid:durableId="1656570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590E"/>
    <w:rsid w:val="00022645"/>
    <w:rsid w:val="00060B78"/>
    <w:rsid w:val="000C4199"/>
    <w:rsid w:val="00100F98"/>
    <w:rsid w:val="00153AFF"/>
    <w:rsid w:val="00214AC2"/>
    <w:rsid w:val="002972D2"/>
    <w:rsid w:val="002D2C43"/>
    <w:rsid w:val="00326600"/>
    <w:rsid w:val="003E366F"/>
    <w:rsid w:val="00433190"/>
    <w:rsid w:val="005024EC"/>
    <w:rsid w:val="00556722"/>
    <w:rsid w:val="00647A0D"/>
    <w:rsid w:val="006B4110"/>
    <w:rsid w:val="006C7F69"/>
    <w:rsid w:val="00723F18"/>
    <w:rsid w:val="007F08C1"/>
    <w:rsid w:val="008B6A24"/>
    <w:rsid w:val="008F724D"/>
    <w:rsid w:val="00946029"/>
    <w:rsid w:val="00A622F9"/>
    <w:rsid w:val="00AA188C"/>
    <w:rsid w:val="00AD46C4"/>
    <w:rsid w:val="00AE421C"/>
    <w:rsid w:val="00B06FA0"/>
    <w:rsid w:val="00B2273C"/>
    <w:rsid w:val="00B2366C"/>
    <w:rsid w:val="00B57AA2"/>
    <w:rsid w:val="00B96BB6"/>
    <w:rsid w:val="00C75A4F"/>
    <w:rsid w:val="00D00A1A"/>
    <w:rsid w:val="00D6692C"/>
    <w:rsid w:val="00DA207B"/>
    <w:rsid w:val="00DB1633"/>
    <w:rsid w:val="00ED1B3A"/>
    <w:rsid w:val="00EE4988"/>
    <w:rsid w:val="00EE7B14"/>
    <w:rsid w:val="00F1590E"/>
    <w:rsid w:val="00F22884"/>
    <w:rsid w:val="00F80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2394"/>
  <w15:docId w15:val="{370D0C62-8A24-4164-B53A-9D2CCE8F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091B"/>
  </w:style>
  <w:style w:type="paragraph" w:styleId="1">
    <w:name w:val="heading 1"/>
    <w:basedOn w:val="a"/>
    <w:link w:val="10"/>
    <w:uiPriority w:val="9"/>
    <w:qFormat/>
    <w:rsid w:val="00894BA7"/>
    <w:pPr>
      <w:spacing w:before="100" w:beforeAutospacing="1" w:after="100" w:afterAutospacing="1" w:line="240" w:lineRule="auto"/>
      <w:outlineLvl w:val="0"/>
    </w:pPr>
    <w:rPr>
      <w:rFonts w:ascii="Arial" w:hAnsi="Arial" w:cs="Arial"/>
      <w:b/>
      <w:bCs/>
      <w:kern w:val="36"/>
      <w:sz w:val="41"/>
      <w:szCs w:val="41"/>
    </w:rPr>
  </w:style>
  <w:style w:type="paragraph" w:styleId="2">
    <w:name w:val="heading 2"/>
    <w:basedOn w:val="a"/>
    <w:link w:val="20"/>
    <w:uiPriority w:val="9"/>
    <w:unhideWhenUsed/>
    <w:qFormat/>
    <w:rsid w:val="00894BA7"/>
    <w:pPr>
      <w:spacing w:before="100" w:beforeAutospacing="1" w:after="100" w:afterAutospacing="1" w:line="240" w:lineRule="auto"/>
      <w:outlineLvl w:val="1"/>
    </w:pPr>
    <w:rPr>
      <w:rFonts w:ascii="Arial" w:hAnsi="Arial" w:cs="Arial"/>
      <w:b/>
      <w:bCs/>
      <w:sz w:val="36"/>
      <w:szCs w:val="36"/>
    </w:rPr>
  </w:style>
  <w:style w:type="paragraph" w:styleId="3">
    <w:name w:val="heading 3"/>
    <w:basedOn w:val="a"/>
    <w:link w:val="30"/>
    <w:uiPriority w:val="9"/>
    <w:unhideWhenUsed/>
    <w:qFormat/>
    <w:rsid w:val="00894BA7"/>
    <w:pPr>
      <w:spacing w:before="100" w:beforeAutospacing="1" w:after="100" w:afterAutospacing="1" w:line="240" w:lineRule="auto"/>
      <w:outlineLvl w:val="2"/>
    </w:pPr>
    <w:rPr>
      <w:rFonts w:ascii="Arial" w:hAnsi="Arial" w:cs="Arial"/>
      <w:b/>
      <w:bCs/>
      <w:sz w:val="31"/>
      <w:szCs w:val="31"/>
    </w:rPr>
  </w:style>
  <w:style w:type="paragraph" w:styleId="4">
    <w:name w:val="heading 4"/>
    <w:basedOn w:val="a"/>
    <w:link w:val="40"/>
    <w:uiPriority w:val="9"/>
    <w:semiHidden/>
    <w:unhideWhenUsed/>
    <w:qFormat/>
    <w:rsid w:val="00894BA7"/>
    <w:pPr>
      <w:spacing w:before="100" w:beforeAutospacing="1" w:after="100" w:afterAutospacing="1" w:line="240" w:lineRule="auto"/>
      <w:outlineLvl w:val="3"/>
    </w:pPr>
    <w:rPr>
      <w:rFonts w:ascii="Arial" w:hAnsi="Arial" w:cs="Arial"/>
      <w:b/>
      <w:bCs/>
      <w:sz w:val="29"/>
      <w:szCs w:val="29"/>
    </w:rPr>
  </w:style>
  <w:style w:type="paragraph" w:styleId="5">
    <w:name w:val="heading 5"/>
    <w:basedOn w:val="a"/>
    <w:link w:val="50"/>
    <w:uiPriority w:val="9"/>
    <w:semiHidden/>
    <w:unhideWhenUsed/>
    <w:qFormat/>
    <w:rsid w:val="00894BA7"/>
    <w:pPr>
      <w:spacing w:before="100" w:beforeAutospacing="1" w:after="100" w:afterAutospacing="1" w:line="240" w:lineRule="auto"/>
      <w:outlineLvl w:val="4"/>
    </w:pPr>
    <w:rPr>
      <w:rFonts w:ascii="Arial" w:hAnsi="Arial" w:cs="Arial"/>
      <w:b/>
      <w:bCs/>
      <w:sz w:val="26"/>
      <w:szCs w:val="26"/>
    </w:rPr>
  </w:style>
  <w:style w:type="paragraph" w:styleId="6">
    <w:name w:val="heading 6"/>
    <w:basedOn w:val="a"/>
    <w:next w:val="a"/>
    <w:uiPriority w:val="9"/>
    <w:semiHidden/>
    <w:unhideWhenUsed/>
    <w:qFormat/>
    <w:rsid w:val="00D00A1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D00A1A"/>
    <w:tblPr>
      <w:tblCellMar>
        <w:top w:w="0" w:type="dxa"/>
        <w:left w:w="0" w:type="dxa"/>
        <w:bottom w:w="0" w:type="dxa"/>
        <w:right w:w="0" w:type="dxa"/>
      </w:tblCellMar>
    </w:tblPr>
  </w:style>
  <w:style w:type="paragraph" w:styleId="a3">
    <w:name w:val="Title"/>
    <w:basedOn w:val="a"/>
    <w:next w:val="a"/>
    <w:uiPriority w:val="10"/>
    <w:qFormat/>
    <w:rsid w:val="00D00A1A"/>
    <w:pPr>
      <w:keepNext/>
      <w:keepLines/>
      <w:spacing w:before="480" w:after="120"/>
    </w:pPr>
    <w:rPr>
      <w:b/>
      <w:sz w:val="72"/>
      <w:szCs w:val="72"/>
    </w:rPr>
  </w:style>
  <w:style w:type="character" w:customStyle="1" w:styleId="10">
    <w:name w:val="Заголовок 1 Знак"/>
    <w:basedOn w:val="a0"/>
    <w:link w:val="1"/>
    <w:rsid w:val="00894BA7"/>
    <w:rPr>
      <w:rFonts w:ascii="Arial" w:hAnsi="Arial" w:cs="Arial"/>
      <w:b/>
      <w:bCs/>
      <w:kern w:val="36"/>
      <w:sz w:val="41"/>
      <w:szCs w:val="41"/>
    </w:rPr>
  </w:style>
  <w:style w:type="character" w:customStyle="1" w:styleId="20">
    <w:name w:val="Заголовок 2 Знак"/>
    <w:basedOn w:val="a0"/>
    <w:link w:val="2"/>
    <w:rsid w:val="00894BA7"/>
    <w:rPr>
      <w:rFonts w:ascii="Arial" w:hAnsi="Arial" w:cs="Arial"/>
      <w:b/>
      <w:bCs/>
      <w:sz w:val="36"/>
      <w:szCs w:val="36"/>
    </w:rPr>
  </w:style>
  <w:style w:type="character" w:customStyle="1" w:styleId="30">
    <w:name w:val="Заголовок 3 Знак"/>
    <w:basedOn w:val="a0"/>
    <w:link w:val="3"/>
    <w:rsid w:val="00894BA7"/>
    <w:rPr>
      <w:rFonts w:ascii="Arial" w:hAnsi="Arial" w:cs="Arial"/>
      <w:b/>
      <w:bCs/>
      <w:sz w:val="31"/>
      <w:szCs w:val="31"/>
    </w:rPr>
  </w:style>
  <w:style w:type="character" w:customStyle="1" w:styleId="40">
    <w:name w:val="Заголовок 4 Знак"/>
    <w:basedOn w:val="a0"/>
    <w:link w:val="4"/>
    <w:rsid w:val="00894BA7"/>
    <w:rPr>
      <w:rFonts w:ascii="Arial" w:hAnsi="Arial" w:cs="Arial"/>
      <w:b/>
      <w:bCs/>
      <w:sz w:val="29"/>
      <w:szCs w:val="29"/>
    </w:rPr>
  </w:style>
  <w:style w:type="character" w:customStyle="1" w:styleId="50">
    <w:name w:val="Заголовок 5 Знак"/>
    <w:basedOn w:val="a0"/>
    <w:link w:val="5"/>
    <w:rsid w:val="00894BA7"/>
    <w:rPr>
      <w:rFonts w:ascii="Arial" w:hAnsi="Arial" w:cs="Arial"/>
      <w:b/>
      <w:bCs/>
      <w:sz w:val="26"/>
      <w:szCs w:val="26"/>
    </w:rPr>
  </w:style>
  <w:style w:type="table" w:customStyle="1" w:styleId="438">
    <w:name w:val="Обычная табл=438ца"/>
    <w:semiHidden/>
    <w:rsid w:val="00894BA7"/>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 w:type="character" w:styleId="a4">
    <w:name w:val="Hyperlink"/>
    <w:basedOn w:val="a0"/>
    <w:rsid w:val="00894BA7"/>
    <w:rPr>
      <w:rFonts w:ascii="Arial" w:hAnsi="Arial" w:cs="Arial" w:hint="default"/>
      <w:strike w:val="0"/>
      <w:dstrike w:val="0"/>
      <w:color w:val="000000"/>
      <w:sz w:val="20"/>
      <w:szCs w:val="20"/>
      <w:u w:val="none"/>
      <w:effect w:val="none"/>
    </w:rPr>
  </w:style>
  <w:style w:type="character" w:styleId="a5">
    <w:name w:val="FollowedHyperlink"/>
    <w:basedOn w:val="a0"/>
    <w:rsid w:val="00894BA7"/>
    <w:rPr>
      <w:rFonts w:ascii="Arial" w:hAnsi="Arial" w:cs="Arial" w:hint="default"/>
      <w:strike w:val="0"/>
      <w:dstrike w:val="0"/>
      <w:color w:val="000000"/>
      <w:sz w:val="20"/>
      <w:szCs w:val="20"/>
      <w:u w:val="none"/>
      <w:effect w:val="none"/>
    </w:rPr>
  </w:style>
  <w:style w:type="paragraph" w:styleId="a6">
    <w:name w:val="Normal (Web)"/>
    <w:basedOn w:val="a"/>
    <w:rsid w:val="00894BA7"/>
    <w:pPr>
      <w:spacing w:before="100" w:beforeAutospacing="1" w:after="100" w:afterAutospacing="1" w:line="240" w:lineRule="auto"/>
      <w:ind w:firstLine="480"/>
      <w:jc w:val="both"/>
    </w:pPr>
    <w:rPr>
      <w:rFonts w:ascii="Arial" w:hAnsi="Arial" w:cs="Arial"/>
      <w:sz w:val="20"/>
      <w:szCs w:val="20"/>
    </w:rPr>
  </w:style>
  <w:style w:type="character" w:styleId="a7">
    <w:name w:val="Strong"/>
    <w:basedOn w:val="a0"/>
    <w:qFormat/>
    <w:rsid w:val="00894BA7"/>
    <w:rPr>
      <w:b/>
      <w:bCs/>
    </w:rPr>
  </w:style>
  <w:style w:type="character" w:customStyle="1" w:styleId="snoska">
    <w:name w:val="snoska"/>
    <w:basedOn w:val="a0"/>
    <w:rsid w:val="00894BA7"/>
  </w:style>
  <w:style w:type="character" w:styleId="a8">
    <w:name w:val="Emphasis"/>
    <w:basedOn w:val="a0"/>
    <w:qFormat/>
    <w:rsid w:val="00894BA7"/>
    <w:rPr>
      <w:i/>
      <w:iCs/>
    </w:rPr>
  </w:style>
  <w:style w:type="paragraph" w:styleId="a9">
    <w:name w:val="Balloon Text"/>
    <w:basedOn w:val="a"/>
    <w:link w:val="aa"/>
    <w:rsid w:val="00894BA7"/>
    <w:pPr>
      <w:spacing w:after="0" w:line="240" w:lineRule="auto"/>
    </w:pPr>
    <w:rPr>
      <w:rFonts w:ascii="Tahoma" w:eastAsia="Times New Roman" w:hAnsi="Tahoma" w:cs="Tahoma"/>
      <w:sz w:val="16"/>
      <w:szCs w:val="16"/>
    </w:rPr>
  </w:style>
  <w:style w:type="character" w:customStyle="1" w:styleId="aa">
    <w:name w:val="Текст выноски Знак"/>
    <w:basedOn w:val="a0"/>
    <w:link w:val="a9"/>
    <w:rsid w:val="00894BA7"/>
    <w:rPr>
      <w:rFonts w:ascii="Tahoma" w:eastAsia="Times New Roman" w:hAnsi="Tahoma" w:cs="Tahoma"/>
      <w:sz w:val="16"/>
      <w:szCs w:val="16"/>
    </w:rPr>
  </w:style>
  <w:style w:type="table" w:styleId="ab">
    <w:name w:val="Table Grid"/>
    <w:basedOn w:val="a1"/>
    <w:uiPriority w:val="59"/>
    <w:rsid w:val="00D11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59"/>
    <w:rsid w:val="00EA5B5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D32310"/>
    <w:pPr>
      <w:ind w:left="720"/>
      <w:contextualSpacing/>
    </w:pPr>
  </w:style>
  <w:style w:type="paragraph" w:styleId="ad">
    <w:name w:val="header"/>
    <w:basedOn w:val="a"/>
    <w:link w:val="ae"/>
    <w:uiPriority w:val="99"/>
    <w:unhideWhenUsed/>
    <w:rsid w:val="00053205"/>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53205"/>
  </w:style>
  <w:style w:type="paragraph" w:styleId="af">
    <w:name w:val="footer"/>
    <w:basedOn w:val="a"/>
    <w:link w:val="af0"/>
    <w:uiPriority w:val="99"/>
    <w:unhideWhenUsed/>
    <w:rsid w:val="00053205"/>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53205"/>
  </w:style>
  <w:style w:type="paragraph" w:styleId="af1">
    <w:name w:val="Subtitle"/>
    <w:basedOn w:val="a"/>
    <w:next w:val="a"/>
    <w:uiPriority w:val="11"/>
    <w:qFormat/>
    <w:rsid w:val="00D00A1A"/>
    <w:pPr>
      <w:keepNext/>
      <w:keepLines/>
      <w:spacing w:before="360" w:after="80"/>
    </w:pPr>
    <w:rPr>
      <w:rFonts w:ascii="Georgia" w:eastAsia="Georgia" w:hAnsi="Georgia" w:cs="Georgia"/>
      <w:i/>
      <w:color w:val="666666"/>
      <w:sz w:val="48"/>
      <w:szCs w:val="48"/>
    </w:rPr>
  </w:style>
  <w:style w:type="table" w:customStyle="1" w:styleId="af2">
    <w:basedOn w:val="TableNormal"/>
    <w:rsid w:val="00D00A1A"/>
    <w:tblPr>
      <w:tblStyleRowBandSize w:val="1"/>
      <w:tblStyleColBandSize w:val="1"/>
      <w:tblCellMar>
        <w:top w:w="30" w:type="dxa"/>
        <w:left w:w="30" w:type="dxa"/>
        <w:bottom w:w="30" w:type="dxa"/>
        <w:right w:w="30" w:type="dxa"/>
      </w:tblCellMar>
    </w:tblPr>
  </w:style>
  <w:style w:type="table" w:customStyle="1" w:styleId="af3">
    <w:basedOn w:val="TableNormal"/>
    <w:rsid w:val="00D00A1A"/>
    <w:pPr>
      <w:spacing w:after="0" w:line="240" w:lineRule="auto"/>
    </w:pPr>
    <w:tblPr>
      <w:tblStyleRowBandSize w:val="1"/>
      <w:tblStyleColBandSize w:val="1"/>
      <w:tblCellMar>
        <w:left w:w="108" w:type="dxa"/>
        <w:right w:w="108" w:type="dxa"/>
      </w:tblCellMar>
    </w:tblPr>
  </w:style>
  <w:style w:type="table" w:customStyle="1" w:styleId="af4">
    <w:basedOn w:val="TableNormal"/>
    <w:rsid w:val="00D00A1A"/>
    <w:tblPr>
      <w:tblStyleRowBandSize w:val="1"/>
      <w:tblStyleColBandSize w:val="1"/>
      <w:tblCellMar>
        <w:top w:w="30" w:type="dxa"/>
        <w:left w:w="30" w:type="dxa"/>
        <w:bottom w:w="30" w:type="dxa"/>
        <w:right w:w="30" w:type="dxa"/>
      </w:tblCellMar>
    </w:tblPr>
  </w:style>
  <w:style w:type="table" w:customStyle="1" w:styleId="af5">
    <w:basedOn w:val="TableNormal"/>
    <w:rsid w:val="00D00A1A"/>
    <w:tblPr>
      <w:tblStyleRowBandSize w:val="1"/>
      <w:tblStyleColBandSize w:val="1"/>
      <w:tblCellMar>
        <w:top w:w="30" w:type="dxa"/>
        <w:left w:w="30" w:type="dxa"/>
        <w:bottom w:w="30" w:type="dxa"/>
        <w:right w:w="30" w:type="dxa"/>
      </w:tblCellMar>
    </w:tblPr>
  </w:style>
  <w:style w:type="table" w:customStyle="1" w:styleId="af6">
    <w:basedOn w:val="TableNormal"/>
    <w:rsid w:val="00D00A1A"/>
    <w:pPr>
      <w:spacing w:after="0" w:line="240" w:lineRule="auto"/>
    </w:pPr>
    <w:tblPr>
      <w:tblStyleRowBandSize w:val="1"/>
      <w:tblStyleColBandSize w:val="1"/>
      <w:tblCellMar>
        <w:left w:w="108" w:type="dxa"/>
        <w:right w:w="108" w:type="dxa"/>
      </w:tblCellMar>
    </w:tblPr>
  </w:style>
  <w:style w:type="table" w:customStyle="1" w:styleId="af7">
    <w:basedOn w:val="TableNormal"/>
    <w:rsid w:val="00D00A1A"/>
    <w:pPr>
      <w:spacing w:after="0" w:line="240" w:lineRule="auto"/>
    </w:pPr>
    <w:tblPr>
      <w:tblStyleRowBandSize w:val="1"/>
      <w:tblStyleColBandSize w:val="1"/>
      <w:tblCellMar>
        <w:left w:w="108" w:type="dxa"/>
        <w:right w:w="108" w:type="dxa"/>
      </w:tblCellMar>
    </w:tblPr>
  </w:style>
  <w:style w:type="table" w:customStyle="1" w:styleId="af8">
    <w:basedOn w:val="TableNormal"/>
    <w:rsid w:val="00D00A1A"/>
    <w:pPr>
      <w:spacing w:after="0" w:line="240" w:lineRule="auto"/>
    </w:pPr>
    <w:tblPr>
      <w:tblStyleRowBandSize w:val="1"/>
      <w:tblStyleColBandSize w:val="1"/>
      <w:tblCellMar>
        <w:left w:w="108" w:type="dxa"/>
        <w:right w:w="108" w:type="dxa"/>
      </w:tblCellMar>
    </w:tblPr>
  </w:style>
  <w:style w:type="table" w:customStyle="1" w:styleId="af9">
    <w:basedOn w:val="TableNormal"/>
    <w:rsid w:val="00D00A1A"/>
    <w:pPr>
      <w:spacing w:after="0" w:line="240" w:lineRule="auto"/>
    </w:pPr>
    <w:tblPr>
      <w:tblStyleRowBandSize w:val="1"/>
      <w:tblStyleColBandSize w:val="1"/>
      <w:tblCellMar>
        <w:left w:w="108" w:type="dxa"/>
        <w:right w:w="108" w:type="dxa"/>
      </w:tblCellMar>
    </w:tblPr>
  </w:style>
  <w:style w:type="table" w:customStyle="1" w:styleId="afa">
    <w:basedOn w:val="TableNormal"/>
    <w:rsid w:val="00D00A1A"/>
    <w:pPr>
      <w:spacing w:after="0" w:line="240" w:lineRule="auto"/>
    </w:pPr>
    <w:tblPr>
      <w:tblStyleRowBandSize w:val="1"/>
      <w:tblStyleColBandSize w:val="1"/>
      <w:tblCellMar>
        <w:left w:w="108" w:type="dxa"/>
        <w:right w:w="108" w:type="dxa"/>
      </w:tblCellMar>
    </w:tblPr>
  </w:style>
  <w:style w:type="table" w:customStyle="1" w:styleId="afb">
    <w:basedOn w:val="TableNormal"/>
    <w:rsid w:val="00D00A1A"/>
    <w:tblPr>
      <w:tblStyleRowBandSize w:val="1"/>
      <w:tblStyleColBandSize w:val="1"/>
      <w:tblCellMar>
        <w:top w:w="30" w:type="dxa"/>
        <w:left w:w="30" w:type="dxa"/>
        <w:bottom w:w="30" w:type="dxa"/>
        <w:right w:w="30" w:type="dxa"/>
      </w:tblCellMar>
    </w:tblPr>
  </w:style>
  <w:style w:type="table" w:customStyle="1" w:styleId="afc">
    <w:basedOn w:val="TableNormal"/>
    <w:rsid w:val="00D00A1A"/>
    <w:pPr>
      <w:spacing w:after="0" w:line="240" w:lineRule="auto"/>
    </w:pPr>
    <w:tblPr>
      <w:tblStyleRowBandSize w:val="1"/>
      <w:tblStyleColBandSize w:val="1"/>
      <w:tblCellMar>
        <w:left w:w="108" w:type="dxa"/>
        <w:right w:w="108" w:type="dxa"/>
      </w:tblCellMar>
    </w:tblPr>
  </w:style>
  <w:style w:type="table" w:customStyle="1" w:styleId="afd">
    <w:basedOn w:val="TableNormal"/>
    <w:rsid w:val="00D00A1A"/>
    <w:pPr>
      <w:spacing w:after="0" w:line="240" w:lineRule="auto"/>
    </w:pPr>
    <w:tblPr>
      <w:tblStyleRowBandSize w:val="1"/>
      <w:tblStyleColBandSize w:val="1"/>
      <w:tblCellMar>
        <w:left w:w="108" w:type="dxa"/>
        <w:right w:w="108" w:type="dxa"/>
      </w:tblCellMar>
    </w:tblPr>
  </w:style>
  <w:style w:type="table" w:customStyle="1" w:styleId="afe">
    <w:basedOn w:val="TableNormal"/>
    <w:rsid w:val="00D00A1A"/>
    <w:pPr>
      <w:spacing w:after="0" w:line="240" w:lineRule="auto"/>
    </w:pPr>
    <w:tblPr>
      <w:tblStyleRowBandSize w:val="1"/>
      <w:tblStyleColBandSize w:val="1"/>
      <w:tblCellMar>
        <w:left w:w="108" w:type="dxa"/>
        <w:right w:w="108" w:type="dxa"/>
      </w:tblCellMar>
    </w:tblPr>
  </w:style>
  <w:style w:type="table" w:customStyle="1" w:styleId="aff">
    <w:basedOn w:val="TableNormal"/>
    <w:rsid w:val="00D00A1A"/>
    <w:pPr>
      <w:spacing w:after="0" w:line="240" w:lineRule="auto"/>
    </w:pPr>
    <w:tblPr>
      <w:tblStyleRowBandSize w:val="1"/>
      <w:tblStyleColBandSize w:val="1"/>
      <w:tblCellMar>
        <w:left w:w="108" w:type="dxa"/>
        <w:right w:w="108" w:type="dxa"/>
      </w:tblCellMar>
    </w:tblPr>
  </w:style>
  <w:style w:type="table" w:customStyle="1" w:styleId="aff0">
    <w:basedOn w:val="TableNormal"/>
    <w:rsid w:val="00D00A1A"/>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3032">
      <w:bodyDiv w:val="1"/>
      <w:marLeft w:val="0"/>
      <w:marRight w:val="0"/>
      <w:marTop w:val="0"/>
      <w:marBottom w:val="0"/>
      <w:divBdr>
        <w:top w:val="none" w:sz="0" w:space="0" w:color="auto"/>
        <w:left w:val="none" w:sz="0" w:space="0" w:color="auto"/>
        <w:bottom w:val="none" w:sz="0" w:space="0" w:color="auto"/>
        <w:right w:val="none" w:sz="0" w:space="0" w:color="auto"/>
      </w:divBdr>
    </w:div>
    <w:div w:id="17122490">
      <w:bodyDiv w:val="1"/>
      <w:marLeft w:val="0"/>
      <w:marRight w:val="0"/>
      <w:marTop w:val="0"/>
      <w:marBottom w:val="0"/>
      <w:divBdr>
        <w:top w:val="none" w:sz="0" w:space="0" w:color="auto"/>
        <w:left w:val="none" w:sz="0" w:space="0" w:color="auto"/>
        <w:bottom w:val="none" w:sz="0" w:space="0" w:color="auto"/>
        <w:right w:val="none" w:sz="0" w:space="0" w:color="auto"/>
      </w:divBdr>
    </w:div>
    <w:div w:id="277226941">
      <w:bodyDiv w:val="1"/>
      <w:marLeft w:val="0"/>
      <w:marRight w:val="0"/>
      <w:marTop w:val="0"/>
      <w:marBottom w:val="0"/>
      <w:divBdr>
        <w:top w:val="none" w:sz="0" w:space="0" w:color="auto"/>
        <w:left w:val="none" w:sz="0" w:space="0" w:color="auto"/>
        <w:bottom w:val="none" w:sz="0" w:space="0" w:color="auto"/>
        <w:right w:val="none" w:sz="0" w:space="0" w:color="auto"/>
      </w:divBdr>
    </w:div>
    <w:div w:id="455026867">
      <w:bodyDiv w:val="1"/>
      <w:marLeft w:val="0"/>
      <w:marRight w:val="0"/>
      <w:marTop w:val="0"/>
      <w:marBottom w:val="0"/>
      <w:divBdr>
        <w:top w:val="none" w:sz="0" w:space="0" w:color="auto"/>
        <w:left w:val="none" w:sz="0" w:space="0" w:color="auto"/>
        <w:bottom w:val="none" w:sz="0" w:space="0" w:color="auto"/>
        <w:right w:val="none" w:sz="0" w:space="0" w:color="auto"/>
      </w:divBdr>
    </w:div>
    <w:div w:id="669870673">
      <w:bodyDiv w:val="1"/>
      <w:marLeft w:val="0"/>
      <w:marRight w:val="0"/>
      <w:marTop w:val="0"/>
      <w:marBottom w:val="0"/>
      <w:divBdr>
        <w:top w:val="none" w:sz="0" w:space="0" w:color="auto"/>
        <w:left w:val="none" w:sz="0" w:space="0" w:color="auto"/>
        <w:bottom w:val="none" w:sz="0" w:space="0" w:color="auto"/>
        <w:right w:val="none" w:sz="0" w:space="0" w:color="auto"/>
      </w:divBdr>
    </w:div>
    <w:div w:id="679242281">
      <w:bodyDiv w:val="1"/>
      <w:marLeft w:val="0"/>
      <w:marRight w:val="0"/>
      <w:marTop w:val="0"/>
      <w:marBottom w:val="0"/>
      <w:divBdr>
        <w:top w:val="none" w:sz="0" w:space="0" w:color="auto"/>
        <w:left w:val="none" w:sz="0" w:space="0" w:color="auto"/>
        <w:bottom w:val="none" w:sz="0" w:space="0" w:color="auto"/>
        <w:right w:val="none" w:sz="0" w:space="0" w:color="auto"/>
      </w:divBdr>
    </w:div>
    <w:div w:id="886800362">
      <w:bodyDiv w:val="1"/>
      <w:marLeft w:val="0"/>
      <w:marRight w:val="0"/>
      <w:marTop w:val="0"/>
      <w:marBottom w:val="0"/>
      <w:divBdr>
        <w:top w:val="none" w:sz="0" w:space="0" w:color="auto"/>
        <w:left w:val="none" w:sz="0" w:space="0" w:color="auto"/>
        <w:bottom w:val="none" w:sz="0" w:space="0" w:color="auto"/>
        <w:right w:val="none" w:sz="0" w:space="0" w:color="auto"/>
      </w:divBdr>
    </w:div>
    <w:div w:id="923340323">
      <w:bodyDiv w:val="1"/>
      <w:marLeft w:val="0"/>
      <w:marRight w:val="0"/>
      <w:marTop w:val="0"/>
      <w:marBottom w:val="0"/>
      <w:divBdr>
        <w:top w:val="none" w:sz="0" w:space="0" w:color="auto"/>
        <w:left w:val="none" w:sz="0" w:space="0" w:color="auto"/>
        <w:bottom w:val="none" w:sz="0" w:space="0" w:color="auto"/>
        <w:right w:val="none" w:sz="0" w:space="0" w:color="auto"/>
      </w:divBdr>
    </w:div>
    <w:div w:id="957688930">
      <w:bodyDiv w:val="1"/>
      <w:marLeft w:val="0"/>
      <w:marRight w:val="0"/>
      <w:marTop w:val="0"/>
      <w:marBottom w:val="0"/>
      <w:divBdr>
        <w:top w:val="none" w:sz="0" w:space="0" w:color="auto"/>
        <w:left w:val="none" w:sz="0" w:space="0" w:color="auto"/>
        <w:bottom w:val="none" w:sz="0" w:space="0" w:color="auto"/>
        <w:right w:val="none" w:sz="0" w:space="0" w:color="auto"/>
      </w:divBdr>
    </w:div>
    <w:div w:id="1339038565">
      <w:bodyDiv w:val="1"/>
      <w:marLeft w:val="0"/>
      <w:marRight w:val="0"/>
      <w:marTop w:val="0"/>
      <w:marBottom w:val="0"/>
      <w:divBdr>
        <w:top w:val="none" w:sz="0" w:space="0" w:color="auto"/>
        <w:left w:val="none" w:sz="0" w:space="0" w:color="auto"/>
        <w:bottom w:val="none" w:sz="0" w:space="0" w:color="auto"/>
        <w:right w:val="none" w:sz="0" w:space="0" w:color="auto"/>
      </w:divBdr>
    </w:div>
    <w:div w:id="1383403236">
      <w:bodyDiv w:val="1"/>
      <w:marLeft w:val="0"/>
      <w:marRight w:val="0"/>
      <w:marTop w:val="0"/>
      <w:marBottom w:val="0"/>
      <w:divBdr>
        <w:top w:val="none" w:sz="0" w:space="0" w:color="auto"/>
        <w:left w:val="none" w:sz="0" w:space="0" w:color="auto"/>
        <w:bottom w:val="none" w:sz="0" w:space="0" w:color="auto"/>
        <w:right w:val="none" w:sz="0" w:space="0" w:color="auto"/>
      </w:divBdr>
    </w:div>
    <w:div w:id="1582790923">
      <w:bodyDiv w:val="1"/>
      <w:marLeft w:val="0"/>
      <w:marRight w:val="0"/>
      <w:marTop w:val="0"/>
      <w:marBottom w:val="0"/>
      <w:divBdr>
        <w:top w:val="none" w:sz="0" w:space="0" w:color="auto"/>
        <w:left w:val="none" w:sz="0" w:space="0" w:color="auto"/>
        <w:bottom w:val="none" w:sz="0" w:space="0" w:color="auto"/>
        <w:right w:val="none" w:sz="0" w:space="0" w:color="auto"/>
      </w:divBdr>
    </w:div>
    <w:div w:id="2018266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8/d43DzDrBURGMQLBiikMAAz1A==">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DIPaWQuOTBiY2lwMXRpNWpiMg5oLmdxOG1oa2U4dm1zNzIOaC42eXUyNjZnNjJ1c2syDmguNm10MmRhNXg4dXRxMg5oLm5qODdjaDUzNTlneTIOaC5oeWM2dHU4NTlxZmYyDmguZDh2NmV4Nmx3b3U3Mg5oLnUwcjN2djh0MmducjIOaC5qeXFheXZqZTJldXkyDmguNnoyM2hlb2lkdXV6Mg5oLjhwM2d2YjJtenkyYjIOaC4xM25xOWRqbDdobm04AHIhMVJNZ3B4S2ZOSVNUdk5IbTJRWnNLNk15QTdhZFFxZ1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A61ED9-6536-499C-B895-7A23E807D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Pages>
  <Words>7761</Words>
  <Characters>44238</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dc:creator>
  <cp:lastModifiedBy>Анфиса Надежина</cp:lastModifiedBy>
  <cp:revision>20</cp:revision>
  <dcterms:created xsi:type="dcterms:W3CDTF">2025-04-30T23:21:00Z</dcterms:created>
  <dcterms:modified xsi:type="dcterms:W3CDTF">2025-09-04T07:01:00Z</dcterms:modified>
</cp:coreProperties>
</file>