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Лекція 4. Захищений життєвий цикл розробки програмного забезпечення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Поняття захищеного життєвого циклу та його практики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Еталонні моделі: Microsoft SDL, NIST SSDF, OWASP SAMM, BSIMM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Вимоги безпеки до програмного продукту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Ролі, метрики та оцінювання зрілості процесу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захищений життєвий цикл, зсув уліво, контрольна точка, Microsoft SDL, NIST SSDF, OWASP SAMM, BSIMM, OWASP ASVS, вимога безпеки, провідник безпеки, рівень зрілості, метрика процесу.</w:t>
      </w:r>
    </w:p>
    <w:p>
      <w:pPr>
        <w:pStyle w:val="Heading2"/>
      </w:pPr>
      <w:r>
        <w:t xml:space="preserve">4.1. Поняття захищеного життєвого циклу та його практики</w:t>
      </w:r>
    </w:p>
    <w:p>
      <w:pPr>
        <w:spacing w:after="80" w:line="360"/>
        <w:ind w:firstLine="708"/>
        <w:jc w:val="both"/>
      </w:pPr>
      <w:r>
        <w:t xml:space="preserve">Історично перевірку захищеності виконували наприкінці розробки: готовий продукт передавали фахівцям для тестування на проникнення, а команда виправляла знайдене перед випуском. Цей підхід — </w:t>
      </w:r>
      <w:r>
        <w:rPr>
          <w:i/>
          <w:iCs/>
        </w:rPr>
        <w:t xml:space="preserve">«зламати й полатати»</w:t>
      </w:r>
      <w:r>
        <w:t xml:space="preserve"> (англ. </w:t>
      </w:r>
      <w:r>
        <w:rPr>
          <w:i/>
          <w:iCs/>
        </w:rPr>
        <w:t xml:space="preserve">penetrate and patch</w:t>
      </w:r>
      <w:r>
        <w:t xml:space="preserve">) — неспроможний із трьох причин.</w:t>
      </w:r>
    </w:p>
    <w:p>
      <w:pPr>
        <w:spacing w:after="80" w:line="360"/>
        <w:ind w:firstLine="708"/>
        <w:jc w:val="both"/>
      </w:pPr>
      <w:r>
        <w:t xml:space="preserve">Перша причина полягає в тому, що критичні дефекти безпеки — здебільшого не помилки кодування, а хиби проєктування: відсутній атрибут власника в моделі даних, довіра до значення від клієнта, спільний секрет для всіх інсталяцій. Їх усунення означає перепроєктування, на яке наприкінці циклу немає ресурсу, тож дефект «приймають як ризик».</w:t>
      </w:r>
    </w:p>
    <w:p>
      <w:pPr>
        <w:spacing w:after="80" w:line="360"/>
        <w:ind w:firstLine="708"/>
        <w:jc w:val="both"/>
      </w:pPr>
      <w:r>
        <w:t xml:space="preserve">Друга причина полягає в тому, що підсумкова перевірка бачить лише те, до чого дістається за відведений час: функціональність за нетиповим станом або рідкісною роллю лишається неперевіреною, а відсутність знахідок тлумачать як відсутність вразливостей.</w:t>
      </w:r>
    </w:p>
    <w:p>
      <w:pPr>
        <w:spacing w:after="80" w:line="360"/>
        <w:ind w:firstLine="708"/>
        <w:jc w:val="both"/>
      </w:pPr>
      <w:r>
        <w:t xml:space="preserve">Третя причина економічна. Вартість усунення дефекту зростає показниково з номером фази виявлення (п. 1.3.1, формула (1.5)) [5], тому перенесення перевірки на фазу раніше окупається, навіть якщо вона виявляє лише кожен десятий дефект.</w:t>
      </w:r>
    </w:p>
    <w:p>
      <w:pPr>
        <w:spacing w:after="80" w:line="360"/>
        <w:ind w:firstLine="708"/>
        <w:jc w:val="both"/>
      </w:pPr>
      <w:r>
        <w:t xml:space="preserve">Звідси принцип зсуву уліво (п. 1.3.1): контроль захищеності переміщують до ранніх фаз і автоматизують так, щоб він виконувався на кожній зміні коду. Процес розробки з такими вбудованими перевірками називають </w:t>
      </w:r>
      <w:r>
        <w:rPr>
          <w:i/>
          <w:iCs/>
        </w:rPr>
        <w:t xml:space="preserve">захищеним життєвим циклом розробки</w:t>
      </w:r>
      <w:r>
        <w:t xml:space="preserve"> (англ. </w:t>
      </w:r>
      <w:r>
        <w:rPr>
          <w:i/>
          <w:iCs/>
        </w:rPr>
        <w:t xml:space="preserve">secure software development life cycle</w:t>
      </w:r>
      <w:r>
        <w:t xml:space="preserve">, SSDLC).</w:t>
      </w:r>
    </w:p>
    <w:p>
      <w:pPr>
        <w:spacing w:after="80" w:line="360"/>
        <w:ind w:firstLine="708"/>
        <w:jc w:val="both"/>
      </w:pPr>
      <w:r>
        <w:t xml:space="preserve">SSDLC не є окремою методологією і не замінює наявного процесу — ані каскадного, ані ітеративного: це набір практик і контрольних точок, у яких перехід до наступної фази дозволено лише за виконання визначених критеріїв. Розміщення контрольних точок і напрям перенесення перевірок показано на рис. 4.1, самі практики та межі їх застосовності — у табл. 4.1.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4.1. Контрольні точки захищеного життєвого циклу та напрям зсуву перевірок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4.1 – Практики захищеного життєвого циклу та межі їх застосовності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6"/>
        <w:gridCol w:w="4579"/>
        <w:gridCol w:w="3816"/>
      </w:tblGrid>
      <w:tr>
        <w:trPr>
          <w:cantSplit/>
          <w:tblHeader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Фаза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Практики</w:t>
            </w:r>
          </w:p>
        </w:tc>
        <w:tc>
          <w:tcPr>
            <w:tcW w:type="dxa" w:w="3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Межа застосовності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Навчання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класи вразливостей, розбір інцидентів</w:t>
            </w:r>
          </w:p>
        </w:tc>
        <w:tc>
          <w:tcPr>
            <w:tcW w:type="dxa" w:w="3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змінює критеріїв приймання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Вимоги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вимоги безпеки, планка критичності</w:t>
            </w:r>
          </w:p>
        </w:tc>
        <w:tc>
          <w:tcPr>
            <w:tcW w:type="dxa" w:w="3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вимога без тесту не виконується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Проєктування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моделювання загроз, ревізія архітектури</w:t>
            </w:r>
          </w:p>
        </w:tc>
        <w:tc>
          <w:tcPr>
            <w:tcW w:type="dxa" w:w="3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залежить від повноти діаграми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Реалізація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заборонені функції, статичний аналіз, ревізія коду</w:t>
            </w:r>
          </w:p>
        </w:tc>
        <w:tc>
          <w:tcPr>
            <w:tcW w:type="dxa" w:w="3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бачить дефектів логіки прав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Верифікація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динамічний аналіз, фазинг, тест на проникнення</w:t>
            </w:r>
          </w:p>
        </w:tc>
        <w:tc>
          <w:tcPr>
            <w:tcW w:type="dxa" w:w="3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обмежена покриттям і часом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Випуск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підсумкова перевірка, підпис артефактів</w:t>
            </w:r>
          </w:p>
        </w:tc>
        <w:tc>
          <w:tcPr>
            <w:tcW w:type="dxa" w:w="3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усуває наявних у коді дефектів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Реагування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приймання повідомлень, виправлення, аналіз причин</w:t>
            </w:r>
          </w:p>
        </w:tc>
        <w:tc>
          <w:tcPr>
            <w:tcW w:type="dxa" w:w="3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потребує позапланового випуску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4.2. Еталонні моделі: Microsoft SDL, NIST SSDF, OWASP SAMM, BSIMM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Microsoft SDL</w:t>
      </w:r>
      <w:r>
        <w:t xml:space="preserve"> (англ. </w:t>
      </w:r>
      <w:r>
        <w:rPr>
          <w:i/>
          <w:iCs/>
        </w:rPr>
        <w:t xml:space="preserve">Security Development Lifecycle</w:t>
      </w:r>
      <w:r>
        <w:t xml:space="preserve">) сформульовано на початку 2000-х років і перероблено під ітеративну розробку [36]. Він охоплює дванадцять практик — від навчання й вимог безпеки до реагування на інциденти; їх зіставлення з іншими моделями наведено в табл. 4.2.</w:t>
      </w:r>
    </w:p>
    <w:p>
      <w:pPr>
        <w:spacing w:after="80" w:line="360"/>
        <w:ind w:firstLine="708"/>
        <w:jc w:val="both"/>
      </w:pPr>
      <w:r>
        <w:t xml:space="preserve">Методичне значення мають дві риси. Перша — </w:t>
      </w:r>
      <w:r>
        <w:rPr>
          <w:i/>
          <w:iCs/>
        </w:rPr>
        <w:t xml:space="preserve">обов’язкові контрольні точки</w:t>
      </w:r>
      <w:r>
        <w:t xml:space="preserve"> (англ. </w:t>
      </w:r>
      <w:r>
        <w:rPr>
          <w:i/>
          <w:iCs/>
        </w:rPr>
        <w:t xml:space="preserve">security gates</w:t>
      </w:r>
      <w:r>
        <w:t xml:space="preserve">): випуск неможливий, доки не усунено дефектів, критичність яких перевищує встановлену </w:t>
      </w:r>
      <w:r>
        <w:rPr>
          <w:i/>
          <w:iCs/>
        </w:rPr>
        <w:t xml:space="preserve">планку</w:t>
      </w:r>
      <w:r>
        <w:t xml:space="preserve"> (англ. </w:t>
      </w:r>
      <w:r>
        <w:rPr>
          <w:i/>
          <w:iCs/>
        </w:rPr>
        <w:t xml:space="preserve">bug bar</w:t>
      </w:r>
      <w:r>
        <w:t xml:space="preserve">). Планку фіксують на початку проєкту й не знижують наприкінці — це усуває першу з причин п. 4.1.</w:t>
      </w:r>
    </w:p>
    <w:p>
      <w:pPr>
        <w:spacing w:after="80" w:line="360"/>
        <w:ind w:firstLine="708"/>
        <w:jc w:val="both"/>
      </w:pPr>
      <w:r>
        <w:t xml:space="preserve">Друга — </w:t>
      </w:r>
      <w:r>
        <w:rPr>
          <w:i/>
          <w:iCs/>
        </w:rPr>
        <w:t xml:space="preserve">заборонені функції</w:t>
      </w:r>
      <w:r>
        <w:t xml:space="preserve"> (англ. </w:t>
      </w:r>
      <w:r>
        <w:rPr>
          <w:i/>
          <w:iCs/>
        </w:rPr>
        <w:t xml:space="preserve">banned functions</w:t>
      </w:r>
      <w:r>
        <w:t xml:space="preserve">): небезпечні конструкції не рекомендують уникати, а забороняють на рівні інструментів, і складання зупиняється на виклику з чорного списку [5]. Для мови C це </w:t>
      </w:r>
      <w:r>
        <w:rPr>
          <w:rFonts w:ascii="Courier New" w:cs="Courier New" w:eastAsia="Courier New" w:hAnsi="Courier New"/>
          <w:sz w:val="24"/>
          <w:szCs w:val="24"/>
        </w:rPr>
        <w:t xml:space="preserve">strcpy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sprintf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gets</w:t>
      </w:r>
      <w:r>
        <w:t xml:space="preserve">; для Python — </w:t>
      </w:r>
      <w:r>
        <w:rPr>
          <w:rFonts w:ascii="Courier New" w:cs="Courier New" w:eastAsia="Courier New" w:hAnsi="Courier New"/>
          <w:sz w:val="24"/>
          <w:szCs w:val="24"/>
        </w:rPr>
        <w:t xml:space="preserve">eval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exec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pickle.loads</w:t>
      </w:r>
      <w:r>
        <w:t xml:space="preserve"> над зовнішніми даними, </w:t>
      </w:r>
      <w:r>
        <w:rPr>
          <w:rFonts w:ascii="Courier New" w:cs="Courier New" w:eastAsia="Courier New" w:hAnsi="Courier New"/>
          <w:sz w:val="24"/>
          <w:szCs w:val="24"/>
        </w:rPr>
        <w:t xml:space="preserve">subprocess</w:t>
      </w:r>
      <w:r>
        <w:t xml:space="preserve"> із </w:t>
      </w:r>
      <w:r>
        <w:rPr>
          <w:rFonts w:ascii="Courier New" w:cs="Courier New" w:eastAsia="Courier New" w:hAnsi="Courier New"/>
          <w:sz w:val="24"/>
          <w:szCs w:val="24"/>
        </w:rPr>
        <w:t xml:space="preserve">shell=True</w:t>
      </w:r>
      <w:r>
        <w:t xml:space="preserve">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parse_limits_v1(request):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рядок із запиту виконується як програмний код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eval(request.form["limits"])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parse_limits_v2(request):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дані розбираються як дані, виконання коду неможливе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json.loads(request.form["limits"])</w:t>
      </w:r>
    </w:p>
    <w:p>
      <w:pPr>
        <w:spacing w:after="80" w:line="360"/>
        <w:ind w:firstLine="708"/>
        <w:jc w:val="both"/>
      </w:pPr>
      <w:r>
        <w:t xml:space="preserve">Цінність — в автоматичності: заборону перевіряє статичний аналізатор, а не пам’ять рецензента. Межа: список ловить синтаксичну ознаку, а не семантику, тому </w:t>
      </w:r>
      <w:r>
        <w:rPr>
          <w:rFonts w:ascii="Courier New" w:cs="Courier New" w:eastAsia="Courier New" w:hAnsi="Courier New"/>
          <w:sz w:val="24"/>
          <w:szCs w:val="24"/>
        </w:rPr>
        <w:t xml:space="preserve">json.loads</w:t>
      </w:r>
      <w:r>
        <w:t xml:space="preserve"> без валідації полів лишається дефектом.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NIST SP 800-218</w:t>
      </w:r>
      <w:r>
        <w:t xml:space="preserve"> описує базову структуру захищеної розробки SSDF (англ. </w:t>
      </w:r>
      <w:r>
        <w:rPr>
          <w:i/>
          <w:iCs/>
        </w:rPr>
        <w:t xml:space="preserve">Secure Software Development Framework</w:t>
      </w:r>
      <w:r>
        <w:t xml:space="preserve">) [17]. На відміну від SDL, вона не приписує інструментів: це словник практик, спільний для розробника, замовника й аудитора. Практики поділено на чотири групи: </w:t>
      </w:r>
      <w:r>
        <w:rPr>
          <w:b/>
          <w:bCs/>
        </w:rPr>
        <w:t xml:space="preserve">PO</w:t>
      </w:r>
      <w:r>
        <w:t xml:space="preserve"> — підготовка організації (вимоги, ролі, інструментарій, критерії перевірок, захищені середовища); </w:t>
      </w:r>
      <w:r>
        <w:rPr>
          <w:b/>
          <w:bCs/>
        </w:rPr>
        <w:t xml:space="preserve">PS</w:t>
      </w:r>
      <w:r>
        <w:t xml:space="preserve"> — захист самого ПЗ від несанкціонованої зміни; </w:t>
      </w:r>
      <w:r>
        <w:rPr>
          <w:b/>
          <w:bCs/>
        </w:rPr>
        <w:t xml:space="preserve">PW</w:t>
      </w:r>
      <w:r>
        <w:t xml:space="preserve"> — створення захищеного продукту; </w:t>
      </w:r>
      <w:r>
        <w:rPr>
          <w:b/>
          <w:bCs/>
        </w:rPr>
        <w:t xml:space="preserve">RV</w:t>
      </w:r>
      <w:r>
        <w:t xml:space="preserve"> — реагування на виявлені вразливості.</w:t>
      </w:r>
    </w:p>
    <w:p>
      <w:pPr>
        <w:spacing w:after="80" w:line="360"/>
        <w:ind w:firstLine="708"/>
        <w:jc w:val="both"/>
      </w:pPr>
      <w:r>
        <w:t xml:space="preserve">Формат опису практики єдиний: ідентифікатор і формулювання, перелік задач, приклади реалізації, посилання на інші стандарти. Це робить SSDF мовою контракту: замовник посилається на ідентифікатор, виконавець наводить докази його виконання.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OWASP SAMM v2</w:t>
      </w:r>
      <w:r>
        <w:t xml:space="preserve"> (англ. </w:t>
      </w:r>
      <w:r>
        <w:rPr>
          <w:i/>
          <w:iCs/>
        </w:rPr>
        <w:t xml:space="preserve">Software Assurance Maturity Model</w:t>
      </w:r>
      <w:r>
        <w:t xml:space="preserve"> — модель зрілості гарантій захищеності ПЗ) призначено не для опису практик, а для вимірювання того, наскільки послідовно їх виконують [30]. Модель (рис. 4.2) містить п’ять бізнес-функцій — керування, проєктування, реалізація, верифікація, експлуатація, — у кожній по три практики, разом п’ятнадцять. Кожну практику поділено на два потоки й оцінено за трьома рівнями зрілості: перший — нерегулярно, за ініціативою окремих осіб; другий — систематично й документовано; третій — вимірюється.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4.2. Структура моделі OWASP SAMM: бізнес-функції та практики безпеки</w:t>
      </w:r>
    </w:p>
    <w:p>
      <w:pPr>
        <w:spacing w:after="80" w:line="360"/>
        <w:ind w:firstLine="708"/>
        <w:jc w:val="both"/>
      </w:pPr>
      <w:r>
        <w:t xml:space="preserve">Робота з моделлю має три кроки: оцінювання стану за опитувальником, вибір цільового профілю та побудова дорожньої карти з ітерацій. Правило карти — рівномірність важливіша за глибину: ретельне тестування продукту, для якого не визначено правильної поведінки, марне.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BSIMM</w:t>
      </w:r>
      <w:r>
        <w:t xml:space="preserve"> (англ. </w:t>
      </w:r>
      <w:r>
        <w:rPr>
          <w:i/>
          <w:iCs/>
        </w:rPr>
        <w:t xml:space="preserve">Building Security In Maturity Model</w:t>
      </w:r>
      <w:r>
        <w:t xml:space="preserve">) є </w:t>
      </w:r>
      <w:r>
        <w:rPr>
          <w:i/>
          <w:iCs/>
        </w:rPr>
        <w:t xml:space="preserve">описовою</w:t>
      </w:r>
      <w:r>
        <w:t xml:space="preserve"> (англ. </w:t>
      </w:r>
      <w:r>
        <w:rPr>
          <w:i/>
          <w:iCs/>
        </w:rPr>
        <w:t xml:space="preserve">descriptive</w:t>
      </w:r>
      <w:r>
        <w:t xml:space="preserve">), а не </w:t>
      </w:r>
      <w:r>
        <w:rPr>
          <w:i/>
          <w:iCs/>
        </w:rPr>
        <w:t xml:space="preserve">приписовою</w:t>
      </w:r>
      <w:r>
        <w:t xml:space="preserve"> (англ. </w:t>
      </w:r>
      <w:r>
        <w:rPr>
          <w:i/>
          <w:iCs/>
        </w:rPr>
        <w:t xml:space="preserve">prescriptive</w:t>
      </w:r>
      <w:r>
        <w:t xml:space="preserve">) моделлю [56]: вона фіксує не те, що організація повинна робити, а те, що організації роблять насправді. Структура — чотири домени й дванадцять практик; результат — профіль для порівняння з галузевим. Висновку про достатність захисту з нього робити не можна: поширеність не є доказом ефективності.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4.2 – Зіставлення практик Microsoft SDL, NIST SSDF та OWASP SAMM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3100"/>
        <w:gridCol w:w="1860"/>
        <w:gridCol w:w="3101"/>
      </w:tblGrid>
      <w:tr>
        <w:trPr>
          <w:cantSplit/>
          <w:tblHeader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Область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Microsoft SDL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NIST SSDF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OWASP SAMM v2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Навчання, ролі, метрики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навчання; звітність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PO.2, PO.4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керування: навчання; стратегія й метрики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Вимоги безпеки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вимоги; планка критичності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PO.1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проєктування: вимоги безпеки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Проєктування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моделювання загроз; криптостандарти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PW.1, PW.2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проєктування: оцінювання загроз; архітектура безпеки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Сторонні компоненти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ризик залежностей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PW.4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реалізація: складання (залежності)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Кодування, складання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схвалені інструменти; заборонені функції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PO.3, PO.5, PW.5, PW.6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реалізація: безпечне складання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Верифікація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статичний і динамічний аналіз; тест на проникнення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PW.7, PW.8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верифікація: тестування за вимогами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Випуск, цілісність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підсумкова перевірка, архівування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PS.1–PS.3, PW.9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реалізація: безпечне розгортання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Реагування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процес реагування на інциденти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RV.1–RV.3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експлуатація: керування інцидентами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4.3. Вимоги безпеки до програмного продукту</w:t>
      </w:r>
    </w:p>
    <w:p>
      <w:pPr>
        <w:spacing w:after="80" w:line="360"/>
        <w:ind w:firstLine="708"/>
        <w:jc w:val="both"/>
      </w:pPr>
      <w:r>
        <w:t xml:space="preserve">З усіх практик SSDLC найчастіше пропускають найдешевшу — формулювання вимог. Вимоги безпеки здебільшого </w:t>
      </w:r>
      <w:r>
        <w:rPr>
          <w:i/>
          <w:iCs/>
        </w:rPr>
        <w:t xml:space="preserve">негативні</w:t>
      </w:r>
      <w:r>
        <w:t xml:space="preserve"> (п. 1.1.3): вони описують не дозволену поведінку, а заборонену. Негативну вимогу неможливо продемонструвати замовникові, тож вона не потрапляє до </w:t>
      </w:r>
      <w:r>
        <w:rPr>
          <w:i/>
          <w:iCs/>
        </w:rPr>
        <w:t xml:space="preserve">переліку запланованих робіт</w:t>
      </w:r>
      <w:r>
        <w:t xml:space="preserve"> (англ. </w:t>
      </w:r>
      <w:r>
        <w:rPr>
          <w:i/>
          <w:iCs/>
        </w:rPr>
        <w:t xml:space="preserve">backlog</w:t>
      </w:r>
      <w:r>
        <w:t xml:space="preserve">).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Функціональні вимоги безпеки</w:t>
      </w:r>
      <w:r>
        <w:t xml:space="preserve"> описують механізми, що є частиною функціональності (автентифікація, розмежування доступу, журналювання, шифрування), і перевіряються звичайними тестами. </w:t>
      </w:r>
      <w:r>
        <w:rPr>
          <w:i/>
          <w:iCs/>
        </w:rPr>
        <w:t xml:space="preserve">Нефункціональні</w:t>
      </w:r>
      <w:r>
        <w:t xml:space="preserve"> описують властивості всієї системи: жоден параметр не потрапляє до SQL-запиту конкатенацією; секрети не зберігаються в репозиторії. Їх перевіряють правилом статичного аналізу або тестом-зразком.</w:t>
      </w:r>
    </w:p>
    <w:p>
      <w:pPr>
        <w:spacing w:after="80" w:line="360"/>
        <w:ind w:firstLine="708"/>
        <w:jc w:val="both"/>
      </w:pPr>
      <w:r>
        <w:t xml:space="preserve">Щоб не складати перелік вимог наново, використовують </w:t>
      </w:r>
      <w:r>
        <w:rPr>
          <w:i/>
          <w:iCs/>
        </w:rPr>
        <w:t xml:space="preserve">стандарт перевірки захищеності застосунків</w:t>
      </w:r>
      <w:r>
        <w:t xml:space="preserve"> (англ. </w:t>
      </w:r>
      <w:r>
        <w:rPr>
          <w:i/>
          <w:iCs/>
        </w:rPr>
        <w:t xml:space="preserve">Application Security Verification Standard</w:t>
      </w:r>
      <w:r>
        <w:t xml:space="preserve">, ASVS) версії 4.0.3 [28]. Це каталог із чотирнадцяти розділів (V1 — архітектура, V2 — автентифікація, V4 — розмежування доступу, V5 — валідація вводу, V12 — файли тощо); кожна вимога має ідентифікатор, позначку рівня та відповідність запису CWE [31]. Нумерація вимог залежить від редакції стандарту, тому в документі вимог посилаються на конкретну версію.</w:t>
      </w:r>
    </w:p>
    <w:p>
      <w:pPr>
        <w:spacing w:after="80" w:line="360"/>
        <w:ind w:firstLine="708"/>
        <w:jc w:val="both"/>
      </w:pPr>
      <w:r>
        <w:t xml:space="preserve">Рівнів перевірки три: рівень 1 — базовий, який можна перевірити без доступу до коду; рівень 2 — стандартний, для систем із персональними даними чи фінансовими операціями; рівень 3 — поглиблений, для систем із критичними наслідками компрометації. Рівень обирають один раз і фіксують у документі вимог; спроба «взяти рівень 2, крім розділу V4» — типова помилка.</w:t>
      </w:r>
    </w:p>
    <w:p>
      <w:pPr>
        <w:spacing w:after="80" w:line="360"/>
        <w:ind w:firstLine="708"/>
        <w:jc w:val="both"/>
      </w:pPr>
      <w:r>
        <w:t xml:space="preserve">ASVS не замінює моделі загроз, а доповнює її: модель загроз (лекція 3) дає загрози, специфічні для архітектури, ASVS — вимоги, спільні для застосунків класу.</w:t>
      </w:r>
    </w:p>
    <w:p>
      <w:pPr>
        <w:spacing w:after="80" w:line="360"/>
        <w:ind w:firstLine="708"/>
        <w:jc w:val="both"/>
      </w:pPr>
      <w:r>
        <w:t xml:space="preserve">Зручна форма запису — </w:t>
      </w:r>
      <w:r>
        <w:rPr>
          <w:i/>
          <w:iCs/>
        </w:rPr>
        <w:t xml:space="preserve">історія користувача з безпеки</w:t>
      </w:r>
      <w:r>
        <w:t xml:space="preserve"> (англ. </w:t>
      </w:r>
      <w:r>
        <w:rPr>
          <w:i/>
          <w:iCs/>
        </w:rPr>
        <w:t xml:space="preserve">security user story</w:t>
      </w:r>
      <w:r>
        <w:t xml:space="preserve">) виду «як зловмисник, я не можу…» з критеріями приймання, що прямо стають тестами (табл. 4.3).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4.3 – Приклад вимог безпеки рівня 1 за ASVS для функції завантаження документа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3968"/>
        <w:gridCol w:w="3969"/>
      </w:tblGrid>
      <w:tr>
        <w:trPr>
          <w:cantSplit/>
          <w:tblHeader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Розділ ASVS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Вимога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Критерій приймання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V12.1, завантаження файлів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файл розміром понад 5 МБ відхиляється без повного завантаження в пам’ять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тіло запиту 6 МБ повертає код 413, пам’ять процесу не зростає з розміром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V12.3, виконання файлів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ім’я файлу від користувача не формує шляху, ім’я на диску генерує сервер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файл з іменем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../../../etc/passwd</w:t>
            </w:r>
            <w:r>
              <w:rPr>
                <w:sz w:val="24"/>
                <w:szCs w:val="24"/>
              </w:rPr>
              <w:t xml:space="preserve"> відхиляється кодом 400, дерево сховища та каталогів над ним не змінюється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V4.2, доступ на рівні операції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кожен запит документа перевіряє на сервері належність документа до проєкту користувача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користувач A отримує код 404 на документ користувача B, спроба журналюється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Критерій приймання перетворюється на регресійний тест, що виконується на кожній зміні коду: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io import BytesIO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test_upload_rejects_path_traversal(client, auth_header, tmp_root):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фікстура tmp_root створює сховище STORAGE_DIR = tmp_root/"var"/"app"/"files"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before = set(tmp_root.rglob("*"))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data = {"file": (BytesIO(b"payload"), "../../../etc/passwd")}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resp = client.post("/api/projects/1/files", data=data,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headers=auth_header,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content_type="multipart/form-data")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assert resp.status_code == 400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assert not any(tmp_root.rglob("passwd"))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assert set(tmp_root.rglob("*")) == before</w:t>
      </w:r>
    </w:p>
    <w:p>
      <w:pPr>
        <w:spacing w:after="80" w:line="360"/>
        <w:ind w:firstLine="708"/>
        <w:jc w:val="both"/>
      </w:pPr>
      <w:r>
        <w:t xml:space="preserve">Перевіряють не лише код відповіді: успішний обхід записав би файл вище за сховище, тому тест фіксує незмінність усього дерева каталогів над ним. Доказом виконання вимоги є тест, а не запис у документі: вимога без перевірки з часом перестає виконуватися.</w:t>
      </w:r>
    </w:p>
    <w:p>
      <w:pPr>
        <w:pStyle w:val="Heading2"/>
      </w:pPr>
      <w:r>
        <w:t xml:space="preserve">4.4. Ролі, метрики та оцінювання зрілості процесу</w:t>
      </w:r>
    </w:p>
    <w:p>
      <w:pPr>
        <w:pStyle w:val="Heading3"/>
      </w:pPr>
      <w:r>
        <w:t xml:space="preserve">4.4.1. Розподіл відповідальності</w:t>
      </w:r>
    </w:p>
    <w:p>
      <w:pPr>
        <w:spacing w:after="80" w:line="360"/>
        <w:ind w:firstLine="708"/>
        <w:jc w:val="both"/>
      </w:pPr>
      <w:r>
        <w:t xml:space="preserve">Фахівців із безпеки на порядок менше, ніж розробників, тому </w:t>
      </w:r>
      <w:r>
        <w:rPr>
          <w:i/>
          <w:iCs/>
        </w:rPr>
        <w:t xml:space="preserve">централізована модель</w:t>
      </w:r>
      <w:r>
        <w:t xml:space="preserve">, у якій усі перевірки виконує команда безпеки, створює вузьке місце: черга зростає, а команди обходять процес. Протилежна </w:t>
      </w:r>
      <w:r>
        <w:rPr>
          <w:i/>
          <w:iCs/>
        </w:rPr>
        <w:t xml:space="preserve">розподілена модель</w:t>
      </w:r>
      <w:r>
        <w:t xml:space="preserve"> без підтримки дає поверхові рішення.</w:t>
      </w:r>
    </w:p>
    <w:p>
      <w:pPr>
        <w:spacing w:after="80" w:line="360"/>
        <w:ind w:firstLine="708"/>
        <w:jc w:val="both"/>
      </w:pPr>
      <w:r>
        <w:t xml:space="preserve">Компромісом є гібридна модель (рис. 4.3). Команда безпеки стає не виконавцем перевірок, а постачальником засобів: визначає стандарти, налаштовує інструменти, навчає та приймає залишковий ризик. Перевірки виконують команди розробки, а зв’язною ланкою є </w:t>
      </w:r>
      <w:r>
        <w:rPr>
          <w:i/>
          <w:iCs/>
        </w:rPr>
        <w:t xml:space="preserve">провідник безпеки</w:t>
      </w:r>
      <w:r>
        <w:t xml:space="preserve"> (англ. </w:t>
      </w:r>
      <w:r>
        <w:rPr>
          <w:i/>
          <w:iCs/>
        </w:rPr>
        <w:t xml:space="preserve">security champion</w:t>
      </w:r>
      <w:r>
        <w:t xml:space="preserve">) — розробник команди, якому формально виділено частину робочого часу на цю роль.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4.3. Централізована, розподілена та гібридна моделі відповідальності за безпеку</w:t>
      </w:r>
    </w:p>
    <w:p>
      <w:pPr>
        <w:spacing w:after="80" w:line="360"/>
        <w:ind w:firstLine="708"/>
        <w:jc w:val="both"/>
      </w:pPr>
      <w:r>
        <w:t xml:space="preserve">Власник продукту (англ. </w:t>
      </w:r>
      <w:r>
        <w:rPr>
          <w:i/>
          <w:iCs/>
        </w:rPr>
        <w:t xml:space="preserve">product owner</w:t>
      </w:r>
      <w:r>
        <w:t xml:space="preserve">) вносить вимоги безпеки до переліку запланованих робіт нарівні з функціональними й відповідає за їхній пріоритет — без цього вимоги залишаються намірами. Архітектор визначає межі довіри. Провідник безпеки моделює загрози й відсіює хибні спрацювання інструментів; він не експерт — його функція в ранньому виявленні. Команда безпеки формує планку критичності й зберігає право зупинити випуск.</w:t>
      </w:r>
    </w:p>
    <w:p>
      <w:pPr>
        <w:pStyle w:val="Heading3"/>
      </w:pPr>
      <w:r>
        <w:t xml:space="preserve">4.4.2. Метрики процесу</w:t>
      </w:r>
    </w:p>
    <w:p>
      <w:pPr>
        <w:spacing w:after="80" w:line="360"/>
        <w:ind w:firstLine="708"/>
        <w:jc w:val="both"/>
      </w:pPr>
      <w:r>
        <w:t xml:space="preserve">Процес, який не вимірюється, деградує непомітно. </w:t>
      </w:r>
      <w:r>
        <w:rPr>
          <w:i/>
          <w:iCs/>
        </w:rPr>
        <w:t xml:space="preserve">Щільність дефектів безпеки</w:t>
      </w:r>
      <w:r>
        <w:t xml:space="preserve"> — кількість підтверджених дефектів N на обсяг коду L у тисячах рядків: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D = N / L</w:t>
      </w:r>
      <w:r>
        <w:t xml:space="preserve">	(4.1)</w:t>
      </w:r>
    </w:p>
    <w:p>
      <w:pPr>
        <w:spacing w:after="80" w:line="360"/>
        <w:ind w:firstLine="708"/>
        <w:jc w:val="both"/>
      </w:pPr>
      <w:r>
        <w:t xml:space="preserve">Метрика придатна для порівняння модулів і спостереження за динамікою, але не для порівняння продуктів. </w:t>
      </w:r>
      <w:r>
        <w:rPr>
          <w:i/>
          <w:iCs/>
        </w:rPr>
        <w:t xml:space="preserve">Середній час усунення</w:t>
      </w:r>
      <w:r>
        <w:t xml:space="preserve"> (англ. </w:t>
      </w:r>
      <w:r>
        <w:rPr>
          <w:i/>
          <w:iCs/>
        </w:rPr>
        <w:t xml:space="preserve">mean time to remediate</w:t>
      </w:r>
      <w:r>
        <w:t xml:space="preserve">, MTTR):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MTTR = (1 / n) · Σ</w:t>
      </w:r>
      <w:r>
        <w:rPr>
          <w:i/>
          <w:iCs/>
          <w:vertAlign w:val="subscript"/>
        </w:rPr>
        <w:t xml:space="preserve">i=1..n</w:t>
      </w:r>
      <w:r>
        <w:rPr>
          <w:i/>
          <w:iCs/>
        </w:rPr>
        <w:t xml:space="preserve"> (t</w:t>
      </w:r>
      <w:r>
        <w:rPr>
          <w:i/>
          <w:iCs/>
          <w:vertAlign w:val="subscript"/>
        </w:rPr>
        <w:t xml:space="preserve">усун,i</w:t>
      </w:r>
      <w:r>
        <w:rPr>
          <w:i/>
          <w:iCs/>
        </w:rPr>
        <w:t xml:space="preserve"> - t</w:t>
      </w:r>
      <w:r>
        <w:rPr>
          <w:i/>
          <w:iCs/>
          <w:vertAlign w:val="subscript"/>
        </w:rPr>
        <w:t xml:space="preserve">вияв,i</w:t>
      </w:r>
      <w:r>
        <w:rPr>
          <w:i/>
          <w:iCs/>
        </w:rPr>
        <w:t xml:space="preserve">)</w:t>
      </w:r>
      <w:r>
        <w:t xml:space="preserve">	(4.2)</w:t>
      </w:r>
    </w:p>
    <w:p>
      <w:pPr>
        <w:spacing w:after="80" w:line="360"/>
        <w:ind w:firstLine="708"/>
        <w:jc w:val="both"/>
      </w:pPr>
      <w:r>
        <w:t xml:space="preserve">де підсумовування виконують за всіма n усунутими дефектами. </w:t>
      </w:r>
      <w:r>
        <w:rPr>
          <w:i/>
          <w:iCs/>
        </w:rPr>
        <w:t xml:space="preserve">Ефективність доввипускного виявлення</w:t>
      </w:r>
      <w:r>
        <w:t xml:space="preserve"> (англ. </w:t>
      </w:r>
      <w:r>
        <w:rPr>
          <w:i/>
          <w:iCs/>
        </w:rPr>
        <w:t xml:space="preserve">defect removal efficiency</w:t>
      </w:r>
      <w:r>
        <w:t xml:space="preserve">, DRE) показує частку дефектів, знайдених до потрапляння продукту до користувача: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DRE = N</w:t>
      </w:r>
      <w:r>
        <w:rPr>
          <w:i/>
          <w:iCs/>
          <w:vertAlign w:val="subscript"/>
        </w:rPr>
        <w:t xml:space="preserve">до</w:t>
      </w:r>
      <w:r>
        <w:rPr>
          <w:i/>
          <w:iCs/>
        </w:rPr>
        <w:t xml:space="preserve"> / (N</w:t>
      </w:r>
      <w:r>
        <w:rPr>
          <w:i/>
          <w:iCs/>
          <w:vertAlign w:val="subscript"/>
        </w:rPr>
        <w:t xml:space="preserve">до</w:t>
      </w:r>
      <w:r>
        <w:rPr>
          <w:i/>
          <w:iCs/>
        </w:rPr>
        <w:t xml:space="preserve"> + N</w:t>
      </w:r>
      <w:r>
        <w:rPr>
          <w:i/>
          <w:iCs/>
          <w:vertAlign w:val="subscript"/>
        </w:rPr>
        <w:t xml:space="preserve">після</w:t>
      </w:r>
      <w:r>
        <w:rPr>
          <w:i/>
          <w:iCs/>
        </w:rPr>
        <w:t xml:space="preserve">) · 100 %</w:t>
      </w:r>
      <w:r>
        <w:t xml:space="preserve">	(4.3)</w:t>
      </w:r>
    </w:p>
    <w:p>
      <w:pPr>
        <w:spacing w:after="80" w:line="360"/>
        <w:ind w:firstLine="708"/>
        <w:jc w:val="both"/>
      </w:pPr>
      <w:r>
        <w:t xml:space="preserve">Четвертий показник — </w:t>
      </w:r>
      <w:r>
        <w:rPr>
          <w:i/>
          <w:iCs/>
        </w:rPr>
        <w:t xml:space="preserve">відсоток покриття перевірками</w:t>
      </w:r>
      <w:r>
        <w:t xml:space="preserve">: частка репозиторіїв, у яких перевірки налаштовано й справді виконуються.</w:t>
      </w:r>
    </w:p>
    <w:p>
      <w:pPr>
        <w:spacing w:after="80" w:line="360"/>
        <w:ind w:firstLine="708"/>
        <w:jc w:val="both"/>
      </w:pPr>
      <w:r>
        <w:t xml:space="preserve">Приклад. Продукт обсягом 60 тис. рядків; до випуску знайдено 24 дефекти безпеки, за квартал після випуску — ще 6. Тоді D = 30 / 60 = 0,5 дефекту на тисячу рядків, DRE = 24 / 30 · 100 % = 80 %. Часи усунення чотирьох критичних дефектів — 2, 5, 9 і 32 доби, звідки MTTR = 48 / 4 = 12 діб. Середнє зміщене одним викидом, тому поряд наводять медіану (7 діб) і 90-й процентиль.</w:t>
      </w:r>
    </w:p>
    <w:p>
      <w:pPr>
        <w:pBdr>
          <w:left w:val="single" w:color="909090" w:sz="12" w:space="8"/>
        </w:pBdr>
        <w:spacing w:after="100" w:before="100" w:line="276"/>
        <w:ind w:left="566" w:right="283"/>
        <w:jc w:val="both"/>
      </w:pPr>
      <w:r>
        <w:rPr>
          <w:i/>
          <w:iCs/>
          <w:sz w:val="26"/>
          <w:szCs w:val="26"/>
        </w:rPr>
        <w:t xml:space="preserve">Метрика, перетворена на ціль оцінювання людей, перестає бути вимірюванням: якщо преміювати команди за малу кількість дефектів, знахідки перестануть реєструватися.</w:t>
      </w:r>
    </w:p>
    <w:p>
      <w:pPr>
        <w:pStyle w:val="Heading3"/>
      </w:pPr>
      <w:r>
        <w:t xml:space="preserve">4.4.3. Оцінювання зрілості та дорожня карта</w:t>
      </w:r>
    </w:p>
    <w:p>
      <w:pPr>
        <w:spacing w:after="80" w:line="360"/>
        <w:ind w:firstLine="708"/>
        <w:jc w:val="both"/>
      </w:pPr>
      <w:r>
        <w:t xml:space="preserve">Оцінювання за SAMM: для кожного потоку визначають досягнутий рівень (0 — не виконується, 1–3 — рівні зрілості), оцінка практики дорівнює середньому за потоками, а оцінка бізнес-функції — середньому за практиками (табл. 4.4).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4.4 – Приклад оцінювання бізнес-функції «Проєктування» за OWASP SAMM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1"/>
        <w:gridCol w:w="1654"/>
        <w:gridCol w:w="1654"/>
        <w:gridCol w:w="1652"/>
      </w:tblGrid>
      <w:tr>
        <w:trPr>
          <w:cantSplit/>
          <w:tblHeader/>
        </w:trPr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Практика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Потік A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Потік B</w:t>
            </w:r>
          </w:p>
        </w:tc>
        <w:tc>
          <w:tcPr>
            <w:tcW w:type="dxa" w:w="1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Оцінка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Оцінювання загроз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1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1,5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Вимоги безпеки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1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1,0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Архітектура безпеки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0</w:t>
            </w:r>
          </w:p>
        </w:tc>
        <w:tc>
          <w:tcPr>
            <w:tcW w:type="dxa" w:w="1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0,5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Разом за бізнес-функцією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1,0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Профіль читається так: оцінювання загроз досягло другого рівня лише в одному з двох потоків, а архітектура безпеки лишається на початковому рівні. Наступна ітерація має піднімати не найсильнішу практику до третього рівня, а найслабшу — до першого, оскільки захищеність визначається найслабшою ланкою (п. 1.1) [3]. Профіль переглядають раз на пів року.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Перевірка захищеності наприкінці розробки не працює: хиби проєктування вже неможливо виправити латкою, а вартість усунення дефекту показниково зростає з кожною фазою.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Захищений життєвий цикл — не окрема методологія, а набір практик і контрольних точок, що накладаються на будь-який процес розробки за принципом зсуву уліво.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Еталонні моделі різні за призначенням: SDL — інженерна інструкція з контрольними точками, SSDF — словник практик для контракту й аудиту, SAMM — шкала зрілості, BSIMM — профіль галузі.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Вимоги безпеки виводяться з моделі загроз і перевіряються на повноту за розділами ASVS; вимога без критерію приймання та без тесту з часом перестає виконуватися.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Стала робота процесу спирається на розподіл відповідальності між командою безпеки та провідниками безпеки, а його стан контролюють метрики щільності дефектів, часу усунення й покриття перевірками.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Які причини роблять підхід «зламати й полатати» неспроможним?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вартість усунення дефекту зростає показниково з номером фази виявлення (формула (1.5)) і чому коефіцієнт k тлумачать як порядок величини?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У чому полягає принцип зсуву уліво та які практики він переміщує до ранніх фаз?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Поясніть, чому планка критичності має фіксуватися на початку проєкту, а не перед випуском.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Чим підхід заборонених функцій відрізняється від навчання обережному кодуванню і які межі має цей механізм?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Назвіть чотири групи практик NIST SSDF та поясніть формат опису практики.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призначення OWASP SAMM і BSIMM. Чому з профілю BSIMM не можна робити висновок про достатність захисту?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станеться, якщо тестування захищеності довести до третього рівня зрілості за першого рівня практики «Вимоги безпеки»?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Сформулюйте вимогу безпеки з критерієм приймання для функції відновлення пароля та вкажіть розділ ASVS.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Для продукту обсягом 40 тис. рядків до випуску знайдено 18 дефектів безпеки, після випуску — 2. Обчисліть щільність дефектів і ефективність доввипускного виявлення.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централізовану, розподілену й гібридну моделі відповідальності за критерієм пропускної здатності процесу перевірок.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Поясніть, чому вимогу безпеки без критерію приймання не вважають виконаною.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Причина, з якої хиби проєктування не усуваються на фазі верифікації: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інструменти статичного аналізу їх не виявляють;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їх усунення потребує зміни архітектури, на що наприкінці циклу немає ресурсу;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вони не входять до класифікатора CWE;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вони мають низьку оцінку критичності за CVSS.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Групи практик PO, PS, PW і RV належать до моделі: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Microsoft SDL;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OWASP SAMM v2;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NIST SP 800-218 (SSDF);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BSIMM.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BSIMM відрізняється від OWASP SAMM тим, що вона: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є описовою моделлю та фіксує наявну практику організацій;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містить обов’язкові контрольні точки випуску;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визначає рівні перевірки захищеності застосунку;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є нормативним документом NIST.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Скільки рівнів перевірки визначає OWASP ASVS і за яким критерієм обирають рівень: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два, за розміром команди розробки;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три, за критичністю оброблюваних даних і наслідками компрометації;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чотири, за кількістю розділів, застосовних до продукту;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п’ять, за оцінкою CVSS найкритичнішої знайденої вразливості.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Показник ефективності доввипускного виявлення DRE (формула (4.3)) характеризує: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відсоток коду, покритого статичним аналізом;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частку дефектів безпеки, виявлених до випуску продукту;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середній час усунення дефекту;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щільність дефектів на тисячу рядків коду.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а; 4 – б; 5 – б.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Стандарт ISO/IEC 27034 «Безпека застосунків»: рівень довіри до застосунку та співвіднесення з NIST SSDF.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Практики захищеної розробки в регульованих галузях: доказова база процесу під час аудиту.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Практика «Керування дефектами» в OWASP SAMM: потоки діяльності та критерії рівнів зрілості.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Програма провідників безпеки: критерії добору, обсяг навчання, причини згасання.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NIST SP 800-218. Secure Software Development Framework (SSDF) Version 1.1: Recommendations for Mitigating the Risk of Software Vulnerabilities / M. Souppaya, K. Scarfone, D. Dodson. – Gaithersburg : NIST, 2022 (розділ 2). [17]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OWASP Software Assurance Maturity Model (SAMM) v2 [Електронний ресурс] / OWASP Foundation. – Режим доступу: https://owaspsamm.org/ [30]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OWASP Application Security Verification Standard (ASVS) 4.0.3 [Електронний ресурс] / OWASP Foundation. – Режим доступу: https://owasp.org/www-project-application-security-verification-standard/ [28]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Microsoft Security Development Lifecycle (SDL) Practices [Електронний ресурс] / Microsoft. – Режим доступу: https://www.microsoft.com/en-us/securityengineering/sdl/practices [36]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Howard M. Writing Secure Code / M. Howard, D. LeBlanc. – 2nd ed. – Redmond : Microsoft Press, 2003. – 768 p. (розділи 2, 3). [5]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Лекція 4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bf24fc407950b602af76efbf1aa3b78d047cce8.png"/><Relationship Id="rId10" Type="http://schemas.openxmlformats.org/officeDocument/2006/relationships/image" Target="media/e535841a626234566af3155d3a4ee66864b85366.png"/><Relationship Id="rId11" Type="http://schemas.openxmlformats.org/officeDocument/2006/relationships/image" Target="media/f13733a74a9ef4e7a4c03b6414c5369dc1cbc8b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2026-10-06T23:42:48.494Z</dcterms:created>
  <dcterms:modified xsi:type="dcterms:W3CDTF">2026-10-06T23:42:48.495Z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