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5. Принципи безпечного проєктування програмних систем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Принципи Зальцера і Шредера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Глибокий захист, безпечна відмова та нульова довіра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Механізми ізоляції та мінімізація довіреної бази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Архітектурні антипатерни безпеки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принцип мінімальних привілеїв, повне посередництво, безпечні значення за замовчуванням, економія механізму, глибокий захист, безпечна відмова, нульова довіра, довірена обчислювальна база, ізоляція, пісочниця, антипатерн.</w:t>
      </w:r>
    </w:p>
    <w:p>
      <w:pPr>
        <w:pStyle w:val="Heading2"/>
      </w:pPr>
      <w:r>
        <w:t xml:space="preserve">5.1. Принципи Зальцера і Шредера</w:t>
      </w:r>
    </w:p>
    <w:p>
      <w:pPr>
        <w:spacing w:after="80" w:line="360"/>
        <w:ind w:firstLine="708"/>
        <w:jc w:val="both"/>
      </w:pPr>
      <w:r>
        <w:t xml:space="preserve">Попередня лекція описала процес, ця — зміст рішень фази проєктування. Дефект кодування локалізований в одному модулі й усувається виправленням, тоді як дефект проєктування задає структуру системи, і його усунення означає перепроєктування зі зміною інтерфейсів і схеми даних. Тому еталонні моделі захищеної розробки [17, 36] виділяють проєктування в окрему фазу.</w:t>
      </w:r>
    </w:p>
    <w:p>
      <w:pPr>
        <w:spacing w:after="80" w:line="360"/>
        <w:ind w:firstLine="708"/>
        <w:jc w:val="both"/>
      </w:pPr>
      <w:r>
        <w:t xml:space="preserve">Систематизацію принципів захисту вперше виконали Дж. Зальцер і М. Шредер у праці 1975 р. [39], узагальнивши досвід побудови ОС Multics. Ці вісім принципів не є алгоритмом проєктування: це критерії, за якими рішення перевіряють на структурні слабкості (табл. 5.1).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5.1 – Принципи безпечного проєктування за Зальцером і Шредером [39]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6"/>
        <w:gridCol w:w="3307"/>
        <w:gridCol w:w="3968"/>
      </w:tblGrid>
      <w:tr>
        <w:trPr>
          <w:cantSplit/>
          <w:tblHeader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Принцип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Зміст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Типове порушення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Економія механізму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Механізм простий і малий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Власна реалізація протоколу автентифікації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Безпечні значення за замовчуванням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Базове рішення — відмова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Перелік заборонених розширень замість дозволених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Повне посередництво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Перевіряють кожне звернення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прав лише при вході в сесію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Відкритий проєкт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Таємний ключ, а не конструкція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Власний алгоритм «доки не розголошено»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Розділення привілеїв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Дві незалежні умови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Видалення бази даних промислового середовища однією командою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Мінімальні привілеї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Права за задачею і на час задачі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Застосунок із правами власника схеми БД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Мінімізація спільних механізмів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Мінімум спільного стану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Спільний кеш без ідентичності в ключі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Психологічна прийнятність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Механізм не заважає роботі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Примусова щомісячна зміна пароля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Економія механізму</w:t>
      </w:r>
      <w:r>
        <w:t xml:space="preserve"> (англ. </w:t>
      </w:r>
      <w:r>
        <w:rPr>
          <w:i/>
          <w:iCs/>
        </w:rPr>
        <w:t xml:space="preserve">economy of mechanism</w:t>
      </w:r>
      <w:r>
        <w:t xml:space="preserve">) обґрунтована практикою верифікації: відсутність дефектів встановлюють лише в коді, що піддається повному аналізу, тому кожна додаткова гілка в логіці авторизації є ризиком.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Безпечні значення за замовчуванням</w:t>
      </w:r>
      <w:r>
        <w:t xml:space="preserve"> (англ. </w:t>
      </w:r>
      <w:r>
        <w:rPr>
          <w:i/>
          <w:iCs/>
        </w:rPr>
        <w:t xml:space="preserve">fail-safe defaults</w:t>
      </w:r>
      <w:r>
        <w:t xml:space="preserve">) спираються на асиметрію наслідків помилки: пропуск у переліку забороненого (англ. </w:t>
      </w:r>
      <w:r>
        <w:rPr>
          <w:i/>
          <w:iCs/>
        </w:rPr>
        <w:t xml:space="preserve">denylist</w:t>
      </w:r>
      <w:r>
        <w:t xml:space="preserve">) дає тихий дозвіл, непомітний під час функціонального тестування, а пропуск у переліку дозволеного (англ. </w:t>
      </w:r>
      <w:r>
        <w:rPr>
          <w:i/>
          <w:iCs/>
        </w:rPr>
        <w:t xml:space="preserve">allowlist</w:t>
      </w:r>
      <w:r>
        <w:t xml:space="preserve">) — відмову, яку негайно помітить користувач.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os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DENIED = {".exe", ".sh", ".php"}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accept_upload_v1(name: str) -&gt; bool: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перелік забороненого: розширення, не внесене до нього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(".phtml", ".cgi"), дозволяється за замовчуванням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not any(name.lower().endswith(ext) for ext in DENIED)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ALLOWED = {".pdf", ".png", ".jpg"}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accept_upload_v2(name: str) -&gt; bool: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перелік дозволеного; невідоме розширення відхиляється,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а саме воно визначається однозначно, а не пошуком підрядка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os.path.splitext(name)[1].lower() in ALLOWED</w:t>
      </w:r>
    </w:p>
    <w:p>
      <w:pPr>
        <w:spacing w:after="80" w:line="360"/>
        <w:ind w:firstLine="708"/>
        <w:jc w:val="both"/>
      </w:pPr>
      <w:r>
        <w:t xml:space="preserve">Межа застосовності: перелік дозволеного захищає від невідомих варіантів входу, але не від зловживання дозволеним: файл </w:t>
      </w:r>
      <w:r>
        <w:rPr>
          <w:rFonts w:ascii="Courier New" w:cs="Courier New" w:eastAsia="Courier New" w:hAnsi="Courier New"/>
          <w:sz w:val="24"/>
          <w:szCs w:val="24"/>
        </w:rPr>
        <w:t xml:space="preserve">.pdf</w:t>
      </w:r>
      <w:r>
        <w:t xml:space="preserve"> потребує ще й перевірки вмісту.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Повне посередництво</w:t>
      </w:r>
      <w:r>
        <w:t xml:space="preserve"> (англ. </w:t>
      </w:r>
      <w:r>
        <w:rPr>
          <w:i/>
          <w:iCs/>
        </w:rPr>
        <w:t xml:space="preserve">complete mediation</w:t>
      </w:r>
      <w:r>
        <w:t xml:space="preserve">) вимагає перевіряти кожне звернення суб’єкта до об’єкта, а не лише перше. Його реалізацією є монітор звернень (англ. </w:t>
      </w:r>
      <w:r>
        <w:rPr>
          <w:i/>
          <w:iCs/>
        </w:rPr>
        <w:t xml:space="preserve">reference monitor</w:t>
      </w:r>
      <w:r>
        <w:t xml:space="preserve">) [53] із трьома вимогами: неможливість обходу — жодний шлях доступу не оминає монітора; захищеність від модифікації; обсяг, що піддається верифікації.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Відкритий проєкт</w:t>
      </w:r>
      <w:r>
        <w:t xml:space="preserve"> (англ. </w:t>
      </w:r>
      <w:r>
        <w:rPr>
          <w:i/>
          <w:iCs/>
        </w:rPr>
        <w:t xml:space="preserve">open design</w:t>
      </w:r>
      <w:r>
        <w:t xml:space="preserve">) — принцип Керкгоффса (1883) у формулюванні К. Шеннона [49]: конструкцію відновлюють дизасемблюванням, тоді як ключ можна замінити, не змінюючи системи. </w:t>
      </w:r>
      <w:r>
        <w:rPr>
          <w:i/>
          <w:iCs/>
        </w:rPr>
        <w:t xml:space="preserve">Розділення привілеїв</w:t>
      </w:r>
      <w:r>
        <w:t xml:space="preserve"> (англ. </w:t>
      </w:r>
      <w:r>
        <w:rPr>
          <w:i/>
          <w:iCs/>
        </w:rPr>
        <w:t xml:space="preserve">separation of privilege</w:t>
      </w:r>
      <w:r>
        <w:t xml:space="preserve">) вимагає двох незалежних умов для критичної дії; два паролі в одному сховищі секретів його не утворюють. </w:t>
      </w:r>
      <w:r>
        <w:rPr>
          <w:i/>
          <w:iCs/>
        </w:rPr>
        <w:t xml:space="preserve">Мінімальні привілеї</w:t>
      </w:r>
      <w:r>
        <w:t xml:space="preserve"> (англ. </w:t>
      </w:r>
      <w:r>
        <w:rPr>
          <w:i/>
          <w:iCs/>
        </w:rPr>
        <w:t xml:space="preserve">least privilege</w:t>
      </w:r>
      <w:r>
        <w:t xml:space="preserve">) стосуються й часу дії прав: підвищені права надаються на операцію, а не на весь час роботи процесу.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Мінімізація спільних механізмів</w:t>
      </w:r>
      <w:r>
        <w:t xml:space="preserve"> (англ. </w:t>
      </w:r>
      <w:r>
        <w:rPr>
          <w:i/>
          <w:iCs/>
        </w:rPr>
        <w:t xml:space="preserve">least common mechanism</w:t>
      </w:r>
      <w:r>
        <w:t xml:space="preserve">) спрямована проти каналів через спільний стан — кеш, обліковий запис до бази даних, кеш процесора. </w:t>
      </w:r>
      <w:r>
        <w:rPr>
          <w:i/>
          <w:iCs/>
        </w:rPr>
        <w:t xml:space="preserve">Психологічна прийнятність</w:t>
      </w:r>
      <w:r>
        <w:t xml:space="preserve"> (англ. </w:t>
      </w:r>
      <w:r>
        <w:rPr>
          <w:i/>
          <w:iCs/>
        </w:rPr>
        <w:t xml:space="preserve">psychological acceptability</w:t>
      </w:r>
      <w:r>
        <w:t xml:space="preserve">) фіксує: механізм, який заважає роботі, буде обійдено — вимога щомісячної зміни пароля породжує передбачувані послідовності, тому чинні настанови NIST [18] від неї відмовилися.</w:t>
      </w:r>
    </w:p>
    <w:p>
      <w:pPr>
        <w:pStyle w:val="Heading2"/>
      </w:pPr>
      <w:r>
        <w:t xml:space="preserve">5.2. Глибокий захист, безпечна відмова та нульова довіра</w:t>
      </w:r>
    </w:p>
    <w:p>
      <w:pPr>
        <w:spacing w:after="80" w:line="360"/>
        <w:ind w:firstLine="708"/>
        <w:jc w:val="both"/>
      </w:pPr>
      <w:r>
        <w:t xml:space="preserve">Класичні принципи доповнюють кількома з практики розподілених систем [9, 29].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Глибокий захист</w:t>
      </w:r>
      <w:r>
        <w:t xml:space="preserve"> (англ. </w:t>
      </w:r>
      <w:r>
        <w:rPr>
          <w:i/>
          <w:iCs/>
        </w:rPr>
        <w:t xml:space="preserve">defense in depth</w:t>
      </w:r>
      <w:r>
        <w:t xml:space="preserve">) — побудова кількох незалежних рубежів так, щоб подолання одного не давало зловмиснику досягти мети. Якщо ймовірність подолання i-го рубежу дорівнює p</w:t>
      </w:r>
      <w:r>
        <w:rPr>
          <w:vertAlign w:val="subscript"/>
        </w:rPr>
        <w:t xml:space="preserve">i</w:t>
      </w:r>
      <w:r>
        <w:t xml:space="preserve">, а рубежі незалежні, ймовірність успішної атаки становить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под</w:t>
      </w:r>
      <w:r>
        <w:rPr>
          <w:i/>
          <w:iCs/>
        </w:rPr>
        <w:t xml:space="preserve"> = p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 · p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 · … · p</w:t>
      </w:r>
      <w:r>
        <w:rPr>
          <w:i/>
          <w:iCs/>
          <w:vertAlign w:val="subscript"/>
        </w:rPr>
        <w:t xml:space="preserve">n</w:t>
      </w:r>
      <w:r>
        <w:t xml:space="preserve">	(5.1)</w:t>
      </w:r>
    </w:p>
    <w:p>
      <w:pPr>
        <w:spacing w:after="80" w:line="360"/>
        <w:ind w:firstLine="708"/>
        <w:jc w:val="both"/>
      </w:pPr>
      <w:r>
        <w:t xml:space="preserve">Числовий приклад. Нехай застосунок має три рубежі: валідацію вхідних даних, параметризовані запити та обліковий запис бази лише на читання. Умовно покладемо p</w:t>
      </w:r>
      <w:r>
        <w:rPr>
          <w:vertAlign w:val="subscript"/>
        </w:rPr>
        <w:t xml:space="preserve">1</w:t>
      </w:r>
      <w:r>
        <w:t xml:space="preserve"> = 0,3, p</w:t>
      </w:r>
      <w:r>
        <w:rPr>
          <w:vertAlign w:val="subscript"/>
        </w:rPr>
        <w:t xml:space="preserve">2</w:t>
      </w:r>
      <w:r>
        <w:t xml:space="preserve"> = 0,1, p</w:t>
      </w:r>
      <w:r>
        <w:rPr>
          <w:vertAlign w:val="subscript"/>
        </w:rPr>
        <w:t xml:space="preserve">3</w:t>
      </w:r>
      <w:r>
        <w:t xml:space="preserve"> = 0,1. Тоді за формулою (5.1) P</w:t>
      </w:r>
      <w:r>
        <w:rPr>
          <w:vertAlign w:val="subscript"/>
        </w:rPr>
        <w:t xml:space="preserve">под</w:t>
      </w:r>
      <w:r>
        <w:t xml:space="preserve"> = 0,003 — на два порядки менше, ніж за самої лише валідації.</w:t>
      </w:r>
    </w:p>
    <w:p>
      <w:pPr>
        <w:spacing w:after="80" w:line="360"/>
        <w:ind w:firstLine="708"/>
        <w:jc w:val="both"/>
      </w:pPr>
      <w:r>
        <w:t xml:space="preserve">Межа застосовності: множення коректне лише за незалежності рубежів. Якщо перші два рубежі реалізовано над спільною бібліотекою розбору даних і дефект міститься в ній, події подолання корельовані: за повної кореляції добуток вироджується в імовірність подолання спільного компонента, тобто 0,3 замість 0,03. Тому глибокий захист вимагає різнорідності рубежів, а не повторення однакової перевірки.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Безпечна відмова</w:t>
      </w:r>
      <w:r>
        <w:t xml:space="preserve"> (англ. </w:t>
      </w:r>
      <w:r>
        <w:rPr>
          <w:i/>
          <w:iCs/>
        </w:rPr>
        <w:t xml:space="preserve">fail-safe</w:t>
      </w:r>
      <w:r>
        <w:t xml:space="preserve">, у контексті захисту — </w:t>
      </w:r>
      <w:r>
        <w:rPr>
          <w:i/>
          <w:iCs/>
        </w:rPr>
        <w:t xml:space="preserve">fail-secure</w:t>
      </w:r>
      <w:r>
        <w:t xml:space="preserve">) вимагає, щоб за помилки, вичерпання ресурсу чи недоступності зовнішнього сервісу система переходила у стан заборони, а не дозволу.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is_authorized_v1(token, action):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authz.check(token, action)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AuthzUnavailable: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ВРАЗЛИВО: недоступність сервісу авторизації трактовано як дозвіл,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тож зловмисникові достатньо вивести цей сервіс з ладу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True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is_authorized_v2(token, action):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authz.check(token, action)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AuthzUnavailable: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БЕЗПЕЧНО: відмова в доступі, подію фіксують для реагування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audit.log("authz_unavailable", subject=token.subject_id, action=action)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</w:t>
      </w:r>
    </w:p>
    <w:p>
      <w:pPr>
        <w:spacing w:after="80" w:line="360"/>
        <w:ind w:firstLine="708"/>
        <w:jc w:val="both"/>
      </w:pPr>
      <w:r>
        <w:t xml:space="preserve">Безпечна відмова переносить ризик із конфіденційності на доступність: відмовостійкість сервісу авторизації стає архітектурною вимогою.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Розділення обов’язків</w:t>
      </w:r>
      <w:r>
        <w:t xml:space="preserve"> (англ. </w:t>
      </w:r>
      <w:r>
        <w:rPr>
          <w:i/>
          <w:iCs/>
        </w:rPr>
        <w:t xml:space="preserve">separation of duties</w:t>
      </w:r>
      <w:r>
        <w:t xml:space="preserve">) забороняє поєднувати в одній ролі дії, взаємний контроль між якими є засобом захисту: розробник не затверджує власний випуск. </w:t>
      </w:r>
      <w:r>
        <w:rPr>
          <w:i/>
          <w:iCs/>
        </w:rPr>
        <w:t xml:space="preserve">Мінімізація довіри</w:t>
      </w:r>
      <w:r>
        <w:t xml:space="preserve"> (англ. </w:t>
      </w:r>
      <w:r>
        <w:rPr>
          <w:i/>
          <w:iCs/>
        </w:rPr>
        <w:t xml:space="preserve">minimize trust</w:t>
      </w:r>
      <w:r>
        <w:t xml:space="preserve">; в OWASP — </w:t>
      </w:r>
      <w:r>
        <w:rPr>
          <w:i/>
          <w:iCs/>
        </w:rPr>
        <w:t xml:space="preserve">reluctance to trust</w:t>
      </w:r>
      <w:r>
        <w:t xml:space="preserve">) вимагає зменшувати кількість компонентів, коректність яких доводиться припускати (п. 5.3).</w:t>
      </w:r>
    </w:p>
    <w:p>
      <w:pPr>
        <w:spacing w:after="80" w:line="360"/>
        <w:ind w:firstLine="708"/>
        <w:jc w:val="both"/>
      </w:pPr>
      <w:r>
        <w:t xml:space="preserve">Узагальненням цих вимог є архітектура </w:t>
      </w:r>
      <w:r>
        <w:rPr>
          <w:i/>
          <w:iCs/>
        </w:rPr>
        <w:t xml:space="preserve">нульової довіри</w:t>
      </w:r>
      <w:r>
        <w:t xml:space="preserve"> (англ. </w:t>
      </w:r>
      <w:r>
        <w:rPr>
          <w:i/>
          <w:iCs/>
        </w:rPr>
        <w:t xml:space="preserve">zero trust</w:t>
      </w:r>
      <w:r>
        <w:t xml:space="preserve">) [57]. Її припущення: мережа вже скомпрометована; розташування вузла не надає прав; довіра не успадковується — виклик від внутрішнього сервісу не є підставою його виконати. Наслідки для проєктування: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ідентичність підтверджують криптографічно для кожного запиту (взаємний TLS, підписані токени з коротким строком дії);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рішення ухвалює точка ухвалення рішень (англ. </w:t>
      </w:r>
      <w:r>
        <w:rPr>
          <w:i/>
          <w:iCs/>
        </w:rPr>
        <w:t xml:space="preserve">policy decision point</w:t>
      </w:r>
      <w:r>
        <w:t xml:space="preserve">, PDP), а застосовує його точка застосування політики (англ. </w:t>
      </w:r>
      <w:r>
        <w:rPr>
          <w:i/>
          <w:iCs/>
        </w:rPr>
        <w:t xml:space="preserve">policy enforcement point</w:t>
      </w:r>
      <w:r>
        <w:t xml:space="preserve">, PEP), розміщена перед ресурсом (рис. 5.1);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рішення ухвалюють на кожне звернення з урахуванням поточного стану суб’єкта;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сегментація — на рівні сервісу, а не периметра.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5.1. Ухвалення рішення про доступ в архітектурі нульової довіри</w:t>
      </w:r>
    </w:p>
    <w:p>
      <w:pPr>
        <w:spacing w:after="80" w:line="360"/>
        <w:ind w:firstLine="708"/>
        <w:jc w:val="both"/>
      </w:pPr>
      <w:r>
        <w:t xml:space="preserve">Межі застосовності: нульова довіра усуває наслідки компрометації периметра, але не захищає від вразливостей застосунку — ін’єкція SQL виконується від імені бездоганно автентифікованого сервісу. Вона суперечить економії механізму, тому виправдана, коли модель загроз містить порушника всередині мережі.</w:t>
      </w:r>
    </w:p>
    <w:p>
      <w:pPr>
        <w:pStyle w:val="Heading2"/>
      </w:pPr>
      <w:r>
        <w:t xml:space="preserve">5.3. Механізми ізоляції та мінімізація довіреної бази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Довірена обчислювальна база</w:t>
      </w:r>
      <w:r>
        <w:t xml:space="preserve"> (англ. </w:t>
      </w:r>
      <w:r>
        <w:rPr>
          <w:i/>
          <w:iCs/>
        </w:rPr>
        <w:t xml:space="preserve">trusted computing base</w:t>
      </w:r>
      <w:r>
        <w:t xml:space="preserve">, TCB) — сукупність апаратних, програмних і мікропрограмних компонентів, від коректності яких залежить виконання політики безпеки [58]; у вітчизняній нормативній базі спорідненим поняттям є комплекс засобів захисту за НД ТЗІ 2.5-004-99 [14]. Поняття визначає його межа: дефект у компоненті TCB руйнує політику безпеки цілком, а дефект поза TCB обмежений правами компонента, у якому міститься.</w:t>
      </w:r>
    </w:p>
    <w:p>
      <w:pPr>
        <w:spacing w:after="80" w:line="360"/>
        <w:ind w:firstLine="708"/>
        <w:jc w:val="both"/>
      </w:pPr>
      <w:r>
        <w:t xml:space="preserve">Звідси випливає вимога мінімізації. Якщо ρ — середня щільність дефектів безпеки на тисячу рядків коду, а L</w:t>
      </w:r>
      <w:r>
        <w:rPr>
          <w:vertAlign w:val="subscript"/>
        </w:rPr>
        <w:t xml:space="preserve">TCB</w:t>
      </w:r>
      <w:r>
        <w:t xml:space="preserve"> — обсяг довіреної бази у тисячах рядків, очікувану кількість дефектів оцінюють як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 ≈ ρ · L</w:t>
      </w:r>
      <w:r>
        <w:rPr>
          <w:i/>
          <w:iCs/>
          <w:vertAlign w:val="subscript"/>
        </w:rPr>
        <w:t xml:space="preserve">TCB</w:t>
      </w:r>
      <w:r>
        <w:t xml:space="preserve">	(5.2)</w:t>
      </w:r>
    </w:p>
    <w:p>
      <w:pPr>
        <w:spacing w:after="80" w:line="360"/>
        <w:ind w:firstLine="708"/>
        <w:jc w:val="both"/>
      </w:pPr>
      <w:r>
        <w:t xml:space="preserve">Числовий приклад (значення умовні). Нехай ρ = 1 дефект на тисячу рядків. Для монолітної системи, де до TCB входять ядро загального призначення, системні служби й застосунок, обсяг довіреної бази має порядок 10</w:t>
      </w:r>
      <w:r>
        <w:rPr>
          <w:vertAlign w:val="superscript"/>
        </w:rPr>
        <w:t xml:space="preserve">6</w:t>
      </w:r>
      <w:r>
        <w:t xml:space="preserve"> рядків, тобто L</w:t>
      </w:r>
      <w:r>
        <w:rPr>
          <w:vertAlign w:val="subscript"/>
        </w:rPr>
        <w:t xml:space="preserve">TCB</w:t>
      </w:r>
      <w:r>
        <w:t xml:space="preserve"> = 10</w:t>
      </w:r>
      <w:r>
        <w:rPr>
          <w:vertAlign w:val="superscript"/>
        </w:rPr>
        <w:t xml:space="preserve">3</w:t>
      </w:r>
      <w:r>
        <w:t xml:space="preserve">, звідки за формулою (5.2) N ≈ 10</w:t>
      </w:r>
      <w:r>
        <w:rPr>
          <w:vertAlign w:val="superscript"/>
        </w:rPr>
        <w:t xml:space="preserve">3</w:t>
      </w:r>
      <w:r>
        <w:t xml:space="preserve"> дефектів. Для системи на ядрі розділення (англ. </w:t>
      </w:r>
      <w:r>
        <w:rPr>
          <w:i/>
          <w:iCs/>
        </w:rPr>
        <w:t xml:space="preserve">separation kernel</w:t>
      </w:r>
      <w:r>
        <w:t xml:space="preserve">) за схемою Дж. Рашбі [59] довірена частина має порядок 10</w:t>
      </w:r>
      <w:r>
        <w:rPr>
          <w:vertAlign w:val="superscript"/>
        </w:rPr>
        <w:t xml:space="preserve">4</w:t>
      </w:r>
      <w:r>
        <w:t xml:space="preserve"> рядків, тобто L</w:t>
      </w:r>
      <w:r>
        <w:rPr>
          <w:vertAlign w:val="subscript"/>
        </w:rPr>
        <w:t xml:space="preserve">TCB</w:t>
      </w:r>
      <w:r>
        <w:t xml:space="preserve"> = 10, звідки N ≈ 10. Різниця визначає й можливість верифікації: десять тисяч рядків піддаються формальному доведенню, мільйон — ні.</w:t>
      </w:r>
    </w:p>
    <w:p>
      <w:pPr>
        <w:spacing w:after="80" w:line="360"/>
        <w:ind w:firstLine="708"/>
        <w:jc w:val="both"/>
      </w:pPr>
      <w:r>
        <w:t xml:space="preserve">Засобом зменшення TCB є ізоляція — розміщення компонента в середовищі, що обмежує множину доступних дій. Рівні ізоляції утворюють ієрархію (рис. 5.2): що нижчий рівень механізму, то ширшу множину дій він контролює, але то дорожчий перетин межі. Один із рівнів — </w:t>
      </w:r>
      <w:r>
        <w:rPr>
          <w:i/>
          <w:iCs/>
        </w:rPr>
        <w:t xml:space="preserve">пісочниця</w:t>
      </w:r>
      <w:r>
        <w:t xml:space="preserve"> (англ. </w:t>
      </w:r>
      <w:r>
        <w:rPr>
          <w:i/>
          <w:iCs/>
        </w:rPr>
        <w:t xml:space="preserve">sandbox</w:t>
      </w:r>
      <w:r>
        <w:t xml:space="preserve">), тобто середовище виконання, що обмежує множину доступних компонентові системних викликів і ресурсів (табл. 5.2).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5.2. Рівні ізоляції компонента та склад довіреної обчислювальної бази на кожному рівні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5.2 – Порівняння механізмів ізоляції програмних компонентів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5"/>
        <w:gridCol w:w="2756"/>
        <w:gridCol w:w="2205"/>
        <w:gridCol w:w="2755"/>
      </w:tblGrid>
      <w:tr>
        <w:trPr>
          <w:cantSplit/>
          <w:tblHeader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Механізм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Що обмежує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Склад TCB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Від чого не захищає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Процес і окремий адресний простір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 до пам’яті іншого компонента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Ядро ОС, блок керування пам’яттю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Зловживання дозволеними системними викликами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Пісочниця системних викликів (seccomp-bpf, App Sandbox)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Множину дозволених викликів і шляхів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Ядро ОС, профіль пісочниці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Дії через дозволені виклики, помилки в профілі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Контейнер (простори імен, cgroups, capabilities)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Видимість процесів, мережі, файлів, обсяг ресурсів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Спільне ядро, середовище виконання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Вразливість ядра, що дає вихід із контейнера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Віртуальна машина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 до пам’яті та пристроїв іншої машини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Гіпервізор, апаратна віртуалізація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Побічні канали через спільний кеш процесора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Модуль WebAssembly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Пам’ять модуля та перелік імпортів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Середовище виконання WebAssembly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Логічні дефекти модуля, надмірний перелік імпортів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По-перше, контейнеризацію помилково ототожнюють з ізоляцією рівня віртуальної машини. Контейнер — це процес з окремими просторами імен та обмеженнями ресурсів, проте ядро в нього спільне, тому вразливість підвищення привілеїв у ядрі є виходом за межу контейнера. Якщо на вузлі виконується код різних рівнів довіри, межею має бути віртуальна машина.</w:t>
      </w:r>
    </w:p>
    <w:p>
      <w:pPr>
        <w:spacing w:after="80" w:line="360"/>
        <w:ind w:firstLine="708"/>
        <w:jc w:val="both"/>
      </w:pPr>
      <w:r>
        <w:t xml:space="preserve">По-друге, WebAssembly [60] реалізує ізоляцію конструкцією формату: модуль працює з лінійною пам’яттю, не має вказівників на пам’ять середовища, а звертається назовні лише через імпортовані функції, тож перелік імпортів є його політикою доступу. Проте механізм захищає середовище від модуля, а не модуль від себе: переповнення буфера всередині лінійної пам’яті лишається можливим.</w:t>
      </w:r>
    </w:p>
    <w:p>
      <w:pPr>
        <w:pStyle w:val="Heading2"/>
      </w:pPr>
      <w:r>
        <w:t xml:space="preserve">5.4. Архітектурні антипатерни безпеки</w:t>
      </w:r>
    </w:p>
    <w:p>
      <w:pPr>
        <w:pStyle w:val="Heading3"/>
      </w:pPr>
      <w:r>
        <w:t xml:space="preserve">5.4.1. Типові антипатерни та порушені ними принципи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Антипатерн</w:t>
      </w:r>
      <w:r>
        <w:t xml:space="preserve"> (англ. </w:t>
      </w:r>
      <w:r>
        <w:rPr>
          <w:i/>
          <w:iCs/>
        </w:rPr>
        <w:t xml:space="preserve">anti-pattern</w:t>
      </w:r>
      <w:r>
        <w:t xml:space="preserve">) — типове рішення, що виглядає природним, широко відтворюється й систематично призводить до дефекту (табл. 5.3).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5.3 – Архітектурні антипатерни безпеки та порушені ними принципи [27, 31]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480"/>
        <w:gridCol w:w="4341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Антипатерн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Порушений принцип</w:t>
            </w:r>
          </w:p>
        </w:tc>
        <w:tc>
          <w:tcPr>
            <w:tcW w:type="dxa" w:w="4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Наслідок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Безпека через невідомість як єдиний захід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Відкритий проєкт</w:t>
            </w:r>
          </w:p>
        </w:tc>
        <w:tc>
          <w:tcPr>
            <w:tcW w:type="dxa" w:w="4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Захист зникає з розголошенням адреси службової сторінки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Довіра до даних, отриманих від клієнта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Повне посередництво</w:t>
            </w:r>
          </w:p>
        </w:tc>
        <w:tc>
          <w:tcPr>
            <w:tcW w:type="dxa" w:w="4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Ціна товару у прихованому полі форми, роль без перевірки підпису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прав лише в інтерфейсі користувача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Повне посередництво</w:t>
            </w:r>
          </w:p>
        </w:tc>
        <w:tc>
          <w:tcPr>
            <w:tcW w:type="dxa" w:w="4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Прихована кнопка не заважає звернутися до сервера безпосередньо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Спільний привілейований обліковий запис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Мінімальні привілеї, розділення обов’язків</w:t>
            </w:r>
          </w:p>
        </w:tc>
        <w:tc>
          <w:tcPr>
            <w:tcW w:type="dxa" w:w="4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Неможливо встановити автора дії; відкликання зачіпає всіх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Жорстко закодовані секрети (CWE-798)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Відкритий проєкт, мінімальні привілеї</w:t>
            </w:r>
          </w:p>
        </w:tc>
        <w:tc>
          <w:tcPr>
            <w:tcW w:type="dxa" w:w="4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Ключ поширюється з кодом і лишається в історії репозиторію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«Магічні» параметри та службові режими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Безпечні значення за замовчуванням</w:t>
            </w:r>
          </w:p>
        </w:tc>
        <w:tc>
          <w:tcPr>
            <w:tcW w:type="dxa" w:w="4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Параметр виду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debug=1</w:t>
            </w:r>
            <w:r>
              <w:rPr>
                <w:sz w:val="24"/>
                <w:szCs w:val="24"/>
              </w:rPr>
              <w:t xml:space="preserve"> вмикає обхід перевірок у промисловому середовищі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Невідомість прийнятна як допоміжний захід: нерозголошення будови підвищує вартість розвідки. Неприйнятним є стан, за якого її розголошення позбавляє систему захисту.</w:t>
      </w:r>
    </w:p>
    <w:p>
      <w:pPr>
        <w:pStyle w:val="Heading3"/>
      </w:pPr>
      <w:r>
        <w:t xml:space="preserve">5.4.2. Розбір порушення повного посередництва</w:t>
      </w:r>
    </w:p>
    <w:p>
      <w:pPr>
        <w:spacing w:after="80" w:line="360"/>
        <w:ind w:firstLine="708"/>
        <w:jc w:val="both"/>
      </w:pPr>
      <w:r>
        <w:t xml:space="preserve">Система звітності складається зі шлюзу та кількох сервісів. Шлюз автентифікує користувача за токеном, виданим під час входу, бере роль із твердження токена й передає її в заголовку </w:t>
      </w:r>
      <w:r>
        <w:rPr>
          <w:rFonts w:ascii="Courier New" w:cs="Courier New" w:eastAsia="Courier New" w:hAnsi="Courier New"/>
          <w:sz w:val="24"/>
          <w:szCs w:val="24"/>
        </w:rPr>
        <w:t xml:space="preserve">X-User-Role</w:t>
      </w:r>
      <w:r>
        <w:t xml:space="preserve">; сервіс звітів довіряє заголовку, а правило авторизації прив’язане у шлюзі до маршруту </w:t>
      </w:r>
      <w:r>
        <w:rPr>
          <w:rFonts w:ascii="Courier New" w:cs="Courier New" w:eastAsia="Courier New" w:hAnsi="Courier New"/>
          <w:sz w:val="24"/>
          <w:szCs w:val="24"/>
        </w:rPr>
        <w:t xml:space="preserve">/reports/*</w:t>
      </w:r>
      <w:r>
        <w:t xml:space="preserve">.</w:t>
      </w:r>
    </w:p>
    <w:p>
      <w:pPr>
        <w:spacing w:after="80" w:line="360"/>
        <w:ind w:firstLine="708"/>
        <w:jc w:val="both"/>
      </w:pPr>
      <w:r>
        <w:t xml:space="preserve">Проєкт порушує повне посередництво трьома способами. По-перше, сервіс доступний у кластері безпосередньо, тому звернення повз шлюз оминає механізм захисту, а заголовок може встановити будь-хто. По-друге, рішення ухвалюють за маршрутом, а не за об’єктом, тож аналітик отримує доступ і до чужого звіту. По-третє, роль зафіксовано в токені під час входу, тому її відкликання не діє до кінця строку його дії.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Request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@app.get("/reports/{report_id}")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get_report_v1(report_id: str, request: Request):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рішення ухвалено поза сервісом, ідентичність узята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з заголовка, перевірки прав на конкретний об'єкт немає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request.headers.get("X-User-Role") == "analyst":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storage.load(report_id)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raise Forbidden()</w:t>
      </w:r>
    </w:p>
    <w:p>
      <w:pPr>
        <w:spacing w:after="80" w:line="360"/>
        <w:ind w:firstLine="708"/>
        <w:jc w:val="both"/>
      </w:pPr>
      <w:r>
        <w:t xml:space="preserve">Виправлення полягає не в додаванні ще однієї умови, а в перенесенні посередництва до сервісу й на рівень об’єкта: ідентичність беруть із перевіреного токена, рішення ухвалюють на кожне звернення, а доступ до сховища надають через обгортку, що приймає суб’єкта.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@app.get("/reports/{report_id}")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get_report_v2(report_id: str, request: Request):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ідентичність із перевіреного токена, рішення на кожне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звернення, сховище недоступне в обхід перевірки прав на об'єкт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subject = verify_token(request.headers.get("Authorization"))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report = storage.load_for(subject, report_id)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report is None: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audit.log("access_denied", subject=subject.id, obj=report_id)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Forbidden()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report</w:t>
      </w:r>
    </w:p>
    <w:p>
      <w:pPr>
        <w:spacing w:after="80" w:line="360"/>
        <w:ind w:firstLine="708"/>
        <w:jc w:val="both"/>
      </w:pPr>
      <w:r>
        <w:t xml:space="preserve">Мережева політика має забороняти звернення повз PEP, а заголовок </w:t>
      </w:r>
      <w:r>
        <w:rPr>
          <w:rFonts w:ascii="Courier New" w:cs="Courier New" w:eastAsia="Courier New" w:hAnsi="Courier New"/>
          <w:sz w:val="24"/>
          <w:szCs w:val="24"/>
        </w:rPr>
        <w:t xml:space="preserve">X-User-Role</w:t>
      </w:r>
      <w:r>
        <w:t xml:space="preserve"> — вилучатися на межі системи. Посередництво забезпечує структура шляху даних, а не дисципліна розробників.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Дефект проєктування відрізняється від дефекту кодування вартістю усунення, тому перевірка архітектури за принципами Зальцера і Шредера обов’язкова на цій фазі.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Безпечні значення за замовчуванням і повне посередництво порушуються найчастіше: обидва порушення непомітні під час функціонального тестування.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Глибокий захист дає виграш лише за незалежності рубежів; однотипні перевірки на кількох рівнях зникають одночасно від одного дефекту.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Розмір довіреної обчислювальної бази визначає і очікувану кількість дефектів у ній, і можливість верифікації, тому ізоляція є засобом виведення компонента за межі TCB.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Механізми ізоляції різняться міцністю межі: контейнер над спільним ядром не еквівалентний віртуальній машині; перелік антипатернів слугує контрольним списком під час рецензування архітектури.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Сформулюйте вісім принципів Зальцера і Шредера та вкажіть, який із них відповідає принципу Керкгоффса.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перелік дозволеного безпечніший за перелік забороненого? Наведіть асиметрію наслідків помилки.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Поясніть, чому кешування результату авторизації порушує повне посередництво і за яких умов воно все ж припустиме.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Які три вимоги ставлять до монітора звернень і як вимога малого обсягу пов’язана з економією механізму?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розділення привілеїв і розділення обов’язків: у чому різниця об’єктів, до яких їх застосовують?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станеться з оцінкою за формулою (5.1), якщо рубежі використовують спільну бібліотеку з дефектом?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Наведіть приклад коду, що порушує безпечну відмову, і поясніть, який ризик виникає після його виправлення.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Які припущення покладено в основу архітектури нульової довіри та які класи загроз вона не усуває?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Дайте означення довіреної обчислювальної бази та поясніть, чому дефект поза нею має обмежені наслідки.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контейнер і віртуальну машину як межу безпеки. Для якого сценарію контейнера недостатньо?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перелік імпортів модуля WebAssembly вважають його політикою доступу і від чого ця ізоляція не захищає?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Які зміни в архітектурі з п. 5.4.2 роблять обхід перевірки прав неможливим за конструкцією?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Принцип безпечних значень за замовчуванням вимагає, щоб: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усі налаштування системи були задокументовані;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базовим рішенням була відмова в доступі, а дозвіл надавався явно;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значення за замовчуванням задавав адміністратор;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система відновлювала попередній стан після помилки.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Кешування результату перевірки прав на весь час сесії порушує принцип: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економії механізму;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психологічної прийнятності;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повного посередництва;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відкритого проєкту.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Довірена обчислювальна база — це: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резервна копія конфігурації засобів захисту;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сукупність компонентів, від коректності яких залежить виконання політики безпеки;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перелік довірених кореневих сертифікатів системи;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база даних облікових записів привілейованих користувачів.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Відмінність контейнера від віртуальної машини як межі безпеки в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він не має власної файлової системи;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він використовує спільне ядро, тому вразливість ядра є виходом за межу ізоляції;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він не підтримує обмеження обсягу ресурсів;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він завжди виконується з правами суперкористувача.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Множення ймовірностей подолання рубежів у глибокому захисті коректне за умови: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однакової вартості впровадження рубежів;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розміщення рубежів у різних мережевих сегментах;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статистичної незалежності подій подолання рубежів;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непарної кількості рубежів.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б; 5 – в.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Розширення переліку Зальцера і Шредера у працях М. Бішопа та їх зв’язок із вихідними принципами.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Ядра розділення й мікроядерна архітектура: формально верифіковані ядра і межі такої верифікації.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Апаратні механізми ізоляції: довірені середовища виконання та анклави, склад TCB і атаки через побічні канали.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Керування секретами: сховища секретів, короткочасні облікові дані, автоматичне перевипускання ключів.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Saltzer J. H. The Protection of Information in Computer Systems / J. H. Saltzer, M. D. Schroeder // Proceedings of the IEEE. – 1975. – Vol. 63, № 9. – P. 1278–1308 [39].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Bishop M. Computer Security: Art and Science / M. Bishop. – 2nd ed. – Boston : Addison-Wesley, 2018. – 1440 p. (розд. «Design Principles») [9].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Anderson R. Security Engineering: A Guide to Building Dependable Distributed Systems / R. Anderson. – 3rd ed. – Indianapolis : Wiley, 2020. – 1232 p. (розд. «Access Control») [3].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NIST SP 800-207. Zero Trust Architecture / S. Rose [et al.]. – Gaithersburg : NIST, 2020 (розд. 2) [57].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НД ТЗІ 2.5-004-99. Критерії оцінки захищеності інформації в комп’ютерних системах від несанкціонованого доступу. – Чинний від 01.07.1999. – Розд. 3–4 [14].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5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692d3d9af1d1c0c36ab6194e372793830b1c53.png"/><Relationship Id="rId10" Type="http://schemas.openxmlformats.org/officeDocument/2006/relationships/image" Target="media/97a79d7e3bc1b856b62ed46a9aaf942cfc49286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2026-10-06T23:42:48.649Z</dcterms:created>
  <dcterms:modified xsi:type="dcterms:W3CDTF">2026-10-06T23:42:48.650Z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