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sz w:val="22"/>
          <w:szCs w:val="22"/>
        </w:rPr>
        <w:t xml:space="preserve">КПІ ім. Ігоря Сікорського · ФІОТ · кафедра інформатики та програмної інженерії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Безпека програмного забезпечення</w:t>
      </w:r>
    </w:p>
    <w:p>
      <w:pPr>
        <w:spacing w:after="40"/>
        <w:jc w:val="center"/>
      </w:pPr>
      <w:r>
        <w:rPr>
          <w:i/>
          <w:iCs/>
          <w:sz w:val="22"/>
          <w:szCs w:val="22"/>
        </w:rPr>
        <w:t xml:space="preserve">спеціальність 121 «Інженерія програмного забезпечення», 4 курс</w:t>
      </w:r>
    </w:p>
    <w:p>
      <w:pPr>
        <w:spacing w:after="120"/>
      </w:pPr>
    </w:p>
    <w:p>
      <w:pPr>
        <w:pStyle w:val="Heading1"/>
      </w:pPr>
      <w:r>
        <w:t xml:space="preserve">Лекція 6. Формальні моделі розмежування доступу</w:t>
      </w:r>
    </w:p>
    <w:p>
      <w:pPr>
        <w:pStyle w:val="Heading2"/>
      </w:pPr>
      <w:r>
        <w:t xml:space="preserve">План лекції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Матрична модель доступу та проблема безпеки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Мандатні моделі конфіденційності: ADEPT-50 і Белла–ЛаПадули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Моделі цілісності: Біби та Кларка–Вілсона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Ґраткова модель потоків інформації, моделі спеціального призначення та критерії захищеності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Ключові слова:</w:t>
      </w:r>
      <w:r>
        <w:t xml:space="preserve"> матриця доступу, монітор звернень, проблема безпеки, витік права, мандатне розмежування доступу, мітка безпеки, ґратка, зіркова властивість, обмежений елемент даних, потік інформації.</w:t>
      </w:r>
    </w:p>
    <w:p>
      <w:pPr>
        <w:pStyle w:val="Heading2"/>
      </w:pPr>
      <w:r>
        <w:t xml:space="preserve">6.1. Матрична модель доступу та проблема безпеки</w:t>
      </w:r>
    </w:p>
    <w:p>
      <w:pPr>
        <w:pStyle w:val="Heading3"/>
      </w:pPr>
      <w:r>
        <w:t xml:space="preserve">6.1.1. Матриця доступу і монітор звернень</w:t>
      </w:r>
    </w:p>
    <w:p>
      <w:pPr>
        <w:spacing w:after="80" w:line="360"/>
        <w:ind w:firstLine="708"/>
        <w:jc w:val="both"/>
      </w:pPr>
      <w:r>
        <w:t xml:space="preserve">Лекція 5 подала принципи, за якими перевіряють архітектуру; ця — апарат, що перетворює політику доступу на властивість, придатну до доведення. Перелік правил не відповідає на питання, чи існує послідовність дозволених дій, після якої право дістане той, кому його ніхто не надавав.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Формальна модель розмежування доступу</w:t>
      </w:r>
      <w:r>
        <w:t xml:space="preserve"> (англ. </w:t>
      </w:r>
      <w:r>
        <w:rPr>
          <w:i/>
          <w:iCs/>
        </w:rPr>
        <w:t xml:space="preserve">access control model</w:t>
      </w:r>
      <w:r>
        <w:t xml:space="preserve">) — математичний опис станів системи захисту, правил переходу між ними та властивості, яку ці правила зберігають. Вона замінює перевірку прикладами доведенням: властивість, збережена кожним правилом, виконується в кожному досяжному стані [9]. Доведення стосується моделі, а не програми: воно чинне, поки реалізація їй відповідає й описує всі канали передавання (п. 6.2.2).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Суб’єкт</w:t>
      </w:r>
      <w:r>
        <w:t xml:space="preserve"> (англ. </w:t>
      </w:r>
      <w:r>
        <w:rPr>
          <w:i/>
          <w:iCs/>
        </w:rPr>
        <w:t xml:space="preserve">subject</w:t>
      </w:r>
      <w:r>
        <w:t xml:space="preserve">) — активна сутність, що ініціює доступ, </w:t>
      </w:r>
      <w:r>
        <w:rPr>
          <w:i/>
          <w:iCs/>
        </w:rPr>
        <w:t xml:space="preserve">об’єкт</w:t>
      </w:r>
      <w:r>
        <w:t xml:space="preserve"> (англ. </w:t>
      </w:r>
      <w:r>
        <w:rPr>
          <w:i/>
          <w:iCs/>
        </w:rPr>
        <w:t xml:space="preserve">object</w:t>
      </w:r>
      <w:r>
        <w:t xml:space="preserve">) — пасивна, до якої звертаються, </w:t>
      </w:r>
      <w:r>
        <w:rPr>
          <w:i/>
          <w:iCs/>
        </w:rPr>
        <w:t xml:space="preserve">право доступу</w:t>
      </w:r>
      <w:r>
        <w:t xml:space="preserve"> (англ. </w:t>
      </w:r>
      <w:r>
        <w:rPr>
          <w:i/>
          <w:iCs/>
        </w:rPr>
        <w:t xml:space="preserve">access right</w:t>
      </w:r>
      <w:r>
        <w:t xml:space="preserve">) — вид операції. Стан системи захисту описують трійкою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Q = (S, O, M)</w:t>
      </w:r>
      <w:r>
        <w:t xml:space="preserve">	(6.1)</w:t>
      </w:r>
    </w:p>
    <w:p>
      <w:pPr>
        <w:spacing w:after="80" w:line="360"/>
        <w:ind w:firstLine="708"/>
        <w:jc w:val="both"/>
      </w:pPr>
      <w:r>
        <w:t xml:space="preserve">S — множина суб’єктів, O — об’єктів (S ⊆ O), R — прав, M — </w:t>
      </w:r>
      <w:r>
        <w:rPr>
          <w:i/>
          <w:iCs/>
        </w:rPr>
        <w:t xml:space="preserve">матриця доступу</w:t>
      </w:r>
      <w:r>
        <w:t xml:space="preserve"> (англ. </w:t>
      </w:r>
      <w:r>
        <w:rPr>
          <w:i/>
          <w:iCs/>
        </w:rPr>
        <w:t xml:space="preserve">access matrix</w:t>
      </w:r>
      <w:r>
        <w:t xml:space="preserve">), комірка якої M[s, o] ⊆ R. Рядок матриці — </w:t>
      </w:r>
      <w:r>
        <w:rPr>
          <w:i/>
          <w:iCs/>
        </w:rPr>
        <w:t xml:space="preserve">вектор прав</w:t>
      </w:r>
      <w:r>
        <w:t xml:space="preserve"> суб’єкта (англ. </w:t>
      </w:r>
      <w:r>
        <w:rPr>
          <w:i/>
          <w:iCs/>
        </w:rPr>
        <w:t xml:space="preserve">capability list</w:t>
      </w:r>
      <w:r>
        <w:t xml:space="preserve">), стовпець — список допущених суб’єктів (англ. </w:t>
      </w:r>
      <w:r>
        <w:rPr>
          <w:i/>
          <w:iCs/>
        </w:rPr>
        <w:t xml:space="preserve">access control list</w:t>
      </w:r>
      <w:r>
        <w:t xml:space="preserve">); від способу зберігання залежить вартість відкликання права (лекція 7).</w:t>
      </w:r>
    </w:p>
    <w:p>
      <w:pPr>
        <w:spacing w:after="80" w:line="360"/>
        <w:ind w:firstLine="708"/>
        <w:jc w:val="both"/>
      </w:pPr>
      <w:r>
        <w:t xml:space="preserve">Матриця описує дозволи, але не забезпечує їх — це робить монітор звернень (п. 5.1; у НД ТЗІ — диспетчер доступу) [53], через який проходить кожне звернення (рис. 6.1): його вимоги перетворюють матрицю з опису на інваріант, а придатний до верифікації обсяг робить можливим доведення.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6.1. Матриця доступу і монітор звернень на шляху звернення</w:t>
      </w:r>
    </w:p>
    <w:p>
      <w:pPr>
        <w:pStyle w:val="Heading3"/>
      </w:pPr>
      <w:r>
        <w:t xml:space="preserve">6.1.2. Команди HRU і проблема безпеки</w:t>
      </w:r>
    </w:p>
    <w:p>
      <w:pPr>
        <w:spacing w:after="80" w:line="360"/>
        <w:ind w:firstLine="708"/>
        <w:jc w:val="both"/>
      </w:pPr>
      <w:r>
        <w:t xml:space="preserve">Модель М. Гаррісона, В. Руззо та Дж. Ульмана [43] (HRU) додає правила зміни матриці: кожна зміна стану будується з примітивних операцій шести видів (табл. 6.1).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6.1 – Примітивні операції моделі HRU [43]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34"/>
        <w:gridCol w:w="5787"/>
      </w:tblGrid>
      <w:tr>
        <w:trPr>
          <w:cantSplit/>
          <w:tblHeader/>
        </w:trPr>
        <w:tc>
          <w:tcPr>
            <w:tcW w:type="dxa" w:w="4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Примітивна операція</w:t>
            </w:r>
          </w:p>
        </w:tc>
        <w:tc>
          <w:tcPr>
            <w:tcW w:type="dxa" w:w="57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Дія над станом</w:t>
            </w:r>
          </w:p>
        </w:tc>
      </w:tr>
      <w:tr>
        <w:trPr>
          <w:cantSplit/>
          <w:tblHeader w:val="false"/>
        </w:trPr>
        <w:tc>
          <w:tcPr>
            <w:tcW w:type="dxa" w:w="4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enter r into M[s, o]</w:t>
            </w:r>
          </w:p>
        </w:tc>
        <w:tc>
          <w:tcPr>
            <w:tcW w:type="dxa" w:w="57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M[s, o] := M[s, o] ∪ {r}</w:t>
            </w:r>
          </w:p>
        </w:tc>
      </w:tr>
      <w:tr>
        <w:trPr>
          <w:cantSplit/>
          <w:tblHeader w:val="false"/>
        </w:trPr>
        <w:tc>
          <w:tcPr>
            <w:tcW w:type="dxa" w:w="4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delete r from M[s, o]</w:t>
            </w:r>
          </w:p>
        </w:tc>
        <w:tc>
          <w:tcPr>
            <w:tcW w:type="dxa" w:w="57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M[s, o] := M[s, o] \ {r}</w:t>
            </w:r>
          </w:p>
        </w:tc>
      </w:tr>
      <w:tr>
        <w:trPr>
          <w:cantSplit/>
          <w:tblHeader w:val="false"/>
        </w:trPr>
        <w:tc>
          <w:tcPr>
            <w:tcW w:type="dxa" w:w="4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create subject s</w:t>
            </w:r>
          </w:p>
        </w:tc>
        <w:tc>
          <w:tcPr>
            <w:tcW w:type="dxa" w:w="57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 := S ∪ {s}, порожні рядок і стовпець</w:t>
            </w:r>
          </w:p>
        </w:tc>
      </w:tr>
      <w:tr>
        <w:trPr>
          <w:cantSplit/>
          <w:tblHeader w:val="false"/>
        </w:trPr>
        <w:tc>
          <w:tcPr>
            <w:tcW w:type="dxa" w:w="4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create object o</w:t>
            </w:r>
          </w:p>
        </w:tc>
        <w:tc>
          <w:tcPr>
            <w:tcW w:type="dxa" w:w="57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O := O ∪ {o}, порожній стовпець</w:t>
            </w:r>
          </w:p>
        </w:tc>
      </w:tr>
      <w:tr>
        <w:trPr>
          <w:cantSplit/>
          <w:tblHeader w:val="false"/>
        </w:trPr>
        <w:tc>
          <w:tcPr>
            <w:tcW w:type="dxa" w:w="4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destroy subject s</w:t>
            </w:r>
          </w:p>
        </w:tc>
        <w:tc>
          <w:tcPr>
            <w:tcW w:type="dxa" w:w="57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вилучення рядка й стовпця</w:t>
            </w:r>
          </w:p>
        </w:tc>
      </w:tr>
      <w:tr>
        <w:trPr>
          <w:cantSplit/>
          <w:tblHeader w:val="false"/>
        </w:trPr>
        <w:tc>
          <w:tcPr>
            <w:tcW w:type="dxa" w:w="4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destroy object o</w:t>
            </w:r>
          </w:p>
        </w:tc>
        <w:tc>
          <w:tcPr>
            <w:tcW w:type="dxa" w:w="57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вилучення стовпця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Окремо вони не виконуються: їх групують у команди виду </w:t>
      </w:r>
      <w:r>
        <w:rPr>
          <w:rFonts w:ascii="Courier New" w:cs="Courier New" w:eastAsia="Courier New" w:hAnsi="Courier New"/>
          <w:sz w:val="24"/>
          <w:szCs w:val="24"/>
        </w:rPr>
        <w:t xml:space="preserve">command α(x1, …, xk) if r1 ∈ M[xs, xo] and … then op1; …; opn end</w:t>
      </w:r>
      <w:r>
        <w:t xml:space="preserve">, де s та o — номери параметрів серед x1, …, xk: умова перевіряє наявні права, тіло змінює матрицю. Політику передавання задають саме команди: </w:t>
      </w:r>
      <w:r>
        <w:rPr>
          <w:rFonts w:ascii="Courier New" w:cs="Courier New" w:eastAsia="Courier New" w:hAnsi="Courier New"/>
          <w:sz w:val="24"/>
          <w:szCs w:val="24"/>
        </w:rPr>
        <w:t xml:space="preserve">own ∈ M[s, f]</w:t>
      </w:r>
      <w:r>
        <w:t xml:space="preserve"> дозволяє поділитися правом лише власникові, а </w:t>
      </w:r>
      <w:r>
        <w:rPr>
          <w:rFonts w:ascii="Courier New" w:cs="Courier New" w:eastAsia="Courier New" w:hAnsi="Courier New"/>
          <w:sz w:val="24"/>
          <w:szCs w:val="24"/>
        </w:rPr>
        <w:t xml:space="preserve">read ∈ M[s, f]</w:t>
      </w:r>
      <w:r>
        <w:t xml:space="preserve"> робить джерелом права кожного одержувача.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Проблема безпеки</w:t>
      </w:r>
      <w:r>
        <w:t xml:space="preserve"> (англ. </w:t>
      </w:r>
      <w:r>
        <w:rPr>
          <w:i/>
          <w:iCs/>
        </w:rPr>
        <w:t xml:space="preserve">safety problem</w:t>
      </w:r>
      <w:r>
        <w:t xml:space="preserve">): стан Q</w:t>
      </w:r>
      <w:r>
        <w:rPr>
          <w:vertAlign w:val="subscript"/>
        </w:rPr>
        <w:t xml:space="preserve">0</w:t>
      </w:r>
      <w:r>
        <w:t xml:space="preserve"> безпечний відносно права r, якщо жодна скінченна послідовність команд не приводить до стану, де r з’явиться в комірці, яка не містила його в Q</w:t>
      </w:r>
      <w:r>
        <w:rPr>
          <w:vertAlign w:val="subscript"/>
        </w:rPr>
        <w:t xml:space="preserve">0</w:t>
      </w:r>
      <w:r>
        <w:t xml:space="preserve">; такий перехід — </w:t>
      </w:r>
      <w:r>
        <w:rPr>
          <w:i/>
          <w:iCs/>
        </w:rPr>
        <w:t xml:space="preserve">витік права</w:t>
      </w:r>
      <w:r>
        <w:t xml:space="preserve"> (англ. </w:t>
      </w:r>
      <w:r>
        <w:rPr>
          <w:i/>
          <w:iCs/>
        </w:rPr>
        <w:t xml:space="preserve">leak</w:t>
      </w:r>
      <w:r>
        <w:t xml:space="preserve">).</w:t>
      </w:r>
    </w:p>
    <w:p>
      <w:pPr>
        <w:spacing w:after="80" w:line="360"/>
        <w:ind w:firstLine="708"/>
        <w:jc w:val="both"/>
      </w:pPr>
      <w:r>
        <w:t xml:space="preserve">Теорема HRU [43]: у загальному випадку проблема нерозв’язна, бо довільна система HRU моделює машину Тюрінга, а витік зводиться до проблеми зупинки; для моноопераційних систем, де команда містить одну примітивну операцію, вона розв’язна, проте NP-повна. Отже, універсального аналізатора розширення прав немає: або обмежують виразність правил передавання, звужуючи множину досяжних станів, або переходять до перевірки за мітками (п. 6.2).</w:t>
      </w:r>
    </w:p>
    <w:p>
      <w:pPr>
        <w:pStyle w:val="Heading2"/>
      </w:pPr>
      <w:r>
        <w:t xml:space="preserve">6.2. Мандатні моделі конфіденційності: ADEPT-50 і Белла–ЛаПадули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Дискреційне розмежування доступу</w:t>
      </w:r>
      <w:r>
        <w:t xml:space="preserve"> (англ. </w:t>
      </w:r>
      <w:r>
        <w:rPr>
          <w:i/>
          <w:iCs/>
        </w:rPr>
        <w:t xml:space="preserve">discretionary access control</w:t>
      </w:r>
      <w:r>
        <w:t xml:space="preserve">, DAC) віддає рішення власникові об’єкта, тому система не відрізняє «користувач передав дані» від «це зробила програма»: троянська програма (англ. </w:t>
      </w:r>
      <w:r>
        <w:rPr>
          <w:i/>
          <w:iCs/>
        </w:rPr>
        <w:t xml:space="preserve">Trojan horse</w:t>
      </w:r>
      <w:r>
        <w:t xml:space="preserve">), запущена допущеною особою, законно читає таємний файл і копіює його в загальнодоступний. </w:t>
      </w:r>
      <w:r>
        <w:rPr>
          <w:i/>
          <w:iCs/>
        </w:rPr>
        <w:t xml:space="preserve">Мандатне розмежування доступу</w:t>
      </w:r>
      <w:r>
        <w:t xml:space="preserve"> (англ. </w:t>
      </w:r>
      <w:r>
        <w:rPr>
          <w:i/>
          <w:iCs/>
        </w:rPr>
        <w:t xml:space="preserve">mandatory access control</w:t>
      </w:r>
      <w:r>
        <w:t xml:space="preserve">, MAC) усуває загрозу: правило задає система за мітками, і власник його не скасує.</w:t>
      </w:r>
    </w:p>
    <w:p>
      <w:pPr>
        <w:pStyle w:val="Heading3"/>
      </w:pPr>
      <w:r>
        <w:t xml:space="preserve">6.2.1. Модель ADEPT-50</w:t>
      </w:r>
    </w:p>
    <w:p>
      <w:pPr>
        <w:spacing w:after="80" w:line="360"/>
        <w:ind w:firstLine="708"/>
        <w:jc w:val="both"/>
      </w:pPr>
      <w:r>
        <w:t xml:space="preserve">Модель К. Вайссмана [45] у системі розподілу часу ADEPT-50 (1969 р.) уперше пов’язала мітку з історією обчислення. Користувачеві u, терміналу t, завданню j і файлу f приписано профіль із трьох властивостей: </w:t>
      </w:r>
      <w:r>
        <w:rPr>
          <w:i/>
          <w:iCs/>
        </w:rPr>
        <w:t xml:space="preserve">авторитет</w:t>
      </w:r>
      <w:r>
        <w:t xml:space="preserve"> A (англ. </w:t>
      </w:r>
      <w:r>
        <w:rPr>
          <w:i/>
          <w:iCs/>
        </w:rPr>
        <w:t xml:space="preserve">authority</w:t>
      </w:r>
      <w:r>
        <w:t xml:space="preserve">) — рівень допуску, </w:t>
      </w:r>
      <w:r>
        <w:rPr>
          <w:i/>
          <w:iCs/>
        </w:rPr>
        <w:t xml:space="preserve">категорія</w:t>
      </w:r>
      <w:r>
        <w:t xml:space="preserve"> C (англ. </w:t>
      </w:r>
      <w:r>
        <w:rPr>
          <w:i/>
          <w:iCs/>
        </w:rPr>
        <w:t xml:space="preserve">category</w:t>
      </w:r>
      <w:r>
        <w:t xml:space="preserve">) — множина рубрик, </w:t>
      </w:r>
      <w:r>
        <w:rPr>
          <w:i/>
          <w:iCs/>
        </w:rPr>
        <w:t xml:space="preserve">франшиза</w:t>
      </w:r>
      <w:r>
        <w:t xml:space="preserve"> F (англ. </w:t>
      </w:r>
      <w:r>
        <w:rPr>
          <w:i/>
          <w:iCs/>
        </w:rPr>
        <w:t xml:space="preserve">franchise</w:t>
      </w:r>
      <w:r>
        <w:t xml:space="preserve">) — множина допущених користувачів. Рівень доступу завдання обчислюють як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A(j) = min(A(u), A(t)), C(j) = C(u) ∩ C(t), F(j) = {u}</w:t>
      </w:r>
      <w:r>
        <w:t xml:space="preserve">	(6.2)</w:t>
      </w:r>
    </w:p>
    <w:p>
      <w:pPr>
        <w:spacing w:after="80" w:line="360"/>
        <w:ind w:firstLine="708"/>
        <w:jc w:val="both"/>
      </w:pPr>
      <w:r>
        <w:t xml:space="preserve">Доступ до файлу f завдання дістає, якщо A(f) ≤ A(j), C(f) ⊆ C(j) і u ∈ F(f); урахування терміналу — рання форма контексту звернення (п. 5.2). Другий внесок — позначка верхньої межі (англ. </w:t>
      </w:r>
      <w:r>
        <w:rPr>
          <w:i/>
          <w:iCs/>
        </w:rPr>
        <w:t xml:space="preserve">high-water mark</w:t>
      </w:r>
      <w:r>
        <w:t xml:space="preserve">): окрема змінна завдання зростає до найвищого грифа прочитаних даних, і саме її дістає кожен створений файл, тоді як право доступу лишається рівним min(A(u), A(t)). Зниження грифа копіюванням тому неможливе, проте позначка зростає монотонно, а гриф — переоцінюється.</w:t>
      </w:r>
    </w:p>
    <w:p>
      <w:pPr>
        <w:pStyle w:val="Heading3"/>
      </w:pPr>
      <w:r>
        <w:t xml:space="preserve">6.2.2. Модель Белла–ЛаПадули</w:t>
      </w:r>
    </w:p>
    <w:p>
      <w:pPr>
        <w:spacing w:after="80" w:line="360"/>
        <w:ind w:firstLine="708"/>
        <w:jc w:val="both"/>
      </w:pPr>
      <w:r>
        <w:t xml:space="preserve">Модель Д. Белла і Л. ЛаПадули [40] — базова мандатна модель конфіденційності. Кожній сутності приписано </w:t>
      </w:r>
      <w:r>
        <w:rPr>
          <w:i/>
          <w:iCs/>
        </w:rPr>
        <w:t xml:space="preserve">мітку безпеки</w:t>
      </w:r>
      <w:r>
        <w:t xml:space="preserve"> (англ. </w:t>
      </w:r>
      <w:r>
        <w:rPr>
          <w:i/>
          <w:iCs/>
        </w:rPr>
        <w:t xml:space="preserve">security label</w:t>
      </w:r>
      <w:r>
        <w:t xml:space="preserve">) L = (c, K), де c — класифікація з упорядкованої шкали, K — множина категорій. Мітка L</w:t>
      </w:r>
      <w:r>
        <w:rPr>
          <w:vertAlign w:val="subscript"/>
        </w:rPr>
        <w:t xml:space="preserve">1</w:t>
      </w:r>
      <w:r>
        <w:t xml:space="preserve"> </w:t>
      </w:r>
      <w:r>
        <w:rPr>
          <w:i/>
          <w:iCs/>
        </w:rPr>
        <w:t xml:space="preserve">домінує</w:t>
      </w:r>
      <w:r>
        <w:t xml:space="preserve"> (англ. </w:t>
      </w:r>
      <w:r>
        <w:rPr>
          <w:i/>
          <w:iCs/>
        </w:rPr>
        <w:t xml:space="preserve">dominates</w:t>
      </w:r>
      <w:r>
        <w:t xml:space="preserve">) над L</w:t>
      </w:r>
      <w:r>
        <w:rPr>
          <w:vertAlign w:val="subscript"/>
        </w:rPr>
        <w:t xml:space="preserve">2</w:t>
      </w:r>
      <w:r>
        <w:t xml:space="preserve"> (позначають L</w:t>
      </w:r>
      <w:r>
        <w:rPr>
          <w:vertAlign w:val="subscript"/>
        </w:rPr>
        <w:t xml:space="preserve">1</w:t>
      </w:r>
      <w:r>
        <w:t xml:space="preserve"> ≥ L</w:t>
      </w:r>
      <w:r>
        <w:rPr>
          <w:vertAlign w:val="subscript"/>
        </w:rPr>
        <w:t xml:space="preserve">2</w:t>
      </w:r>
      <w:r>
        <w:t xml:space="preserve">), якщо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1</w:t>
      </w:r>
      <w:r>
        <w:rPr>
          <w:i/>
          <w:iCs/>
        </w:rPr>
        <w:t xml:space="preserve"> ≥ c</w:t>
      </w:r>
      <w:r>
        <w:rPr>
          <w:i/>
          <w:iCs/>
          <w:vertAlign w:val="subscript"/>
        </w:rPr>
        <w:t xml:space="preserve">2</w:t>
      </w:r>
      <w:r>
        <w:rPr>
          <w:i/>
          <w:iCs/>
        </w:rPr>
        <w:t xml:space="preserve">, K</w:t>
      </w:r>
      <w:r>
        <w:rPr>
          <w:i/>
          <w:iCs/>
          <w:vertAlign w:val="subscript"/>
        </w:rPr>
        <w:t xml:space="preserve">1</w:t>
      </w:r>
      <w:r>
        <w:rPr>
          <w:i/>
          <w:iCs/>
        </w:rPr>
        <w:t xml:space="preserve"> ⊇ K</w:t>
      </w:r>
      <w:r>
        <w:rPr>
          <w:i/>
          <w:iCs/>
          <w:vertAlign w:val="subscript"/>
        </w:rPr>
        <w:t xml:space="preserve">2</w:t>
      </w:r>
      <w:r>
        <w:t xml:space="preserve">	(6.3)</w:t>
      </w:r>
    </w:p>
    <w:p>
      <w:pPr>
        <w:spacing w:after="80" w:line="360"/>
        <w:ind w:firstLine="708"/>
        <w:jc w:val="both"/>
      </w:pPr>
      <w:r>
        <w:t xml:space="preserve">Це частковий порядок: мітки з незрівнянними наборами категорій непорівнянні, а з операціями верхньої та нижньої межі утворюють </w:t>
      </w:r>
      <w:r>
        <w:rPr>
          <w:i/>
          <w:iCs/>
        </w:rPr>
        <w:t xml:space="preserve">ґратку</w:t>
      </w:r>
      <w:r>
        <w:t xml:space="preserve"> (англ. </w:t>
      </w:r>
      <w:r>
        <w:rPr>
          <w:i/>
          <w:iCs/>
        </w:rPr>
        <w:t xml:space="preserve">lattice</w:t>
      </w:r>
      <w:r>
        <w:t xml:space="preserve">). Модель постулює три властивості: </w:t>
      </w:r>
      <w:r>
        <w:rPr>
          <w:i/>
          <w:iCs/>
        </w:rPr>
        <w:t xml:space="preserve">проста властивість безпеки</w:t>
      </w:r>
      <w:r>
        <w:t xml:space="preserve"> (англ. </w:t>
      </w:r>
      <w:r>
        <w:rPr>
          <w:i/>
          <w:iCs/>
        </w:rPr>
        <w:t xml:space="preserve">simple security property</w:t>
      </w:r>
      <w:r>
        <w:t xml:space="preserve">) дозволяє читання лише за L(s) ≥ L(o) — заборона читання вгору (англ. </w:t>
      </w:r>
      <w:r>
        <w:rPr>
          <w:i/>
          <w:iCs/>
        </w:rPr>
        <w:t xml:space="preserve">no read up</w:t>
      </w:r>
      <w:r>
        <w:t xml:space="preserve">); </w:t>
      </w:r>
      <w:r>
        <w:rPr>
          <w:i/>
          <w:iCs/>
        </w:rPr>
        <w:t xml:space="preserve">зіркова властивість</w:t>
      </w:r>
      <w:r>
        <w:t xml:space="preserve"> (англ. </w:t>
      </w:r>
      <w:r>
        <w:rPr>
          <w:i/>
          <w:iCs/>
        </w:rPr>
        <w:t xml:space="preserve">star property</w:t>
      </w:r>
      <w:r>
        <w:t xml:space="preserve">) дозволяє запис лише за L(o) ≥ L(s) — заборона запису вниз (англ. </w:t>
      </w:r>
      <w:r>
        <w:rPr>
          <w:i/>
          <w:iCs/>
        </w:rPr>
        <w:t xml:space="preserve">no write down</w:t>
      </w:r>
      <w:r>
        <w:t xml:space="preserve">); </w:t>
      </w:r>
      <w:r>
        <w:rPr>
          <w:i/>
          <w:iCs/>
        </w:rPr>
        <w:t xml:space="preserve">властивість дискреційної безпеки</w:t>
      </w:r>
      <w:r>
        <w:t xml:space="preserve"> (англ. </w:t>
      </w:r>
      <w:r>
        <w:rPr>
          <w:i/>
          <w:iCs/>
        </w:rPr>
        <w:t xml:space="preserve">discretionary security property</w:t>
      </w:r>
      <w:r>
        <w:t xml:space="preserve">) вимагає, щоб операцію дозволяла й матриця доступу.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Теорема базової безпеки</w:t>
      </w:r>
      <w:r>
        <w:t xml:space="preserve"> (англ. </w:t>
      </w:r>
      <w:r>
        <w:rPr>
          <w:i/>
          <w:iCs/>
        </w:rPr>
        <w:t xml:space="preserve">Basic Security Theorem</w:t>
      </w:r>
      <w:r>
        <w:t xml:space="preserve">): якщо початковий стан задовольняє три властивості й кожен перехід їх зберігає, їх задовольняє будь-який досяжний стан — перевірка нескінченної множини станів зводиться до одного переходу. Правил переходу теорема не обмежує, тому додають правило спокою (англ. </w:t>
      </w:r>
      <w:r>
        <w:rPr>
          <w:i/>
          <w:iCs/>
        </w:rPr>
        <w:t xml:space="preserve">tranquility</w:t>
      </w:r>
      <w:r>
        <w:t xml:space="preserve">): мітки активних суб’єктів і об’єктів не змінюють.</w:t>
      </w:r>
    </w:p>
    <w:p>
      <w:pPr>
        <w:spacing w:after="80" w:line="360"/>
        <w:ind w:firstLine="708"/>
        <w:jc w:val="both"/>
      </w:pPr>
      <w:r>
        <w:t xml:space="preserve">Числовий приклад. Класифікації — від 0 (несекретно) до 3 (цілком таємно), категорії — {ФІН, КАДР}, суб’єкт s має мітку (2, {ФІН}); звернення перевірено в табл. 6.2.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6.2 – Перевірка доступів за моделлю Белла–ЛаПадули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4"/>
        <w:gridCol w:w="1984"/>
        <w:gridCol w:w="2976"/>
        <w:gridCol w:w="2977"/>
      </w:tblGrid>
      <w:tr>
        <w:trPr>
          <w:cantSplit/>
          <w:tblHeader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Об’єкт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Мітка</w:t>
            </w:r>
          </w:p>
        </w:tc>
        <w:tc>
          <w:tcPr>
            <w:tcW w:type="dxa" w:w="2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Читання: L(s) ≥ L(o)</w:t>
            </w:r>
          </w:p>
        </w:tc>
        <w:tc>
          <w:tcPr>
            <w:tcW w:type="dxa" w:w="29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Запис: L(o) ≥ L(s)</w:t>
            </w:r>
          </w:p>
        </w:tc>
      </w:tr>
      <w:tr>
        <w:trPr>
          <w:cantSplit/>
          <w:tblHeader w:val="false"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Звіт відділу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(1, {ФІН})</w:t>
            </w:r>
          </w:p>
        </w:tc>
        <w:tc>
          <w:tcPr>
            <w:tcW w:type="dxa" w:w="2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2 ≥ 1, {ФІН} ⊇ {ФІН} — так</w:t>
            </w:r>
          </w:p>
        </w:tc>
        <w:tc>
          <w:tcPr>
            <w:tcW w:type="dxa" w:w="29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1 ≥ 2 хибне — ні</w:t>
            </w:r>
          </w:p>
        </w:tc>
      </w:tr>
      <w:tr>
        <w:trPr>
          <w:cantSplit/>
          <w:tblHeader w:val="false"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Кадрова довідка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(1, {КАДР})</w:t>
            </w:r>
          </w:p>
        </w:tc>
        <w:tc>
          <w:tcPr>
            <w:tcW w:type="dxa" w:w="2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{ФІН} ⊇ {КАДР} хибне — ні</w:t>
            </w:r>
          </w:p>
        </w:tc>
        <w:tc>
          <w:tcPr>
            <w:tcW w:type="dxa" w:w="29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{КАДР} ⊇ {ФІН} — ні</w:t>
            </w:r>
          </w:p>
        </w:tc>
      </w:tr>
      <w:tr>
        <w:trPr>
          <w:cantSplit/>
          <w:tblHeader w:val="false"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Зведення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(3, {ФІН, КАДР})</w:t>
            </w:r>
          </w:p>
        </w:tc>
        <w:tc>
          <w:tcPr>
            <w:tcW w:type="dxa" w:w="2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2 ≥ 3 хибне — ні</w:t>
            </w:r>
          </w:p>
        </w:tc>
        <w:tc>
          <w:tcPr>
            <w:tcW w:type="dxa" w:w="29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3 ≥ 2, {ФІН, КАДР} ⊇ {ФІН} — так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Категорії діють незалежно від рівня: найвищий допуск не відкриє кадрової довідки без потрібної рубрики. Запис у зведення дозволено, хоча читати його суб’єкт не може: це </w:t>
      </w:r>
      <w:r>
        <w:rPr>
          <w:i/>
          <w:iCs/>
        </w:rPr>
        <w:t xml:space="preserve">проблема сліпого запису</w:t>
      </w:r>
      <w:r>
        <w:t xml:space="preserve"> (англ. </w:t>
      </w:r>
      <w:r>
        <w:rPr>
          <w:i/>
          <w:iCs/>
        </w:rPr>
        <w:t xml:space="preserve">blind write</w:t>
      </w:r>
      <w:r>
        <w:t xml:space="preserve">) — конфіденційність забезпечено коштом цілісності, звідси моделі п. 6.3.</w:t>
      </w:r>
    </w:p>
    <w:p>
      <w:pPr>
        <w:spacing w:after="80" w:line="360"/>
        <w:ind w:firstLine="708"/>
        <w:jc w:val="both"/>
      </w:pPr>
      <w:r>
        <w:t xml:space="preserve">Реалізація потребує </w:t>
      </w:r>
      <w:r>
        <w:rPr>
          <w:i/>
          <w:iCs/>
        </w:rPr>
        <w:t xml:space="preserve">довірених суб’єктів</w:t>
      </w:r>
      <w:r>
        <w:t xml:space="preserve"> (англ. </w:t>
      </w:r>
      <w:r>
        <w:rPr>
          <w:i/>
          <w:iCs/>
        </w:rPr>
        <w:t xml:space="preserve">trusted subjects</w:t>
      </w:r>
      <w:r>
        <w:t xml:space="preserve">), звільнених від зіркової властивості задля зниження рівня (розсекречення, друк, шлюз); вони належать до довіреної обчислювальної бази (п. 5.3), а їх кількість — міра залишкової довіри. Модель описує потоки лише через штатні операції, тому не бачить прихованих каналів. </w:t>
      </w:r>
      <w:r>
        <w:rPr>
          <w:i/>
          <w:iCs/>
        </w:rPr>
        <w:t xml:space="preserve">Прихований канал</w:t>
      </w:r>
      <w:r>
        <w:t xml:space="preserve"> (англ. </w:t>
      </w:r>
      <w:r>
        <w:rPr>
          <w:i/>
          <w:iCs/>
        </w:rPr>
        <w:t xml:space="preserve">covert channel</w:t>
      </w:r>
      <w:r>
        <w:t xml:space="preserve">) — не передбачений політикою шлях передавання через спільний ресурс: вміст пам’яті (канал за пам’яттю) або час реакції системи (канал за часом). Звідси відома вада моделі: порушник із низьким допуском не порушує жодної властивості, бо законно записує «вгору» програму-закладку, яку запускає допущений користувач, а дані виходять прихованим каналом (п. 6.4.3).</w:t>
      </w:r>
    </w:p>
    <w:p>
      <w:pPr>
        <w:pStyle w:val="Heading2"/>
      </w:pPr>
      <w:r>
        <w:t xml:space="preserve">6.3. Моделі цілісності: Біби та Кларка–Вілсона</w:t>
      </w:r>
    </w:p>
    <w:p>
      <w:pPr>
        <w:pStyle w:val="Heading3"/>
      </w:pPr>
      <w:r>
        <w:t xml:space="preserve">6.3.1. Модель Біби</w:t>
      </w:r>
    </w:p>
    <w:p>
      <w:pPr>
        <w:spacing w:after="80" w:line="360"/>
        <w:ind w:firstLine="708"/>
        <w:jc w:val="both"/>
      </w:pPr>
      <w:r>
        <w:t xml:space="preserve">К. Біба [41] запропонував модель, дуальну до попередньої: кожній сутності приписують </w:t>
      </w:r>
      <w:r>
        <w:rPr>
          <w:i/>
          <w:iCs/>
        </w:rPr>
        <w:t xml:space="preserve">рівень цілісності</w:t>
      </w:r>
      <w:r>
        <w:t xml:space="preserve"> (англ. </w:t>
      </w:r>
      <w:r>
        <w:rPr>
          <w:i/>
          <w:iCs/>
        </w:rPr>
        <w:t xml:space="preserve">integrity level</w:t>
      </w:r>
      <w:r>
        <w:t xml:space="preserve">) I — міру довіри до її джерела. Загроза, від якої вона захищає, — забруднення: потрапляння даних сумнівного походження у процес, від якого залежать рішення. Правила строгої політики симетричні: читання дозволене за I(o) ≥ I(s) (заборона читання вниз), запис — за I(s) ≥ I(o) (заборона запису вгору), а викликати можна лише суб’єкта з не вищим рівнем. Пом’якшений варіант — політика нижньої межі (англ. </w:t>
      </w:r>
      <w:r>
        <w:rPr>
          <w:i/>
          <w:iCs/>
        </w:rPr>
        <w:t xml:space="preserve">low-water mark</w:t>
      </w:r>
      <w:r>
        <w:t xml:space="preserve">), за якої читання даних нижчого рівня знижує рівень суб’єкта (модуль mac_lomac у FreeBSD). Заборону запису вгору без пониження рівня реалізує обов’язковий контроль цілісності (англ. </w:t>
      </w:r>
      <w:r>
        <w:rPr>
          <w:i/>
          <w:iCs/>
        </w:rPr>
        <w:t xml:space="preserve">Mandatory Integrity Control</w:t>
      </w:r>
      <w:r>
        <w:t xml:space="preserve">, MIC) у Windows: рівень процесу визначають під час створення, чим обмежують наслідки виконання коду з мережі.</w:t>
      </w:r>
    </w:p>
    <w:p>
      <w:pPr>
        <w:spacing w:after="80" w:line="360"/>
        <w:ind w:firstLine="708"/>
        <w:jc w:val="both"/>
      </w:pPr>
      <w:r>
        <w:t xml:space="preserve">Ґратки конфіденційності й цілісності незалежні, проте їх поєднання швидко дає систему, де жоден потік не дозволений: конфіденційність вимагає писати вгору, цілісність — униз. Інша межа: Біба не описує коректності перетворення, тож процедура високого рівня може зруйнувати інваріант, не порушивши правил.</w:t>
      </w:r>
    </w:p>
    <w:p>
      <w:pPr>
        <w:pStyle w:val="Heading3"/>
      </w:pPr>
      <w:r>
        <w:t xml:space="preserve">6.3.2. Модель Кларка–Вілсона</w:t>
      </w:r>
    </w:p>
    <w:p>
      <w:pPr>
        <w:spacing w:after="80" w:line="360"/>
        <w:ind w:firstLine="708"/>
        <w:jc w:val="both"/>
      </w:pPr>
      <w:r>
        <w:t xml:space="preserve">Д. Кларк і Д. Вілсон [44], порівнявши комерційні та військові політики, показали: у бізнес-системах цілісність забезпечують не мітками, а механізмами обліку — </w:t>
      </w:r>
      <w:r>
        <w:rPr>
          <w:i/>
          <w:iCs/>
        </w:rPr>
        <w:t xml:space="preserve">правильно сформованою транзакцією</w:t>
      </w:r>
      <w:r>
        <w:t xml:space="preserve"> (англ. </w:t>
      </w:r>
      <w:r>
        <w:rPr>
          <w:i/>
          <w:iCs/>
        </w:rPr>
        <w:t xml:space="preserve">well-formed transaction</w:t>
      </w:r>
      <w:r>
        <w:t xml:space="preserve">) та розділенням обов’язків.</w:t>
      </w:r>
    </w:p>
    <w:p>
      <w:pPr>
        <w:spacing w:after="80" w:line="360"/>
        <w:ind w:firstLine="708"/>
        <w:jc w:val="both"/>
      </w:pPr>
      <w:r>
        <w:t xml:space="preserve">Дані поділено на </w:t>
      </w:r>
      <w:r>
        <w:rPr>
          <w:i/>
          <w:iCs/>
        </w:rPr>
        <w:t xml:space="preserve">обмежені елементи даних</w:t>
      </w:r>
      <w:r>
        <w:t xml:space="preserve"> (англ. </w:t>
      </w:r>
      <w:r>
        <w:rPr>
          <w:i/>
          <w:iCs/>
        </w:rPr>
        <w:t xml:space="preserve">constrained data items</w:t>
      </w:r>
      <w:r>
        <w:t xml:space="preserve">, CDI), цілісність яких система підтримує, і </w:t>
      </w:r>
      <w:r>
        <w:rPr>
          <w:i/>
          <w:iCs/>
        </w:rPr>
        <w:t xml:space="preserve">необмежені елементи даних</w:t>
      </w:r>
      <w:r>
        <w:t xml:space="preserve"> (англ. </w:t>
      </w:r>
      <w:r>
        <w:rPr>
          <w:i/>
          <w:iCs/>
        </w:rPr>
        <w:t xml:space="preserve">unconstrained data items</w:t>
      </w:r>
      <w:r>
        <w:t xml:space="preserve">, UDI) — усе, що надійшло ззовні. Змінити CDI дозволено лише </w:t>
      </w:r>
      <w:r>
        <w:rPr>
          <w:i/>
          <w:iCs/>
        </w:rPr>
        <w:t xml:space="preserve">процедурою перетворення</w:t>
      </w:r>
      <w:r>
        <w:t xml:space="preserve"> (англ. </w:t>
      </w:r>
      <w:r>
        <w:rPr>
          <w:i/>
          <w:iCs/>
        </w:rPr>
        <w:t xml:space="preserve">transformation procedure</w:t>
      </w:r>
      <w:r>
        <w:t xml:space="preserve">, TP), а </w:t>
      </w:r>
      <w:r>
        <w:rPr>
          <w:i/>
          <w:iCs/>
        </w:rPr>
        <w:t xml:space="preserve">процедури верифікації цілісності</w:t>
      </w:r>
      <w:r>
        <w:t xml:space="preserve"> (англ. </w:t>
      </w:r>
      <w:r>
        <w:rPr>
          <w:i/>
          <w:iCs/>
        </w:rPr>
        <w:t xml:space="preserve">integrity verification procedures</w:t>
      </w:r>
      <w:r>
        <w:t xml:space="preserve">, IVP) перевіряють допустимість стану всіх CDI.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Правила сертифікації</w:t>
      </w:r>
      <w:r>
        <w:t xml:space="preserve"> (англ. </w:t>
      </w:r>
      <w:r>
        <w:rPr>
          <w:i/>
          <w:iCs/>
        </w:rPr>
        <w:t xml:space="preserve">certification rules</w:t>
      </w:r>
      <w:r>
        <w:t xml:space="preserve">) виконує людина: IVP перевіряє інваріант; кожна TP переводить CDI з допустимого стану в допустимий; трійки «користувач — TP — множина CDI» задовольняють розділення обов’язків; кожна TP дописує до журналу, який сам є CDI; TP приймає UDI, лише перетворивши його на коректний CDI або відхиливши. </w:t>
      </w:r>
      <w:r>
        <w:rPr>
          <w:i/>
          <w:iCs/>
        </w:rPr>
        <w:t xml:space="preserve">Правила примусового виконання</w:t>
      </w:r>
      <w:r>
        <w:t xml:space="preserve"> (англ. </w:t>
      </w:r>
      <w:r>
        <w:rPr>
          <w:i/>
          <w:iCs/>
        </w:rPr>
        <w:t xml:space="preserve">enforcement rules</w:t>
      </w:r>
      <w:r>
        <w:t xml:space="preserve">) реалізує система: CDI змінює лише сертифікована TP; трійку перевіряють перед виконанням; користувача автентифікують; сертифікувати трійку не може її виконавець.</w:t>
      </w:r>
    </w:p>
    <w:p>
      <w:pPr>
        <w:spacing w:after="80" w:line="360"/>
        <w:ind w:firstLine="708"/>
        <w:jc w:val="both"/>
      </w:pPr>
      <w:r>
        <w:t xml:space="preserve">Так, переказ між рахунками не виконують прямим оновленням залишків: єдиний вхід — TP, яка перевіряє трійку, атомарно змінює обидва CDI й дописує до журналу, тож інваріант «сума залишків стала» не порушується за побудовою.</w:t>
      </w:r>
    </w:p>
    <w:p>
      <w:pPr>
        <w:spacing w:after="80" w:line="360"/>
        <w:ind w:firstLine="708"/>
        <w:jc w:val="both"/>
      </w:pPr>
      <w:r>
        <w:t xml:space="preserve">Одиницею доступу тут є не пара «суб’єкт — об’єкт», а трійка з процедурою: дозволяють не «запис», а конкретну операцію, тож довільна зміна даних заборонена й власникові. Цілісність означає і внутрішню узгодженість, і відповідність зовнішній дійсності, яку забезпечують звірка й розділення обов’язків. Порівняння моделей — у табл. 6.3.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6.3 – Порівняння моделей Белла–ЛаПадули, Біби та Кларка–Вілсона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4"/>
        <w:gridCol w:w="2334"/>
        <w:gridCol w:w="2334"/>
        <w:gridCol w:w="2919"/>
      </w:tblGrid>
      <w:tr>
        <w:trPr>
          <w:cantSplit/>
          <w:tblHeader/>
        </w:trPr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Ознака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Белла–ЛаПадули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Біби</w:t>
            </w:r>
          </w:p>
        </w:tc>
        <w:tc>
          <w:tcPr>
            <w:tcW w:type="dxa" w:w="2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Кларка–Вілсона</w:t>
            </w:r>
          </w:p>
        </w:tc>
      </w:tr>
      <w:tr>
        <w:trPr>
          <w:cantSplit/>
          <w:tblHeader w:val="false"/>
        </w:trPr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Властивість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конфіденційність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цілісність</w:t>
            </w:r>
          </w:p>
        </w:tc>
        <w:tc>
          <w:tcPr>
            <w:tcW w:type="dxa" w:w="2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цілісність і узгодженість</w:t>
            </w:r>
          </w:p>
        </w:tc>
      </w:tr>
      <w:tr>
        <w:trPr>
          <w:cantSplit/>
          <w:tblHeader w:val="false"/>
        </w:trPr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Основа рішення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мітки в ґратці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мітки в ґратці</w:t>
            </w:r>
          </w:p>
        </w:tc>
        <w:tc>
          <w:tcPr>
            <w:tcW w:type="dxa" w:w="2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сертифіковані трійки</w:t>
            </w:r>
          </w:p>
        </w:tc>
      </w:tr>
      <w:tr>
        <w:trPr>
          <w:cantSplit/>
          <w:tblHeader w:val="false"/>
        </w:trPr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Напрям потоку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читання вниз, запис угору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читання вгору, запис униз</w:t>
            </w:r>
          </w:p>
        </w:tc>
        <w:tc>
          <w:tcPr>
            <w:tcW w:type="dxa" w:w="2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лише через TP</w:t>
            </w:r>
          </w:p>
        </w:tc>
      </w:tr>
      <w:tr>
        <w:trPr>
          <w:cantSplit/>
          <w:tblHeader w:val="false"/>
        </w:trPr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Роль людини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надання допуску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призначення рівнів</w:t>
            </w:r>
          </w:p>
        </w:tc>
        <w:tc>
          <w:tcPr>
            <w:tcW w:type="dxa" w:w="2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сертифікація TP і трійок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6.4. Ґраткова модель потоків інформації, моделі спеціального призначення та критерії захищеності</w:t>
      </w:r>
    </w:p>
    <w:p>
      <w:pPr>
        <w:pStyle w:val="Heading3"/>
      </w:pPr>
      <w:r>
        <w:t xml:space="preserve">6.4.1. Модель Деннінг</w:t>
      </w:r>
    </w:p>
    <w:p>
      <w:pPr>
        <w:spacing w:after="80" w:line="360"/>
        <w:ind w:firstLine="708"/>
        <w:jc w:val="both"/>
      </w:pPr>
      <w:r>
        <w:t xml:space="preserve">Д. Деннінг [42] показала, що попередні моделі — окремі випадки однієї конструкції, якщо описувати не доступ, а </w:t>
      </w:r>
      <w:r>
        <w:rPr>
          <w:i/>
          <w:iCs/>
        </w:rPr>
        <w:t xml:space="preserve">потік інформації</w:t>
      </w:r>
      <w:r>
        <w:t xml:space="preserve"> (англ. </w:t>
      </w:r>
      <w:r>
        <w:rPr>
          <w:i/>
          <w:iCs/>
        </w:rPr>
        <w:t xml:space="preserve">information flow</w:t>
      </w:r>
      <w:r>
        <w:t xml:space="preserve">). Модель задають п’ятіркою ⟨N, P, SC, ⊕, →⟩: N — сховища, P — процеси, SC — класи безпеки, ⊕ — оператор об’єднання, → — допустимість потоку. За аксіомами класи утворюють ґратку: → є частковим порядком, а ⊕ дає найменшу верхню межу. Умова допустимості обчислення b := f(a</w:t>
      </w:r>
      <w:r>
        <w:rPr>
          <w:vertAlign w:val="subscript"/>
        </w:rPr>
        <w:t xml:space="preserve">1</w:t>
      </w:r>
      <w:r>
        <w:t xml:space="preserve">, …, a</w:t>
      </w:r>
      <w:r>
        <w:rPr>
          <w:vertAlign w:val="subscript"/>
        </w:rPr>
        <w:t xml:space="preserve">n</w:t>
      </w:r>
      <w:r>
        <w:t xml:space="preserve">) має вигляд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SC(a</w:t>
      </w:r>
      <w:r>
        <w:rPr>
          <w:i/>
          <w:iCs/>
          <w:vertAlign w:val="subscript"/>
        </w:rPr>
        <w:t xml:space="preserve">1</w:t>
      </w:r>
      <w:r>
        <w:rPr>
          <w:i/>
          <w:iCs/>
        </w:rPr>
        <w:t xml:space="preserve">) ⊕ … ⊕ SC(a</w:t>
      </w:r>
      <w:r>
        <w:rPr>
          <w:i/>
          <w:iCs/>
          <w:vertAlign w:val="subscript"/>
        </w:rPr>
        <w:t xml:space="preserve">n</w:t>
      </w:r>
      <w:r>
        <w:rPr>
          <w:i/>
          <w:iCs/>
        </w:rPr>
        <w:t xml:space="preserve">) → SC(b)</w:t>
      </w:r>
      <w:r>
        <w:t xml:space="preserve">	(6.4)</w:t>
      </w:r>
    </w:p>
    <w:p>
      <w:pPr>
        <w:spacing w:after="80" w:line="360"/>
        <w:ind w:firstLine="708"/>
        <w:jc w:val="both"/>
      </w:pPr>
      <w:r>
        <w:t xml:space="preserve">тобто клас результату має домінувати над об’єднанням класів операндів; правила Белла–ЛаПадули дістають із формули (6.4) як частковий випадок: читання є потоком від об’єкта до суб’єкта, запис — навпаки. Цінність моделі — у розрізненні </w:t>
      </w:r>
      <w:r>
        <w:rPr>
          <w:i/>
          <w:iCs/>
        </w:rPr>
        <w:t xml:space="preserve">явного</w:t>
      </w:r>
      <w:r>
        <w:t xml:space="preserve"> потоку (англ. </w:t>
      </w:r>
      <w:r>
        <w:rPr>
          <w:i/>
          <w:iCs/>
        </w:rPr>
        <w:t xml:space="preserve">explicit flow</w:t>
      </w:r>
      <w:r>
        <w:t xml:space="preserve">), який створює присвоєння, і </w:t>
      </w:r>
      <w:r>
        <w:rPr>
          <w:i/>
          <w:iCs/>
        </w:rPr>
        <w:t xml:space="preserve">неявного</w:t>
      </w:r>
      <w:r>
        <w:t xml:space="preserve"> (англ. </w:t>
      </w:r>
      <w:r>
        <w:rPr>
          <w:i/>
          <w:iCs/>
        </w:rPr>
        <w:t xml:space="preserve">implicit flow</w:t>
      </w:r>
      <w:r>
        <w:t xml:space="preserve">), де значення змінної високого класу визначає значення низького: присвоєння </w:t>
      </w:r>
      <w:r>
        <w:rPr>
          <w:rFonts w:ascii="Courier New" w:cs="Courier New" w:eastAsia="Courier New" w:hAnsi="Courier New"/>
          <w:sz w:val="24"/>
          <w:szCs w:val="24"/>
        </w:rPr>
        <w:t xml:space="preserve">public = 1</w:t>
      </w:r>
      <w:r>
        <w:t xml:space="preserve"> під умовою </w:t>
      </w:r>
      <w:r>
        <w:rPr>
          <w:rFonts w:ascii="Courier New" w:cs="Courier New" w:eastAsia="Courier New" w:hAnsi="Courier New"/>
          <w:sz w:val="24"/>
          <w:szCs w:val="24"/>
        </w:rPr>
        <w:t xml:space="preserve">secret &gt; 100</w:t>
      </w:r>
      <w:r>
        <w:t xml:space="preserve"> не переносить secret, проте відновлює предикат про нього, тому результат порівняння слід писати лише в об’єкт не нижчого класу.</w:t>
      </w:r>
    </w:p>
    <w:p>
      <w:pPr>
        <w:spacing w:after="80" w:line="360"/>
        <w:ind w:firstLine="708"/>
        <w:jc w:val="both"/>
      </w:pPr>
      <w:r>
        <w:t xml:space="preserve">Межа застосовності: перевірка неявних потоків консервативна — відкидає й програми без витоку (хибні спрацювання, лекція 14) — і не бачить каналів за часом.</w:t>
      </w:r>
    </w:p>
    <w:p>
      <w:pPr>
        <w:pStyle w:val="Heading3"/>
      </w:pPr>
      <w:r>
        <w:t xml:space="preserve">6.4.2. Модель Лендвера</w:t>
      </w:r>
    </w:p>
    <w:p>
      <w:pPr>
        <w:spacing w:after="80" w:line="360"/>
        <w:ind w:firstLine="708"/>
        <w:jc w:val="both"/>
      </w:pPr>
      <w:r>
        <w:t xml:space="preserve">Розглянуті моделі оперують абстрактними суб’єктами й об’єктами, тож замовник не перевірить, чи описують вони його роботу. К. Лендвер зі співавторами [46] сформулював модель систем обміну повідомленнями в поняттях предметної області. У Белла–ЛаПадули об’єкт має одну мітку, тоді як повідомлення складається з полів різного грифа, тому вводять два види </w:t>
      </w:r>
      <w:r>
        <w:rPr>
          <w:i/>
          <w:iCs/>
        </w:rPr>
        <w:t xml:space="preserve">сутностей</w:t>
      </w:r>
      <w:r>
        <w:t xml:space="preserve"> (англ. </w:t>
      </w:r>
      <w:r>
        <w:rPr>
          <w:i/>
          <w:iCs/>
        </w:rPr>
        <w:t xml:space="preserve">entity</w:t>
      </w:r>
      <w:r>
        <w:t xml:space="preserve">): </w:t>
      </w:r>
      <w:r>
        <w:rPr>
          <w:i/>
          <w:iCs/>
        </w:rPr>
        <w:t xml:space="preserve">об’єкти моделі</w:t>
      </w:r>
      <w:r>
        <w:t xml:space="preserve"> (англ. </w:t>
      </w:r>
      <w:r>
        <w:rPr>
          <w:i/>
          <w:iCs/>
        </w:rPr>
        <w:t xml:space="preserve">object</w:t>
      </w:r>
      <w:r>
        <w:t xml:space="preserve">) — неподільні однорівневі одиниці інформації з власною міткою, і </w:t>
      </w:r>
      <w:r>
        <w:rPr>
          <w:i/>
          <w:iCs/>
        </w:rPr>
        <w:t xml:space="preserve">контейнери</w:t>
      </w:r>
      <w:r>
        <w:t xml:space="preserve"> (англ. </w:t>
      </w:r>
      <w:r>
        <w:rPr>
          <w:i/>
          <w:iCs/>
        </w:rPr>
        <w:t xml:space="preserve">container</w:t>
      </w:r>
      <w:r>
        <w:t xml:space="preserve">) — багаторівневі структури, доступ до яких може вимагати допуску до контейнера незалежно від міток вмісту. Вимоги модель подає як твердження безпеки, відокремлені від припущень про поведінку людини, тож політику описано в поняттях застосунку.</w:t>
      </w:r>
    </w:p>
    <w:p>
      <w:pPr>
        <w:pStyle w:val="Heading3"/>
      </w:pPr>
      <w:r>
        <w:t xml:space="preserve">6.4.3. Класи захищеності: TCSEC і НД ТЗІ</w:t>
      </w:r>
    </w:p>
    <w:p>
      <w:pPr>
        <w:spacing w:after="80" w:line="360"/>
        <w:ind w:firstLine="708"/>
        <w:jc w:val="both"/>
      </w:pPr>
      <w:r>
        <w:t xml:space="preserve">Стандарт TCSEC (англ. </w:t>
      </w:r>
      <w:r>
        <w:rPr>
          <w:i/>
          <w:iCs/>
        </w:rPr>
        <w:t xml:space="preserve">Trusted Computer System Evaluation Criteria</w:t>
      </w:r>
      <w:r>
        <w:t xml:space="preserve"> — критерії оцінювання довірених комп’ютерних систем, DoD 5200.28-STD) [58], відомий як «Помаранчева книга», уперше пов’язав формальні моделі з вимогами до продукту, увівши ієрархію класів захищеності (табл. 6.4).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6.4 – Класи захищеності за TCSEC (клас D — мінімальний захист: оцінені системи, що не задовольнили вимог вищих класів) [58]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3"/>
        <w:gridCol w:w="5291"/>
        <w:gridCol w:w="3307"/>
      </w:tblGrid>
      <w:tr>
        <w:trPr>
          <w:cantSplit/>
          <w:tblHeader/>
        </w:trPr>
        <w:tc>
          <w:tcPr>
            <w:tcW w:type="dxa" w:w="13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Клас</w:t>
            </w:r>
          </w:p>
        </w:tc>
        <w:tc>
          <w:tcPr>
            <w:tcW w:type="dxa" w:w="52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Основна вимога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Модель, що її обґрунтовує</w:t>
            </w:r>
          </w:p>
        </w:tc>
      </w:tr>
      <w:tr>
        <w:trPr>
          <w:cantSplit/>
          <w:tblHeader w:val="false"/>
        </w:trPr>
        <w:tc>
          <w:tcPr>
            <w:tcW w:type="dxa" w:w="13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C1, C2</w:t>
            </w:r>
          </w:p>
        </w:tc>
        <w:tc>
          <w:tcPr>
            <w:tcW w:type="dxa" w:w="52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дискреційне розмежування; для C2 — очищення об’єктів і реєстрація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матриця доступу, HRU</w:t>
            </w:r>
          </w:p>
        </w:tc>
      </w:tr>
      <w:tr>
        <w:trPr>
          <w:cantSplit/>
          <w:tblHeader w:val="false"/>
        </w:trPr>
        <w:tc>
          <w:tcPr>
            <w:tcW w:type="dxa" w:w="13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B1</w:t>
            </w:r>
          </w:p>
        </w:tc>
        <w:tc>
          <w:tcPr>
            <w:tcW w:type="dxa" w:w="52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мітки безпеки та мандатне розмежування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Белла–ЛаПадули</w:t>
            </w:r>
          </w:p>
        </w:tc>
      </w:tr>
      <w:tr>
        <w:trPr>
          <w:cantSplit/>
          <w:tblHeader w:val="false"/>
        </w:trPr>
        <w:tc>
          <w:tcPr>
            <w:tcW w:type="dxa" w:w="13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B2, B3</w:t>
            </w:r>
          </w:p>
        </w:tc>
        <w:tc>
          <w:tcPr>
            <w:tcW w:type="dxa" w:w="52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формальна модель політики, аналіз прихованих каналів, придатний до аналізу монітор звернень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потокові моделі; вимоги до монітора звернень</w:t>
            </w:r>
          </w:p>
        </w:tc>
      </w:tr>
      <w:tr>
        <w:trPr>
          <w:cantSplit/>
          <w:tblHeader w:val="false"/>
        </w:trPr>
        <w:tc>
          <w:tcPr>
            <w:tcW w:type="dxa" w:w="13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A1</w:t>
            </w:r>
          </w:p>
        </w:tc>
        <w:tc>
          <w:tcPr>
            <w:tcW w:type="dxa" w:w="52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формальна верифікація проєкту захисту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формально доведена модель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Так формальна модель стала умовою високого класу захищеності. НД ТЗІ 2.5-004-99 [14] оцінює інакше — набором функціональних послуг за чотирма напрямами (п. 1.4.1): довірча й адміністративна конфіденційність відповідають дискреційному й мандатному розмежуванню, довірча та адміністративна цілісність — правилам п. 6.3, а аналіз прихованих каналів — межі з п. 6.2.2 (профілі — у НД ТЗІ 2.5-005-99 [15]).</w:t>
      </w:r>
    </w:p>
    <w:p>
      <w:pPr>
        <w:pStyle w:val="Heading2"/>
      </w:pPr>
      <w:r>
        <w:t xml:space="preserve">Висновки до теми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Формальна модель, на відміну від переліку правил, дозволяє довести властивість для всіх досяжних станів; доведення чинне лише в межах припущень моделі.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Нерозв’язність проблеми безпеки HRU означає, що довільну дискреційну політику не перевірити автоматично на розширення прав, тому виразність правил передавання обмежують свідомо.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Мандатні моделі усувають загрозу троянської програми, переносячи рішення з власника на систему; ґратка міток задає напрям потоків, а теорема базової безпеки зводить перевірку до одного переходу.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Белла–ЛаПадули захищає конфіденційність коштом цілісності й не бачить прихованих каналів; дуальна Біба переносить ті самі правила на довіру до джерела, а Кларк і Вілсон замінюють пару «суб’єкт — об’єкт» сертифікованою трійкою «користувач — процедура — дані».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Модель Деннінг узагальнює попередні через поняття потоку, Лендвера — описує політику в поняттях предметної області, а критерії TCSEC і НД ТЗІ роблять формальні моделі перевірними вимогами до продукту.</w:t>
      </w:r>
    </w:p>
    <w:p>
      <w:pPr>
        <w:pStyle w:val="Heading2"/>
      </w:pPr>
      <w:r>
        <w:t xml:space="preserve">Контрольні запитання для самоперевірки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Сформулюйте проблему безпеки HRU. Що випливає з її нерозв’язності для засобів аналізу прав?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Чому дискреційне розмежування не захищає від троянської програми, а мандатне усуває цю загрозу?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Наведіть формулу рівня доступу завдання в ADEPT-50 і поясніть, навіщо враховано термінал.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Сформулюйте просту властивість безпеки та зіркову властивість. Чому саме друга породжує проблему сліпого запису?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Суб’єкт має мітку (2, {ФІН, КАДР}), об’єкт — (2, {ФІН}). Які операції дозволено за моделлю Белла–ЛаПадули і чому?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Порівняйте моделі Біби та Кларка–Вілсона: чим відрізняються одиниця доступу й роль людини?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Чому одночасне застосування ґраток конфіденційності та цілісності може зробити систему непрацездатною?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Що таке неявний потік інформації і чому його статична перевірка дає хибні спрацювання?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Чим об’єкт відрізняється від контейнера в моделі Лендвера і чому в моделі Белла–ЛаПадули такий поділ не потрібен?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Яким послугам НД ТЗІ 2.5-004-99 відповідають дискреційне й мандатне розмежування доступу?</w:t>
      </w:r>
    </w:p>
    <w:p>
      <w:pPr>
        <w:pStyle w:val="Heading2"/>
      </w:pPr>
      <w:r>
        <w:t xml:space="preserve">Тестові завдання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1.</w:t>
      </w:r>
      <w:r>
        <w:t xml:space="preserve"> Проблема безпеки в моделі HRU — це питання, чи: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матриця доступу зберігається в захищеній пам’яті;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існує послідовність команд, після якої право з’явиться в комірці, де його не було;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суб’єкт має право читання об’єкта в поточному стані;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кількість суб’єктів є скінченною.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2.</w:t>
      </w:r>
      <w:r>
        <w:t xml:space="preserve"> Зіркова властивість моделі Белла–ЛаПадули забороняє: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читання об’єкта з вищою міткою;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створення об’єктів довіреним суб’єктом;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запис в об’єкт із нижчою міткою;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зміну міток активних суб’єктів.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3.</w:t>
      </w:r>
      <w:r>
        <w:t xml:space="preserve"> Мітка (2, {ФІН}) домінує над міткою: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(3, {ФІН});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(1, {ФІН, КАДР});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(1, {КАДР});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(1, {ФІН}).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4.</w:t>
      </w:r>
      <w:r>
        <w:t xml:space="preserve"> Одиницею, для якої система перевіряє право в моделі Кларка–Вілсона, є: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пара «суб’єкт — об’єкт»;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трійка «користувач — процедура перетворення — множина CDI»;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мітка безпеки об’єкта;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рівень цілісності процедури.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5.</w:t>
      </w:r>
      <w:r>
        <w:t xml:space="preserve"> Умова допустимості потоку для обчислення b := f(a</w:t>
      </w:r>
      <w:r>
        <w:rPr>
          <w:vertAlign w:val="subscript"/>
        </w:rPr>
        <w:t xml:space="preserve">1</w:t>
      </w:r>
      <w:r>
        <w:t xml:space="preserve">, a</w:t>
      </w:r>
      <w:r>
        <w:rPr>
          <w:vertAlign w:val="subscript"/>
        </w:rPr>
        <w:t xml:space="preserve">2</w:t>
      </w:r>
      <w:r>
        <w:t xml:space="preserve">) вимагає, щоб: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класи операндів були однаковими;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клас b домінував над об’єднанням класів операндів;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клас b був найнижчим у ґратці;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операнди належали до однієї категорії.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Відповіді: 1 – б; 2 – в; 3 – г; 4 – б; 5 – б.</w:t>
      </w:r>
    </w:p>
    <w:p>
      <w:pPr>
        <w:pStyle w:val="Heading2"/>
      </w:pPr>
      <w:r>
        <w:t xml:space="preserve">Питання для самостійного опрацювання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Модель «взяти — надати» (take-grant) як приклад системи, для якої проблема безпеки розв’язна за лінійний час.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Приховані канали за пам’яттю та за часом: методи виявлення й оцінювання пропускної здатності.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Невиводимість і невтручання як альтернативні означення безпеки інформаційних потоків.</w:t>
      </w:r>
    </w:p>
    <w:p>
      <w:pPr>
        <w:pStyle w:val="Heading2"/>
      </w:pPr>
      <w:r>
        <w:t xml:space="preserve">Рекомендована література до теми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Harrison M. A. Protection in Operating Systems / M. A. Harrison, W. L. Ruzzo, J. D. Ullman // Communications of the ACM. – 1976. – Vol. 19, № 8. – P. 461–471 [43].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Bell D. E. Secure Computer Systems: Mathematical Foundations and Model / D. E. Bell, L. J. LaPadula. – Bedford : The MITRE Corp., 1973. – Report M74-244 [40].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Clark D. D. A Comparison of Commercial and Military Computer Security Policies / D. D. Clark, D. R. Wilson // Proceedings of the IEEE Symposium on Security and Privacy. – 1987. – P. 184–194 [44].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Denning D. E. A Lattice Model of Secure Information Flow / D. E. Denning // Communications of the ACM. – 1976. – Vol. 19, № 5. – P. 236–243 [42].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НД ТЗІ 2.5-004-99. Критерії оцінки захищеності інформації в комп’ютерних системах від несанкціонованого доступу. – Чинний від 01.07.1999. – Розд. 4–5 [14].</w:t>
      </w:r>
    </w:p>
    <w:sectPr>
      <w:headerReference w:type="default" r:id="rId7"/>
      <w:footerReference w:type="default" r:id="rId8"/>
      <w:pgSz w:w="11905" w:h="16837" w:orient="portrait"/>
      <w:pgMar w:top="1133" w:right="566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Лекція 6 · Безпека ПЗ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80" w:hanging="283"/>
      </w:pPr>
    </w:lvl>
    <w:lvl w:ilvl="1" w15:tentative="1">
      <w:start w:val="1"/>
      <w:numFmt w:val="bullet"/>
      <w:lvlText w:val="○"/>
      <w:lvlJc w:val="left"/>
      <w:pPr>
        <w:ind w:left="1133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96"/>
      </w:pPr>
    </w:lvl>
    <w:lvl w:ilvl="1" w15:tentative="1">
      <w:start w:val="1"/>
      <w:numFmt w:val="lowerLetter"/>
      <w:lvlText w:val="%2)"/>
      <w:lvlJc w:val="left"/>
      <w:pPr>
        <w:ind w:left="1133" w:hanging="396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after="0" w:line="360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320" w:line="300"/>
      <w:outlineLvl w:val="0"/>
    </w:pPr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40" w:before="260" w:line="300"/>
      <w:outlineLvl w:val="1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20" w:before="200" w:line="300"/>
      <w:outlineLvl w:val="2"/>
    </w:pPr>
    <w:rPr>
      <w:rFonts w:ascii="Times New Roman" w:cs="Times New Roman" w:eastAsia="Times New Roman" w:hAnsi="Times New Roman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00" w:before="160"/>
      <w:outlineLvl w:val="3"/>
    </w:pPr>
    <w:rPr>
      <w:rFonts w:ascii="Times New Roman" w:cs="Times New Roman" w:eastAsia="Times New Roman" w:hAnsi="Times New Roman"/>
      <w:i/>
      <w:iCs/>
      <w:sz w:val="28"/>
      <w:szCs w:val="28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bbece5497cccd9be74d7f54ce034e1eef9bc64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Соколовський В. В.</dc:creator>
  <cp:lastModifiedBy>Соколовський В. В.</cp:lastModifiedBy>
  <cp:revision>1</cp:revision>
  <dcterms:created xsi:type="dcterms:W3CDTF">2026-10-06T23:42:48.789Z</dcterms:created>
  <dcterms:modified xsi:type="dcterms:W3CDTF">2026-10-06T23:42:48.790Z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