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КПІ ім. Ігоря Сікорського · ФІОТ · кафедра інформатики та програмної інженерії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Безпека програмного забезпечення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спеціальність 121 «Інженерія програмного забезпечення», 4 курс</w:t>
      </w:r>
    </w:p>
    <w:p>
      <w:pPr>
        <w:spacing w:after="120"/>
      </w:pPr>
    </w:p>
    <w:p>
      <w:pPr>
        <w:pStyle w:val="Heading1"/>
      </w:pPr>
      <w:r>
        <w:t xml:space="preserve">Лекція 7. Реалізація розмежування доступу та моніторинг безпеки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Дискреційне розмежування доступу: списки керування доступом і повноваження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Мандатне розмежування доступу в сучасних операційних системах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Рольова та атрибутна моделі розмежування доступу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Журналювання та моніторинг безпеки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список керування доступом, повноваження, маркер доступу, дескриптор безпеки, мандатне розмежування доступу, контекст безпеки, домен, роль, атрибут, розділення обов’язків, реєстраційний журнал, базова лінія поведінки.</w:t>
      </w:r>
    </w:p>
    <w:p>
      <w:pPr>
        <w:pStyle w:val="Heading2"/>
      </w:pPr>
      <w:r>
        <w:t xml:space="preserve">7.1. Дискреційне розмежування доступу: списки керування доступом і повноваження</w:t>
      </w:r>
    </w:p>
    <w:p>
      <w:pPr>
        <w:spacing w:after="80" w:line="360"/>
        <w:ind w:firstLine="708"/>
        <w:jc w:val="both"/>
      </w:pPr>
      <w:r>
        <w:t xml:space="preserve">Лекція 6 описала стан захисту матрицею доступу M[s, o] [43]. Ця лекція розглядає, як матриця існує в реальній системі та як фіксують її застосування.</w:t>
      </w:r>
    </w:p>
    <w:p>
      <w:pPr>
        <w:spacing w:after="80" w:line="360"/>
        <w:ind w:firstLine="708"/>
        <w:jc w:val="both"/>
      </w:pPr>
      <w:r>
        <w:t xml:space="preserve">Зберігати матрицю цілком недоцільно: для 5 · 10</w:t>
      </w:r>
      <w:r>
        <w:rPr>
          <w:vertAlign w:val="superscript"/>
        </w:rPr>
        <w:t xml:space="preserve">3</w:t>
      </w:r>
      <w:r>
        <w:t xml:space="preserve"> суб’єктів і 2 · 10</w:t>
      </w:r>
      <w:r>
        <w:rPr>
          <w:vertAlign w:val="superscript"/>
        </w:rPr>
        <w:t xml:space="preserve">6</w:t>
      </w:r>
      <w:r>
        <w:t xml:space="preserve"> об’єктів вона має 10</w:t>
      </w:r>
      <w:r>
        <w:rPr>
          <w:vertAlign w:val="superscript"/>
        </w:rPr>
        <w:t xml:space="preserve">10</w:t>
      </w:r>
      <w:r>
        <w:t xml:space="preserve"> комірок, заповнених на частки відсотка. Її розкладають двома способами (рис. 7.1): за стовпцями — з об’єктом зберігають пари «суб’єкт — права», що дає </w:t>
      </w:r>
      <w:r>
        <w:rPr>
          <w:i/>
          <w:iCs/>
        </w:rPr>
        <w:t xml:space="preserve">список керування доступом</w:t>
      </w:r>
      <w:r>
        <w:t xml:space="preserve"> (англ. </w:t>
      </w:r>
      <w:r>
        <w:rPr>
          <w:i/>
          <w:iCs/>
        </w:rPr>
        <w:t xml:space="preserve">access control list</w:t>
      </w:r>
      <w:r>
        <w:t xml:space="preserve">, ACL); за рядками — із суб’єктом пари «об’єкт — права», що дає </w:t>
      </w:r>
      <w:r>
        <w:rPr>
          <w:i/>
          <w:iCs/>
        </w:rPr>
        <w:t xml:space="preserve">список повноважень</w:t>
      </w:r>
      <w:r>
        <w:t xml:space="preserve"> (англ. </w:t>
      </w:r>
      <w:r>
        <w:rPr>
          <w:i/>
          <w:iCs/>
        </w:rPr>
        <w:t xml:space="preserve">capability list</w:t>
      </w:r>
      <w:r>
        <w:t xml:space="preserve">), елемент якого — </w:t>
      </w:r>
      <w:r>
        <w:rPr>
          <w:i/>
          <w:iCs/>
        </w:rPr>
        <w:t xml:space="preserve">повноваження</w:t>
      </w:r>
      <w:r>
        <w:t xml:space="preserve"> (англ. </w:t>
      </w:r>
      <w:r>
        <w:rPr>
          <w:i/>
          <w:iCs/>
        </w:rPr>
        <w:t xml:space="preserve">capability</w:t>
      </w:r>
      <w:r>
        <w:t xml:space="preserve">) — є непідроблюваним посиланням (англ. </w:t>
      </w:r>
      <w:r>
        <w:rPr>
          <w:i/>
          <w:iCs/>
        </w:rPr>
        <w:t xml:space="preserve">unforgeable reference</w:t>
      </w:r>
      <w:r>
        <w:t xml:space="preserve">) на об’єкт із переліком дозволених операцій, володіння яким і є правом. Непідробність дає захищена пам’ять ядра або криптографічний захист цілісності; передавати копію вона не забороняє — звідси придатність до делегування.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7.1. Дві декомпозиції матриці доступу: списки керування доступом і списки повноважень</w:t>
      </w:r>
    </w:p>
    <w:p>
      <w:pPr>
        <w:spacing w:after="80" w:line="360"/>
        <w:ind w:firstLine="708"/>
        <w:jc w:val="both"/>
      </w:pPr>
      <w:r>
        <w:t xml:space="preserve">Подання різняться вартістю операцій; рядки табл. 7.1 дзеркальні, тож вибір визначає часта операція.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7.1 – Порівняння списків керування доступом і списків повноважень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3543"/>
        <w:gridCol w:w="3543"/>
      </w:tblGrid>
      <w:tr>
        <w:trPr>
          <w:cantSplit/>
          <w:tblHeader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Операція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Списки керування доступом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Списки повноважень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«Хто має доступ до об’єкта»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Один список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Перегляд усіх суб’єктів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«До чого має доступ суб’єкт»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Перегляд усіх об’єктів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Один список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Відкликання права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Вилучення запису, діє негайно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Знецінення всіх виданих копій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Делегування права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Право на список об’єкта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Передача копії повноваження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7.1.1. Права доступу в Unix-подібних системах</w:t>
      </w:r>
    </w:p>
    <w:p>
      <w:pPr>
        <w:spacing w:after="80" w:line="360"/>
        <w:ind w:firstLine="708"/>
        <w:jc w:val="both"/>
      </w:pPr>
      <w:r>
        <w:t xml:space="preserve">Класичні права Unix — вироджений список сталої довжини: три категорії (власник, група, інші) по три біти r, w, x у вісімковому записі (</w:t>
      </w:r>
      <w:r>
        <w:rPr>
          <w:rFonts w:ascii="Courier New" w:cs="Courier New" w:eastAsia="Courier New" w:hAnsi="Courier New"/>
          <w:sz w:val="24"/>
          <w:szCs w:val="24"/>
        </w:rPr>
        <w:t xml:space="preserve">rwxr-x---</w:t>
      </w:r>
      <w:r>
        <w:t xml:space="preserve"> — 750); для каталогу </w:t>
      </w:r>
      <w:r>
        <w:rPr>
          <w:rFonts w:ascii="Courier New" w:cs="Courier New" w:eastAsia="Courier New" w:hAnsi="Courier New"/>
          <w:sz w:val="24"/>
          <w:szCs w:val="24"/>
        </w:rPr>
        <w:t xml:space="preserve">x</w:t>
      </w:r>
      <w:r>
        <w:t xml:space="preserve"> означає право проходити крізь нього.</w:t>
      </w:r>
    </w:p>
    <w:p>
      <w:pPr>
        <w:spacing w:after="80" w:line="360"/>
        <w:ind w:firstLine="708"/>
        <w:jc w:val="both"/>
      </w:pPr>
      <w:r>
        <w:t xml:space="preserve">Четверта вісімкова цифра містить біти setuid (4), setgid (2) і sticky (1). Під час запуску програми з бітом setuid ефективний ідентифікатор користувача процесу стає ідентифікатором власника файла (для setgid — групи): привілей надано програмі, а не користувачеві, тому будь-який її дефект є підвищенням привілеїв. Sticky на </w:t>
      </w:r>
      <w:r>
        <w:rPr>
          <w:rFonts w:ascii="Courier New" w:cs="Courier New" w:eastAsia="Courier New" w:hAnsi="Courier New"/>
          <w:sz w:val="24"/>
          <w:szCs w:val="24"/>
        </w:rPr>
        <w:t xml:space="preserve">/tmp</w:t>
      </w:r>
      <w:r>
        <w:t xml:space="preserve"> (1777) лишає право вилучення власникові файла або каталогу.</w:t>
      </w:r>
    </w:p>
    <w:p>
      <w:pPr>
        <w:spacing w:after="80" w:line="360"/>
        <w:ind w:firstLine="708"/>
        <w:jc w:val="both"/>
      </w:pPr>
      <w:r>
        <w:t xml:space="preserve">Права новоствореного об’єкта визначають базове значення та маска </w:t>
      </w:r>
      <w:r>
        <w:rPr>
          <w:rFonts w:ascii="Courier New" w:cs="Courier New" w:eastAsia="Courier New" w:hAnsi="Courier New"/>
          <w:sz w:val="24"/>
          <w:szCs w:val="24"/>
        </w:rPr>
        <w:t xml:space="preserve">umask</w:t>
      </w:r>
      <w:r>
        <w:t xml:space="preserve">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факт</w:t>
      </w:r>
      <w:r>
        <w:rPr>
          <w:i/>
          <w:iCs/>
        </w:rPr>
        <w:t xml:space="preserve"> = P</w:t>
      </w:r>
      <w:r>
        <w:rPr>
          <w:i/>
          <w:iCs/>
          <w:vertAlign w:val="subscript"/>
        </w:rPr>
        <w:t xml:space="preserve">баз</w:t>
      </w:r>
      <w:r>
        <w:rPr>
          <w:i/>
          <w:iCs/>
        </w:rPr>
        <w:t xml:space="preserve"> ∧ ¬U</w:t>
      </w:r>
      <w:r>
        <w:t xml:space="preserve">	(7.1)</w:t>
      </w:r>
    </w:p>
    <w:p>
      <w:pPr>
        <w:spacing w:after="80" w:line="360"/>
        <w:ind w:firstLine="708"/>
        <w:jc w:val="both"/>
      </w:pPr>
      <w:r>
        <w:t xml:space="preserve">Числовий приклад. Базові права файла — 0666, каталогу — 0777; за маски U = 0022 формула (7.1) дає 0644 і 0755, а за U = 0077 — 0600 і 0700.</w:t>
      </w:r>
    </w:p>
    <w:p>
      <w:pPr>
        <w:spacing w:after="80" w:line="360"/>
        <w:ind w:firstLine="708"/>
        <w:jc w:val="both"/>
      </w:pPr>
      <w:r>
        <w:t xml:space="preserve">Обмеження трьох категорій знімають POSIX ACL: </w:t>
      </w:r>
      <w:r>
        <w:rPr>
          <w:rFonts w:ascii="Courier New" w:cs="Courier New" w:eastAsia="Courier New" w:hAnsi="Courier New"/>
          <w:sz w:val="24"/>
          <w:szCs w:val="24"/>
        </w:rPr>
        <w:t xml:space="preserve">setfacl -m u:backup:r-- report.pdf</w:t>
      </w:r>
      <w:r>
        <w:t xml:space="preserve"> додає запис для окремого користувача. Права суперкористувача дробить механізм окремих привілеїв Linux, що історично називається capabilities, проте повноваженнями в розумінні п. 7.1 не є: це не посилання на об’єкт, а перелік дозволених процесові системних дій. Процес дістає окремий привілей, наприклад </w:t>
      </w:r>
      <w:r>
        <w:rPr>
          <w:rFonts w:ascii="Courier New" w:cs="Courier New" w:eastAsia="Courier New" w:hAnsi="Courier New"/>
          <w:sz w:val="24"/>
          <w:szCs w:val="24"/>
        </w:rPr>
        <w:t xml:space="preserve">CAP_NET_BIND_SERVICE</w:t>
      </w:r>
      <w:r>
        <w:t xml:space="preserve">; натомість </w:t>
      </w:r>
      <w:r>
        <w:rPr>
          <w:rFonts w:ascii="Courier New" w:cs="Courier New" w:eastAsia="Courier New" w:hAnsi="Courier New"/>
          <w:sz w:val="24"/>
          <w:szCs w:val="24"/>
        </w:rPr>
        <w:t xml:space="preserve">CAP_DAC_OVERRIDE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CAP_SYS_ADMIN</w:t>
      </w:r>
      <w:r>
        <w:t xml:space="preserve"> рівносильні повним правам.</w:t>
      </w:r>
    </w:p>
    <w:p>
      <w:pPr>
        <w:pStyle w:val="Heading3"/>
      </w:pPr>
      <w:r>
        <w:t xml:space="preserve">7.1.2. Розмежування доступу у Windows</w:t>
      </w:r>
    </w:p>
    <w:p>
      <w:pPr>
        <w:spacing w:after="80" w:line="360"/>
        <w:ind w:firstLine="708"/>
        <w:jc w:val="both"/>
      </w:pPr>
      <w:r>
        <w:t xml:space="preserve">Ідентичність процесу подано </w:t>
      </w:r>
      <w:r>
        <w:rPr>
          <w:i/>
          <w:iCs/>
        </w:rPr>
        <w:t xml:space="preserve">маркером доступу</w:t>
      </w:r>
      <w:r>
        <w:t xml:space="preserve"> (англ. </w:t>
      </w:r>
      <w:r>
        <w:rPr>
          <w:i/>
          <w:iCs/>
        </w:rPr>
        <w:t xml:space="preserve">access token</w:t>
      </w:r>
      <w:r>
        <w:t xml:space="preserve">): SID (англ. </w:t>
      </w:r>
      <w:r>
        <w:rPr>
          <w:i/>
          <w:iCs/>
        </w:rPr>
        <w:t xml:space="preserve">security identifier</w:t>
      </w:r>
      <w:r>
        <w:t xml:space="preserve"> — ідентифікатор безпеки) користувача та його груп і перелік привілеїв. Об’єкт має </w:t>
      </w:r>
      <w:r>
        <w:rPr>
          <w:i/>
          <w:iCs/>
        </w:rPr>
        <w:t xml:space="preserve">дескриптор безпеки</w:t>
      </w:r>
      <w:r>
        <w:t xml:space="preserve"> (англ. </w:t>
      </w:r>
      <w:r>
        <w:rPr>
          <w:i/>
          <w:iCs/>
        </w:rPr>
        <w:t xml:space="preserve">security descriptor</w:t>
      </w:r>
      <w:r>
        <w:t xml:space="preserve">) із власником, групою, DACL (англ. </w:t>
      </w:r>
      <w:r>
        <w:rPr>
          <w:i/>
          <w:iCs/>
        </w:rPr>
        <w:t xml:space="preserve">discretionary ACL</w:t>
      </w:r>
      <w:r>
        <w:t xml:space="preserve"> — список доступу) і SACL (англ. </w:t>
      </w:r>
      <w:r>
        <w:rPr>
          <w:i/>
          <w:iCs/>
        </w:rPr>
        <w:t xml:space="preserve">system ACL</w:t>
      </w:r>
      <w:r>
        <w:t xml:space="preserve"> — список звернень, які реєструють, п. 7.4). Елемент списку — ACE (англ. </w:t>
      </w:r>
      <w:r>
        <w:rPr>
          <w:i/>
          <w:iCs/>
        </w:rPr>
        <w:t xml:space="preserve">access control entry</w:t>
      </w:r>
      <w:r>
        <w:t xml:space="preserve">) — містить SID, маску прав і тип [5].</w:t>
      </w:r>
    </w:p>
    <w:p>
      <w:pPr>
        <w:spacing w:after="80" w:line="360"/>
        <w:ind w:firstLine="708"/>
        <w:jc w:val="both"/>
      </w:pPr>
      <w:r>
        <w:t xml:space="preserve">Відсутній DACL надає повний доступ, а наявний порожній — забороняє його. Записи переглядають послідовно: заборонний ACE з наявним у маркері SID припиняє перегляд відмовою, дозвільні накопичують права до покриття запитаної маски, вичерпання списку означає відмову. Через залежність від порядку підтримують канонічний: явні записи передують успадкованим, заборони — дозволам. Межа: привілеї маркера обчислюють поза DACL.</w:t>
      </w:r>
    </w:p>
    <w:p>
      <w:pPr>
        <w:pStyle w:val="Heading2"/>
      </w:pPr>
      <w:r>
        <w:t xml:space="preserve">7.2. Мандатне розмежування доступу в сучасних операційних системах</w:t>
      </w:r>
    </w:p>
    <w:p>
      <w:pPr>
        <w:spacing w:after="80" w:line="360"/>
        <w:ind w:firstLine="708"/>
        <w:jc w:val="both"/>
      </w:pPr>
      <w:r>
        <w:t xml:space="preserve">Дискреційне розмежування доступу має межу: програма діє з усіма правами користувача, тому запущений ним шкідливий код законно читає його файли. Мандатне розмежування доступу (англ. </w:t>
      </w:r>
      <w:r>
        <w:rPr>
          <w:i/>
          <w:iCs/>
        </w:rPr>
        <w:t xml:space="preserve">mandatory access control</w:t>
      </w:r>
      <w:r>
        <w:t xml:space="preserve">, MAC), означене в лекції 6, цю межу знімає [58].</w:t>
      </w:r>
    </w:p>
    <w:p>
      <w:pPr>
        <w:spacing w:after="80" w:line="360"/>
        <w:ind w:firstLine="708"/>
        <w:jc w:val="both"/>
      </w:pPr>
      <w:r>
        <w:t xml:space="preserve">MAC реалізують модулем безпеки ядра — перехоплювачами після дискреційної перевірки, тому політика здатна лише звузити доступ (рис. 7.2). Якщо застосунок працює з вимкненою політикою й не працює з увімкненою, вона надто вузька.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7.2. Порядок перевірок під час системного виклику: дискреційна, мандатна, реєстрація рішення</w:t>
      </w:r>
    </w:p>
    <w:p>
      <w:pPr>
        <w:spacing w:after="80" w:line="360"/>
        <w:ind w:firstLine="708"/>
        <w:jc w:val="both"/>
      </w:pPr>
      <w:r>
        <w:t xml:space="preserve">SELinux [70] надає процесам і ресурсам </w:t>
      </w:r>
      <w:r>
        <w:rPr>
          <w:i/>
          <w:iCs/>
        </w:rPr>
        <w:t xml:space="preserve">контекст безпеки</w:t>
      </w:r>
      <w:r>
        <w:t xml:space="preserve"> (англ. </w:t>
      </w:r>
      <w:r>
        <w:rPr>
          <w:i/>
          <w:iCs/>
        </w:rPr>
        <w:t xml:space="preserve">security context</w:t>
      </w:r>
      <w:r>
        <w:t xml:space="preserve">) вигляду </w:t>
      </w:r>
      <w:r>
        <w:rPr>
          <w:rFonts w:ascii="Courier New" w:cs="Courier New" w:eastAsia="Courier New" w:hAnsi="Courier New"/>
          <w:sz w:val="24"/>
          <w:szCs w:val="24"/>
        </w:rPr>
        <w:t xml:space="preserve">користувач:роль:тип:рівень</w:t>
      </w:r>
      <w:r>
        <w:t xml:space="preserve">, наприклад </w:t>
      </w:r>
      <w:r>
        <w:rPr>
          <w:rFonts w:ascii="Courier New" w:cs="Courier New" w:eastAsia="Courier New" w:hAnsi="Courier New"/>
          <w:sz w:val="24"/>
          <w:szCs w:val="24"/>
        </w:rPr>
        <w:t xml:space="preserve">system_u:system_r:httpd_t:s0</w:t>
      </w:r>
      <w:r>
        <w:t xml:space="preserve">. Основою є примусове застосування типів (англ. </w:t>
      </w:r>
      <w:r>
        <w:rPr>
          <w:i/>
          <w:iCs/>
        </w:rPr>
        <w:t xml:space="preserve">type enforcement</w:t>
      </w:r>
      <w:r>
        <w:t xml:space="preserve">, TE): заборонено все, а політика складається з дозвільних правил; тип процесу називають </w:t>
      </w:r>
      <w:r>
        <w:rPr>
          <w:i/>
          <w:iCs/>
        </w:rPr>
        <w:t xml:space="preserve">доменом</w:t>
      </w:r>
      <w:r>
        <w:t xml:space="preserve"> (англ. </w:t>
      </w:r>
      <w:r>
        <w:rPr>
          <w:i/>
          <w:iCs/>
        </w:rPr>
        <w:t xml:space="preserve">domain</w:t>
      </w:r>
      <w:r>
        <w:t xml:space="preserve">).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allow httpd_t httpd_sys_content_t:file { open read };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allow httpd_t httpd_log_t:file { open append };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type_transition init_t httpd_exec_t : process httpd_t;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allow init_t httpd_exec_t:file execute;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allow init_t httpd_t:process transition;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allow httpd_t httpd_exec_t:file entrypoint;</w:t>
      </w:r>
    </w:p>
    <w:p>
      <w:pPr>
        <w:spacing w:after="80" w:line="360"/>
        <w:ind w:firstLine="708"/>
        <w:jc w:val="both"/>
      </w:pPr>
      <w:r>
        <w:t xml:space="preserve">Перші два правила задають дозволене домену веб-сервера. Решта описує </w:t>
      </w:r>
      <w:r>
        <w:rPr>
          <w:i/>
          <w:iCs/>
        </w:rPr>
        <w:t xml:space="preserve">перехід домену</w:t>
      </w:r>
      <w:r>
        <w:t xml:space="preserve"> (англ. </w:t>
      </w:r>
      <w:r>
        <w:rPr>
          <w:i/>
          <w:iCs/>
        </w:rPr>
        <w:t xml:space="preserve">domain transition</w:t>
      </w:r>
      <w:r>
        <w:t xml:space="preserve">): процес домену </w:t>
      </w:r>
      <w:r>
        <w:rPr>
          <w:rFonts w:ascii="Courier New" w:cs="Courier New" w:eastAsia="Courier New" w:hAnsi="Courier New"/>
          <w:sz w:val="24"/>
          <w:szCs w:val="24"/>
        </w:rPr>
        <w:t xml:space="preserve">init_t</w:t>
      </w:r>
      <w:r>
        <w:t xml:space="preserve">, виконуючи файл типу </w:t>
      </w:r>
      <w:r>
        <w:rPr>
          <w:rFonts w:ascii="Courier New" w:cs="Courier New" w:eastAsia="Courier New" w:hAnsi="Courier New"/>
          <w:sz w:val="24"/>
          <w:szCs w:val="24"/>
        </w:rPr>
        <w:t xml:space="preserve">httpd_exec_t</w:t>
      </w:r>
      <w:r>
        <w:t xml:space="preserve">, переходить у домен </w:t>
      </w:r>
      <w:r>
        <w:rPr>
          <w:rFonts w:ascii="Courier New" w:cs="Courier New" w:eastAsia="Courier New" w:hAnsi="Courier New"/>
          <w:sz w:val="24"/>
          <w:szCs w:val="24"/>
        </w:rPr>
        <w:t xml:space="preserve">httpd_t</w:t>
      </w:r>
      <w:r>
        <w:t xml:space="preserve">. Перший операнд </w:t>
      </w:r>
      <w:r>
        <w:rPr>
          <w:rFonts w:ascii="Courier New" w:cs="Courier New" w:eastAsia="Courier New" w:hAnsi="Courier New"/>
          <w:sz w:val="24"/>
          <w:szCs w:val="24"/>
        </w:rPr>
        <w:t xml:space="preserve">type_transition</w:t>
      </w:r>
      <w:r>
        <w:t xml:space="preserve"> — домен того, хто виконує файл (з </w:t>
      </w:r>
      <w:r>
        <w:rPr>
          <w:rFonts w:ascii="Courier New" w:cs="Courier New" w:eastAsia="Courier New" w:hAnsi="Courier New"/>
          <w:sz w:val="24"/>
          <w:szCs w:val="24"/>
        </w:rPr>
        <w:t xml:space="preserve">httpd_t</w:t>
      </w:r>
      <w:r>
        <w:t xml:space="preserve"> правило задавало б самоперехід), а перехід потребує всіх трьох дозволів: на виконання файла, на перехід і на вхід у новий домен. Тож після компрометації веб-сервера зловмисник діє в межах </w:t>
      </w:r>
      <w:r>
        <w:rPr>
          <w:rFonts w:ascii="Courier New" w:cs="Courier New" w:eastAsia="Courier New" w:hAnsi="Courier New"/>
          <w:sz w:val="24"/>
          <w:szCs w:val="24"/>
        </w:rPr>
        <w:t xml:space="preserve">httpd_t</w:t>
      </w:r>
      <w:r>
        <w:t xml:space="preserve"> і не прочитає </w:t>
      </w:r>
      <w:r>
        <w:rPr>
          <w:rFonts w:ascii="Courier New" w:cs="Courier New" w:eastAsia="Courier New" w:hAnsi="Courier New"/>
          <w:sz w:val="24"/>
          <w:szCs w:val="24"/>
        </w:rPr>
        <w:t xml:space="preserve">/etc/shadow</w:t>
      </w:r>
      <w:r>
        <w:t xml:space="preserve"> навіть від імені root.</w:t>
      </w:r>
    </w:p>
    <w:p>
      <w:pPr>
        <w:spacing w:after="80" w:line="360"/>
        <w:ind w:firstLine="708"/>
        <w:jc w:val="both"/>
      </w:pPr>
      <w:r>
        <w:t xml:space="preserve">Режим enforcing блокує й реєструє порушення, permissive лише реєструє, слугуючи засобом побудови політики; часта помилка — не повернути enforcing.</w:t>
      </w:r>
    </w:p>
    <w:p>
      <w:pPr>
        <w:spacing w:after="80" w:line="360"/>
        <w:ind w:firstLine="708"/>
        <w:jc w:val="both"/>
      </w:pPr>
      <w:r>
        <w:t xml:space="preserve">AppArmor натомість будує профіль навколо шляху до виконуваного файла: правило </w:t>
      </w:r>
      <w:r>
        <w:rPr>
          <w:rFonts w:ascii="Courier New" w:cs="Courier New" w:eastAsia="Courier New" w:hAnsi="Courier New"/>
          <w:sz w:val="24"/>
          <w:szCs w:val="24"/>
        </w:rPr>
        <w:t xml:space="preserve">/srv/www/** r</w:t>
      </w:r>
      <w:r>
        <w:t xml:space="preserve"> у профілі </w:t>
      </w:r>
      <w:r>
        <w:rPr>
          <w:rFonts w:ascii="Courier New" w:cs="Courier New" w:eastAsia="Courier New" w:hAnsi="Courier New"/>
          <w:sz w:val="24"/>
          <w:szCs w:val="24"/>
        </w:rPr>
        <w:t xml:space="preserve">/usr/sbin/nginx</w:t>
      </w:r>
      <w:r>
        <w:t xml:space="preserve"> дозволяє читання каталогу сайту. Спосіб ідентифікації об’єкта й визначає відмінності підходів (табл. 7.2).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7.2 – Порівняння підходів SELinux та AppArmor до мандатного розмежування доступу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720"/>
        <w:gridCol w:w="3721"/>
      </w:tblGrid>
      <w:tr>
        <w:trPr>
          <w:cantSplit/>
          <w:tblHeader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Ознака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SELinux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AppArmor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Ідентифікація об’єкта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Мітка в розширеному атрибуті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Шлях у файловій системі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Перейменування файла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Мітка зберігається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Правило перестає діяти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Трудомісткість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Висока, потрібні готові набори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Нижча, профіль — перелік шляхів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Прив’язка до шляху вразлива до жорстких посилань: той самий файл під іншим іменем підпадає під інші правила. Мітка ж слідує за файлом, але в чужому каталозі її доводиться відновлювати.</w:t>
      </w:r>
    </w:p>
    <w:p>
      <w:pPr>
        <w:pStyle w:val="Heading3"/>
      </w:pPr>
      <w:r>
        <w:t xml:space="preserve">7.2.1. Мінімальні привілеї в контейнерах</w:t>
      </w:r>
    </w:p>
    <w:p>
      <w:pPr>
        <w:spacing w:after="80" w:line="360"/>
        <w:ind w:firstLine="708"/>
        <w:jc w:val="both"/>
      </w:pPr>
      <w:r>
        <w:t xml:space="preserve">Контейнер не є межею безпеки: заходи, перелічені далі, спираються на коректність спільного ядра, тому для коду різних рівнів довіри межею лишається віртуальна машина (лекція 5) [104]. Простори імен обмежують видимість процесів, мережі й точок монтування; cgroups — ресурси; seccomp — множину системних викликів; вилучення привілеїв і непривілейований користувач дають мінімальні привілеї [39].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ВРАЗЛИВО: привілейований режим вимикає обмеження привілеїв і seccomp,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а монтування кореня вузла робить вихід із контейнера тривіальним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docker run --privileged -v /:/host image:1.0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БЕЗПЕЧНО: непривілейований користувач, усі привілеї вилучено, підвищення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привілеїв заборонено, виклики обмежено профілем, порт непривілейований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docker run --user 10001:10001 --cap-drop=ALL \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--security-opt no-new-privileges --security-opt seccomp=profile.json \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-p 443:8080 image:1.0</w:t>
      </w:r>
    </w:p>
    <w:p>
      <w:pPr>
        <w:spacing w:after="80" w:line="360"/>
        <w:ind w:firstLine="708"/>
        <w:jc w:val="both"/>
      </w:pPr>
      <w:r>
        <w:t xml:space="preserve">Повернути окремий привілей на кшталт </w:t>
      </w:r>
      <w:r>
        <w:rPr>
          <w:rFonts w:ascii="Courier New" w:cs="Courier New" w:eastAsia="Courier New" w:hAnsi="Courier New"/>
          <w:sz w:val="24"/>
          <w:szCs w:val="24"/>
        </w:rPr>
        <w:t xml:space="preserve">CAP_NET_BIND_SERVICE</w:t>
      </w:r>
      <w:r>
        <w:t xml:space="preserve"> тут не вдалося б: під час переходу до непривілейованого UID ядро очищає множини привілеїв, тож він діяв би лише за наявності файлових (ambient) привілеїв на виконуваному файлі.</w:t>
      </w:r>
    </w:p>
    <w:p>
      <w:pPr>
        <w:pStyle w:val="Heading2"/>
      </w:pPr>
      <w:r>
        <w:t xml:space="preserve">7.3. Рольова та атрибутна моделі розмежування доступу</w:t>
      </w:r>
    </w:p>
    <w:p>
      <w:pPr>
        <w:spacing w:after="80" w:line="360"/>
        <w:ind w:firstLine="708"/>
        <w:jc w:val="both"/>
      </w:pPr>
      <w:r>
        <w:t xml:space="preserve">Дискреційна й мандатна моделі оперують парою «суб’єкт — об’єкт», тоді як в організації право визначає посадова функція. Її подає </w:t>
      </w:r>
      <w:r>
        <w:rPr>
          <w:i/>
          <w:iCs/>
        </w:rPr>
        <w:t xml:space="preserve">рольова модель розмежування доступу</w:t>
      </w:r>
      <w:r>
        <w:t xml:space="preserve"> (англ. </w:t>
      </w:r>
      <w:r>
        <w:rPr>
          <w:i/>
          <w:iCs/>
        </w:rPr>
        <w:t xml:space="preserve">role-based access control</w:t>
      </w:r>
      <w:r>
        <w:t xml:space="preserve">, RBAC) [69]: дозволи призначають ролям, ролі — користувачам (рис. 7.3).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7.3. Структура рольової моделі: користувачі, ролі, дозволи, сесії, обмеження</w:t>
      </w:r>
    </w:p>
    <w:p>
      <w:pPr>
        <w:spacing w:after="80" w:line="360"/>
        <w:ind w:firstLine="708"/>
        <w:jc w:val="both"/>
      </w:pPr>
      <w:r>
        <w:t xml:space="preserve">Перший ефект — скорочення кількості зв’язків: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пряме</w:t>
      </w:r>
      <w:r>
        <w:rPr>
          <w:i/>
          <w:iCs/>
        </w:rPr>
        <w:t xml:space="preserve"> = |U| · |P| , N</w:t>
      </w:r>
      <w:r>
        <w:rPr>
          <w:i/>
          <w:iCs/>
          <w:vertAlign w:val="subscript"/>
        </w:rPr>
        <w:t xml:space="preserve">RBAC</w:t>
      </w:r>
      <w:r>
        <w:rPr>
          <w:i/>
          <w:iCs/>
        </w:rPr>
        <w:t xml:space="preserve"> = |U| · r + |R| · p</w:t>
      </w:r>
      <w:r>
        <w:t xml:space="preserve">	(7.2)</w:t>
      </w:r>
    </w:p>
    <w:p>
      <w:pPr>
        <w:spacing w:after="80" w:line="360"/>
        <w:ind w:firstLine="708"/>
        <w:jc w:val="both"/>
      </w:pPr>
      <w:r>
        <w:t xml:space="preserve">де r — середня кількість ролей на користувача, p — дозволів у ролі. Числовий приклад: за |U| = 500, |P| = 200, |R| = 20, r = 2 і p = 15 пряме призначення дає до 100 000 зв’язків, а формула (7.2) — 1300. Виграш, утім, головно в оглядності: аудитор аналізує 20 ролей.</w:t>
      </w:r>
    </w:p>
    <w:p>
      <w:pPr>
        <w:spacing w:after="80" w:line="360"/>
        <w:ind w:firstLine="708"/>
        <w:jc w:val="both"/>
      </w:pPr>
      <w:r>
        <w:t xml:space="preserve">Родина моделей має чотири рівні: RBAC0 — базова; RBAC1 — з ієрархією ролей, де старша успадковує дозволи молодшої; RBAC2 — з обмеженнями; RBAC3 — їх об’єднання. Головне обмеження — розділення обов’язків: </w:t>
      </w:r>
      <w:r>
        <w:rPr>
          <w:i/>
          <w:iCs/>
        </w:rPr>
        <w:t xml:space="preserve">статичне</w:t>
      </w:r>
      <w:r>
        <w:t xml:space="preserve"> забороняє призначати одному користувачеві дві конфліктні ролі, </w:t>
      </w:r>
      <w:r>
        <w:rPr>
          <w:i/>
          <w:iCs/>
        </w:rPr>
        <w:t xml:space="preserve">динамічне</w:t>
      </w:r>
      <w:r>
        <w:t xml:space="preserve"> дозволяє мати обидві, але не активувати їх в одній сесії. Ієрархія ж накопичує в старшій ролі права, яких їй не надавали, тому призначення переглядають періодично [3].</w:t>
      </w:r>
    </w:p>
    <w:p>
      <w:pPr>
        <w:spacing w:after="80" w:line="360"/>
        <w:ind w:firstLine="708"/>
        <w:jc w:val="both"/>
      </w:pPr>
      <w:r>
        <w:t xml:space="preserve">Обмеження задають симетричною матрицею конфліктів C над ролями, де C[i, j] = 1 означає заборонене поєднання. У системі закупівель конфліктні пари — «ініціатор заявки — затверджувач бюджету», «ініціатор — приймальник товару», «приймальник — бухгалтер» і «адміністратор ролей — будь-яка інша»: вони розривають цикл «замовив — затвердив — прийняв — оплатив». Роль r надають, якщо для кожної наявної ролі r' виконано C[r, r'] = 0. Межа: конфлікт визначено між ролями, а не між дозволами.</w:t>
      </w:r>
    </w:p>
    <w:p>
      <w:pPr>
        <w:spacing w:after="80" w:line="360"/>
        <w:ind w:firstLine="708"/>
        <w:jc w:val="both"/>
      </w:pPr>
      <w:r>
        <w:t xml:space="preserve">Рольова модель не виражає контекстних правил — «лише для власного відділення» чи «лише в робочий час». Це робить </w:t>
      </w:r>
      <w:r>
        <w:rPr>
          <w:i/>
          <w:iCs/>
        </w:rPr>
        <w:t xml:space="preserve">атрибутна модель розмежування доступу</w:t>
      </w:r>
      <w:r>
        <w:t xml:space="preserve"> (англ. </w:t>
      </w:r>
      <w:r>
        <w:rPr>
          <w:i/>
          <w:iCs/>
        </w:rPr>
        <w:t xml:space="preserve">attribute-based access control</w:t>
      </w:r>
      <w:r>
        <w:t xml:space="preserve">, ABAC) [68]: рішення є предикатом над атрибутами суб’єкта, об’єкта, дії та середовища: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дозвіл ⟺ f(A</w:t>
      </w:r>
      <w:r>
        <w:rPr>
          <w:i/>
          <w:iCs/>
          <w:vertAlign w:val="subscript"/>
        </w:rPr>
        <w:t xml:space="preserve">s</w:t>
      </w:r>
      <w:r>
        <w:rPr>
          <w:i/>
          <w:iCs/>
        </w:rPr>
        <w:t xml:space="preserve">, A</w:t>
      </w:r>
      <w:r>
        <w:rPr>
          <w:i/>
          <w:iCs/>
          <w:vertAlign w:val="subscript"/>
        </w:rPr>
        <w:t xml:space="preserve">o</w:t>
      </w:r>
      <w:r>
        <w:rPr>
          <w:i/>
          <w:iCs/>
        </w:rPr>
        <w:t xml:space="preserve">, A</w:t>
      </w:r>
      <w:r>
        <w:rPr>
          <w:i/>
          <w:iCs/>
          <w:vertAlign w:val="subscript"/>
        </w:rPr>
        <w:t xml:space="preserve">a</w:t>
      </w:r>
      <w:r>
        <w:rPr>
          <w:i/>
          <w:iCs/>
        </w:rPr>
        <w:t xml:space="preserve">, A</w:t>
      </w:r>
      <w:r>
        <w:rPr>
          <w:i/>
          <w:iCs/>
          <w:vertAlign w:val="subscript"/>
        </w:rPr>
        <w:t xml:space="preserve">e</w:t>
      </w:r>
      <w:r>
        <w:rPr>
          <w:i/>
          <w:iCs/>
        </w:rPr>
        <w:t xml:space="preserve">)</w:t>
      </w:r>
      <w:r>
        <w:t xml:space="preserve">	(7.3)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permit(subject, obj, action, env) -&gt; bool:     # предикат (7.3)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(subject.role == "physician" and action == "read"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and obj.department == subject.department      # атрибут об'єкта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and 8 &lt;= env.hour &lt; 20)                      # атрибут середовища</w:t>
      </w:r>
    </w:p>
    <w:p>
      <w:pPr>
        <w:spacing w:after="80" w:line="360"/>
        <w:ind w:firstLine="708"/>
        <w:jc w:val="both"/>
      </w:pPr>
      <w:r>
        <w:t xml:space="preserve">Атрибутна модель виправдана, коли множина об’єктів велика й змінна, а рішення залежить від контексту; для сталого переліку функцій вона надлишкова, бо знижує верифіковність: питання «хто має доступ до об’єкта» рольова модель розв’язує переліком ролей, а атрибутна — обчисленням предиката. Тому застосовують гібрид, де роль є атрибутом.</w:t>
      </w:r>
    </w:p>
    <w:p>
      <w:pPr>
        <w:pStyle w:val="Heading3"/>
      </w:pPr>
      <w:r>
        <w:t xml:space="preserve">7.3.1. Типова помилка реалізації: перевірка лише в інтерфейсі</w:t>
      </w:r>
    </w:p>
    <w:p>
      <w:pPr>
        <w:spacing w:after="80" w:line="360"/>
        <w:ind w:firstLine="708"/>
        <w:jc w:val="both"/>
      </w:pPr>
      <w:r>
        <w:t xml:space="preserve">Поширений дефект — застосувати правило лише в клієнтській частині: пункт меню приховано, а обробник на сервері перевірки не має. Запит формує клієнт, тож приховування елемента інтерфейсу захистом не є (порушення повного посередництва, розібране в п. 5.4.2). Рішення ухвалює сервер — на кожне звернення й щодо конкретного об’єкта, — а відмову реєструють; різновиди порушення розібрано в лекції 9. Зведення моделей — у табл. 7.3.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7.3 – Порівняння моделей розмежування доступу за критеріями вибору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2480"/>
        <w:gridCol w:w="2480"/>
        <w:gridCol w:w="3721"/>
      </w:tblGrid>
      <w:tr>
        <w:trPr>
          <w:cantSplit/>
          <w:tblHeader/>
        </w:trPr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Модель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Хто визначає правило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Одиниця рішення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Межа застосовності</w:t>
            </w:r>
          </w:p>
        </w:tc>
      </w:tr>
      <w:tr>
        <w:trPr>
          <w:cantSplit/>
          <w:tblHeader w:val="false"/>
        </w:trPr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DAC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Власник об’єкта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Пара «суб’єкт — об’єкт»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Процес діє з правами власника</w:t>
            </w:r>
          </w:p>
        </w:tc>
      </w:tr>
      <w:tr>
        <w:trPr>
          <w:cantSplit/>
          <w:tblHeader w:val="false"/>
        </w:trPr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MAC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Адміністратор безпеки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Мітка (тип, гриф)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Трудомісткість; поза бізнес-логікою</w:t>
            </w:r>
          </w:p>
        </w:tc>
      </w:tr>
      <w:tr>
        <w:trPr>
          <w:cantSplit/>
          <w:tblHeader w:val="false"/>
        </w:trPr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RBAC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Адміністратор ролей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Роль (посадова функція)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Нечутливість до контексту</w:t>
            </w:r>
          </w:p>
        </w:tc>
      </w:tr>
      <w:tr>
        <w:trPr>
          <w:cantSplit/>
          <w:tblHeader w:val="false"/>
        </w:trPr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ABAC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Автор політики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Предикат над атрибутами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Складність аудиту; якість атрибутів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7.4. Журналювання та моніторинг безпеки</w:t>
      </w:r>
    </w:p>
    <w:p>
      <w:pPr>
        <w:spacing w:after="80" w:line="360"/>
        <w:ind w:firstLine="708"/>
        <w:jc w:val="both"/>
      </w:pPr>
      <w:r>
        <w:t xml:space="preserve">Запобіжні заходи не бувають повними: вразливість може бути невідомою, облікові дані — викраденими, а інсайдер діє в межах наданих прав. Тому потрібен виявлювальний контроль (лекція 2) і засіб забезпечення невідмовності — протидії загрозі заперечення дій (R за STRIDE, лекція 3) [14].</w:t>
      </w:r>
    </w:p>
    <w:p>
      <w:pPr>
        <w:spacing w:after="80" w:line="360"/>
        <w:ind w:firstLine="708"/>
        <w:jc w:val="both"/>
      </w:pPr>
      <w:r>
        <w:t xml:space="preserve">Журналів два. </w:t>
      </w:r>
      <w:r>
        <w:rPr>
          <w:i/>
          <w:iCs/>
        </w:rPr>
        <w:t xml:space="preserve">Операційний журнал</w:t>
      </w:r>
      <w:r>
        <w:t xml:space="preserve"> (англ. </w:t>
      </w:r>
      <w:r>
        <w:rPr>
          <w:i/>
          <w:iCs/>
        </w:rPr>
        <w:t xml:space="preserve">application log</w:t>
      </w:r>
      <w:r>
        <w:t xml:space="preserve">) призначений для діагностики: його читає розробник, строк зберігання короткий. </w:t>
      </w:r>
      <w:r>
        <w:rPr>
          <w:i/>
          <w:iCs/>
        </w:rPr>
        <w:t xml:space="preserve">Реєстраційний журнал</w:t>
      </w:r>
      <w:r>
        <w:t xml:space="preserve"> (англ. </w:t>
      </w:r>
      <w:r>
        <w:rPr>
          <w:i/>
          <w:iCs/>
        </w:rPr>
        <w:t xml:space="preserve">audit log</w:t>
      </w:r>
      <w:r>
        <w:t xml:space="preserve">) призначений для відповідальності: його читає служба безпеки, зміст — значущі події захисту (табл. 7.4), зміна записів заборонена. Змішування призначень дає дефект: знижуючи докладність, вимикають і реєстрацію.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7.4 – Обов’язкові поля запису реєстраційного журналу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4252"/>
        <w:gridCol w:w="3543"/>
      </w:tblGrid>
      <w:tr>
        <w:trPr>
          <w:cantSplit/>
          <w:tblHeader/>
        </w:trPr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Поле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Зміст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Приклад значення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Коли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Мітка часу події в UTC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2026-03-14T08:41:02Z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Хто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Стійкий ідентифікатор суб’єкта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u-10427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Що і над чим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Код дії та ідентифікатор об’єкта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invoice.read, inv-2026-0091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Результат і причина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Рішення та застосоване правило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deny, pol-dept-mismatch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Реєструють вхід і невдалу спробу входу, зміну прав і ролей, відмову в доступі, дії адміністраторів, експорт великих обсягів даних і зміни конфігурації. Поодинока відмова звичайна, а серія від одного суб’єкта — ознака розвідки.</w:t>
      </w:r>
    </w:p>
    <w:p>
      <w:pPr>
        <w:spacing w:after="80" w:line="360"/>
        <w:ind w:firstLine="708"/>
        <w:jc w:val="both"/>
      </w:pPr>
      <w:r>
        <w:t xml:space="preserve">Не записують паролі, токени, ключі та ідентифікатори сесій [28, 29], а також повні номери карток і надлишкові персональні дані [61, 62]: журнал має ширше коло читачів і довший строк зберігання, тому сам стає об’єктом атаки.</w:t>
      </w:r>
    </w:p>
    <w:p>
      <w:pPr>
        <w:spacing w:after="80" w:line="360"/>
        <w:ind w:firstLine="708"/>
        <w:jc w:val="both"/>
      </w:pPr>
      <w:r>
        <w:t xml:space="preserve">Від підробки журнал захищають трьома заходами: режимом лише додавання; негайним передаванням копії на окремий вузол; ланцюгом хешів, де кожен запис зв’язано з попереднім: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= H(h</w:t>
      </w:r>
      <w:r>
        <w:rPr>
          <w:i/>
          <w:iCs/>
          <w:vertAlign w:val="subscript"/>
        </w:rPr>
        <w:t xml:space="preserve">i-1</w:t>
      </w:r>
      <w:r>
        <w:rPr>
          <w:i/>
          <w:iCs/>
        </w:rPr>
        <w:t xml:space="preserve"> ‖ r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)</w:t>
      </w:r>
      <w:r>
        <w:t xml:space="preserve">	(7.4)</w:t>
      </w:r>
    </w:p>
    <w:p>
      <w:pPr>
        <w:spacing w:after="80" w:line="360"/>
        <w:ind w:firstLine="708"/>
        <w:jc w:val="both"/>
      </w:pPr>
      <w:r>
        <w:t xml:space="preserve">де r</w:t>
      </w:r>
      <w:r>
        <w:rPr>
          <w:vertAlign w:val="subscript"/>
        </w:rPr>
        <w:t xml:space="preserve">i</w:t>
      </w:r>
      <w:r>
        <w:t xml:space="preserve"> — i-й запис, h</w:t>
      </w:r>
      <w:r>
        <w:rPr>
          <w:vertAlign w:val="subscript"/>
        </w:rPr>
        <w:t xml:space="preserve">0</w:t>
      </w:r>
      <w:r>
        <w:t xml:space="preserve"> — стале початкове значення. Побудова (7.4) виявляє зміну запису в середині журналу, бо наступні значення перестають узгоджуватися, проте не виявляє відсікання хвоста, тому поточне h періодично публікують на незалежному вузлі. Розбіжність годинників змінює порядок подій у зведеному журналі [102], тож час фіксують у UTC.</w:t>
      </w:r>
    </w:p>
    <w:p>
      <w:pPr>
        <w:spacing w:after="80" w:line="360"/>
        <w:ind w:firstLine="708"/>
        <w:jc w:val="both"/>
      </w:pPr>
      <w:r>
        <w:t xml:space="preserve">Моніторинг безпеки виявляє відхилення від очікуваної поведінки (рис. 7.4).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7.4. Виявлення відхилення від базової лінії поведінки: спостереження, поріг, сигнал</w:t>
      </w:r>
    </w:p>
    <w:p>
      <w:pPr>
        <w:spacing w:after="80" w:line="360"/>
        <w:ind w:firstLine="708"/>
        <w:jc w:val="both"/>
      </w:pPr>
      <w:r>
        <w:t xml:space="preserve">Вимірювану характеристику, яку зіставляють з очікуваним значенням, називають </w:t>
      </w:r>
      <w:r>
        <w:rPr>
          <w:i/>
          <w:iCs/>
        </w:rPr>
        <w:t xml:space="preserve">контрольованою метрикою поведінки</w:t>
      </w:r>
      <w:r>
        <w:t xml:space="preserve"> (англ. </w:t>
      </w:r>
      <w:r>
        <w:rPr>
          <w:i/>
          <w:iCs/>
        </w:rPr>
        <w:t xml:space="preserve">behavioural metric</w:t>
      </w:r>
      <w:r>
        <w:t xml:space="preserve">): частота невдалих входів, обсяг вивантажених даних. Опис її нормальних значень утворює </w:t>
      </w:r>
      <w:r>
        <w:rPr>
          <w:i/>
          <w:iCs/>
        </w:rPr>
        <w:t xml:space="preserve">базову лінію поведінки</w:t>
      </w:r>
      <w:r>
        <w:t xml:space="preserve"> (англ. </w:t>
      </w:r>
      <w:r>
        <w:rPr>
          <w:i/>
          <w:iCs/>
        </w:rPr>
        <w:t xml:space="preserve">baseline</w:t>
      </w:r>
      <w:r>
        <w:t xml:space="preserve">), а відхилення понад поріг — </w:t>
      </w:r>
      <w:r>
        <w:rPr>
          <w:i/>
          <w:iCs/>
        </w:rPr>
        <w:t xml:space="preserve">статистичною аномалією</w:t>
      </w:r>
      <w:r>
        <w:t xml:space="preserve"> (англ. </w:t>
      </w:r>
      <w:r>
        <w:rPr>
          <w:i/>
          <w:iCs/>
        </w:rPr>
        <w:t xml:space="preserve">statistical anomaly</w:t>
      </w:r>
      <w:r>
        <w:t xml:space="preserve">); критерій — нормоване відхилення: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z = (x − μ) / σ</w:t>
      </w:r>
      <w:r>
        <w:t xml:space="preserve">	(7.5)</w:t>
      </w:r>
    </w:p>
    <w:p>
      <w:pPr>
        <w:spacing w:after="80" w:line="360"/>
        <w:ind w:firstLine="708"/>
        <w:jc w:val="both"/>
      </w:pPr>
      <w:r>
        <w:t xml:space="preserve">де x — спостережене значення метрики, μ і σ — середнє та середньоквадратичне відхилення базової лінії; значення визнають аномальним за |z| &gt; k, типово k = 3.</w:t>
      </w:r>
    </w:p>
    <w:p>
      <w:pPr>
        <w:spacing w:after="80" w:line="360"/>
        <w:ind w:firstLine="708"/>
        <w:jc w:val="both"/>
      </w:pPr>
      <w:r>
        <w:t xml:space="preserve">Числовий приклад. За μ = 4 невдалих входів на годину і σ = 2 значення x = 20 дає за формулою (7.5) z = 8, тобто аномалію.</w:t>
      </w:r>
    </w:p>
    <w:p>
      <w:pPr>
        <w:spacing w:after="80" w:line="360"/>
        <w:ind w:firstLine="708"/>
        <w:jc w:val="both"/>
      </w:pPr>
      <w:r>
        <w:t xml:space="preserve">Обмежень три. Базову лінію будують у завідомо чистий період, інакше активність порушника стає нормою. Розподіли рідко нормальні. Головне ж обмеження — частка справжніх подій.</w:t>
      </w:r>
    </w:p>
    <w:p>
      <w:pPr>
        <w:spacing w:after="80" w:line="360"/>
        <w:ind w:firstLine="708"/>
        <w:jc w:val="both"/>
      </w:pPr>
      <w:r>
        <w:t xml:space="preserve">Числовий приклад (значення умовні). Нехай система обробляє 10</w:t>
      </w:r>
      <w:r>
        <w:rPr>
          <w:vertAlign w:val="superscript"/>
        </w:rPr>
        <w:t xml:space="preserve">6</w:t>
      </w:r>
      <w:r>
        <w:t xml:space="preserve"> сесій на добу, а частка зловмисних — 10</w:t>
      </w:r>
      <w:r>
        <w:rPr>
          <w:vertAlign w:val="superscript"/>
        </w:rPr>
        <w:t xml:space="preserve">-4</w:t>
      </w:r>
      <w:r>
        <w:t xml:space="preserve">, тобто 100 сесій. За чутливості 0,99 виявлять 99 з них, а за частки хибнопозитивних спрацювань 0,01 законні сесії дадуть близько 9 999 сигналів, тож частка справжніх — 99 / (99 + 9 999) ≈ 0,0098. Отже, зниження частки хибнопозитивних спрацювань важливіше за підвищення чутливості, тому сигнали зіставляють із техніками порушника [35]. Сигнал, для якого не визначено процедури реагування, контролем не є [102].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Матриця доступу існує у двох поданнях: списки керування доступом полегшують відкликання права, списки повноважень — делегування; обидва механізми мають обходи — setuid-програми та привілеї маркера.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Мандатне розмежування діє після дискреційної перевірки й лише звужує доступ, зате обмежує й процес із правами root; SELinux ідентифікує об’єкт міткою, AppArmor — шляхом.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Рольова модель дає оглядну політику та розділення обов’язків, атрибутна — контекстні рішення ціною верифіковності; перевірка прав в інтерфейсі розмежуванням доступу не є.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Цінність журналу й моніторингу визначають захищеність записів від підробки, єдине джерело часу та частка хибнопозитивних спрацювань.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списки керування доступом і списки повноважень за операціями відкликання та делегування права.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Обчисліть права файла й каталогу, створених за маски umask 0027, і поясніть результат.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Яку задачу розв’язує біт setuid і чому кількість таких програм у системі мінімізують?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Чим порожній DACL об’єкта Windows відрізняється за наслідками від відсутнього DACL?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Поясніть, чому мандатна політика не здатна розширити доступ, і що з цього випливає для діагностики несправностей.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SELinux та AppArmor за способом ідентифікації об’єкта. Що станеться з правилами після перейменування файла?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Які заходи реалізують мінімальні привілеї в контейнері та від чого вони не захищають?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за формулою (7.2) рольова модель скорочує кількість зв’язків і в чому її головна перевага?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статичне й динамічне розділення обов’язків. Наведіть ситуацію, у якій прийнятне лише друге.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Поясніть на числовому прикладі, чому за низької частки зловмисних подій навіть точний детектор дає переважно хибні сигнали.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Списки повноважень, на відміну від ACL, ускладнюють: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відповідь на питання, до чого має доступ суб’єкт;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відкликання наданого права;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делегування права;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зберігання розрідженої матриці.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За маски umask 0022 новий звичайний файл отримує права: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0666;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0755;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0644;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0600.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Мандатну політику в сучасних операційних системах перевіряють: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замість дискреційної перевірки прав;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після дискреційної перевірки, і вона лише звужує доступ;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до дискреційної перевірки, і вона може розширити доступ;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лише для процесів від імені суперкористувача.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Динамічне розділення обов’язків у RBAC полягає в тому,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конфліктні ролі не можна призначити одному користувачеві;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конфліктні ролі не можна активувати в межах однієї сесії;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роль надається лише на визначений строк;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старша роль успадковує дозволи молодшої.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Ланцюг хешів у реєстраційному журналі виявляє: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відсікання останніх записів журналу;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читання журналу сторонньою особою;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зміну або вилучення запису в середині журналу;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розбіжність годинників між вузлами.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б; 4 – б; 5 – в.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Проблема заплутаного заступника та захист від неї в системах на основі повноважень.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Мова опису політик XACML: точки ухвалення й застосування рішень, поєднання правил.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Кореляція подій безпеки: правила кореляції, часові вікна, зіставлення сигналів із техніками ATT&amp;CK.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Anderson R. Security Engineering: A Guide to Building Dependable Distributed Systems / R. Anderson. – 3rd ed. – Indianapolis : Wiley, 2020. – 1232 p. (розд. «Access Control») [3].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Sandhu R. S. Role-Based Access Control Models / R. S. Sandhu, E. J. Coyne, H. L. Feinstein, C. E. Youman // IEEE Computer. – 1996. – Vol. 29, № 2. – P. 38–47 [69].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NIST SP 800-162. Guide to Attribute Based Access Control (ABAC) Definition and Considerations / V. Hu [et al.]. – Gaithersburg : NIST, 2014. – Розд. 2–3 [68].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Smalley S. Implementing SELinux as a Linux Security Module / S. Smalley, C. Vance, W. Salamon. – NAI Labs Report #01-043, 2006 [70].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NIST SP 800-190. Application Container Security Guide / M. Souppaya, J. Morello, K. Scarfone. – Gaithersburg : NIST, 2017. – Розд. 4 [104].</w:t>
      </w:r>
    </w:p>
    <w:sectPr>
      <w:headerReference w:type="default" r:id="rId7"/>
      <w:footerReference w:type="default" r:id="rId8"/>
      <w:pgSz w:w="11905" w:h="16837" w:orient="portrait"/>
      <w:pgMar w:top="1133" w:right="566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Лекція 7 · Безпека 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20" w:line="30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00" w:line="3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160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c7d898f37cc7b04cf6506f16a6b8a0ea3c372b.png"/><Relationship Id="rId10" Type="http://schemas.openxmlformats.org/officeDocument/2006/relationships/image" Target="media/3439f5671896810cfcabbb1b375cfdd348b88f16.png"/><Relationship Id="rId11" Type="http://schemas.openxmlformats.org/officeDocument/2006/relationships/image" Target="media/e032d0adb712eabab9658c99e0360cfacd412d83.png"/><Relationship Id="rId12" Type="http://schemas.openxmlformats.org/officeDocument/2006/relationships/image" Target="media/45617f37b6269747e0bb0be5364d01c62cdec7b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2026-10-06T23:42:48.926Z</dcterms:created>
  <dcterms:modified xsi:type="dcterms:W3CDTF">2026-10-06T23:42:48.927Z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