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9. Автентифікація та авторизація в розподілених застосунках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Керування сесіями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Токени доступу та JSON Web Token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Делегована авторизація: OAuth 2.0 та OpenID Connect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Порушення контролю доступу в застосунках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сесія, ідентифікатор сесії, cookie, фіксація сесії, токен доступу, JSON Web Token, токен оновлення, делегована авторизація, OAuth 2.0, OpenID Connect, єдиний вхід, порушення контролю доступу.</w:t>
      </w:r>
    </w:p>
    <w:p>
      <w:pPr>
        <w:pStyle w:val="Heading2"/>
      </w:pPr>
      <w:r>
        <w:t xml:space="preserve">9.1. Керування сесіями</w:t>
      </w:r>
    </w:p>
    <w:p>
      <w:pPr>
        <w:spacing w:after="80" w:line="360"/>
        <w:ind w:firstLine="708"/>
        <w:jc w:val="both"/>
      </w:pPr>
      <w:r>
        <w:t xml:space="preserve">Лекція 8 розглянула перевірку тверджень про особу під час входу. Протокол HTTP стану не має: кожен запит опрацьовується незалежно, а повторювати повну автентифікацію на кожному неприйнятно — перевірка пароля стійкою функцією формування ключа навмисно повільна.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Сесія</w:t>
      </w:r>
      <w:r>
        <w:t xml:space="preserve"> (англ. </w:t>
      </w:r>
      <w:r>
        <w:rPr>
          <w:i/>
          <w:iCs/>
        </w:rPr>
        <w:t xml:space="preserve">session</w:t>
      </w:r>
      <w:r>
        <w:t xml:space="preserve">) — обмежений у часі стан взаємодії суб’єкта із системою, що пов’язує послідовність запитів із результатом однієї автентифікації. Реалізацій дві (рис. 9.1). За схеми </w:t>
      </w:r>
      <w:r>
        <w:rPr>
          <w:i/>
          <w:iCs/>
        </w:rPr>
        <w:t xml:space="preserve">зі збереженням стану</w:t>
      </w:r>
      <w:r>
        <w:t xml:space="preserve"> (англ. </w:t>
      </w:r>
      <w:r>
        <w:rPr>
          <w:i/>
          <w:iCs/>
        </w:rPr>
        <w:t xml:space="preserve">stateful</w:t>
      </w:r>
      <w:r>
        <w:t xml:space="preserve">) запис сесії тримає сервер, а клієнтові видає </w:t>
      </w:r>
      <w:r>
        <w:rPr>
          <w:i/>
          <w:iCs/>
        </w:rPr>
        <w:t xml:space="preserve">ідентифікатор сесії</w:t>
      </w:r>
      <w:r>
        <w:t xml:space="preserve"> (англ. </w:t>
      </w:r>
      <w:r>
        <w:rPr>
          <w:i/>
          <w:iCs/>
        </w:rPr>
        <w:t xml:space="preserve">session identifier</w:t>
      </w:r>
      <w:r>
        <w:t xml:space="preserve">) — непрозоре посилання без структури: відкликання миттєве, проте потрібне спільне сховище. За схеми </w:t>
      </w:r>
      <w:r>
        <w:rPr>
          <w:i/>
          <w:iCs/>
        </w:rPr>
        <w:t xml:space="preserve">без збереження стану</w:t>
      </w:r>
      <w:r>
        <w:t xml:space="preserve"> (англ. </w:t>
      </w:r>
      <w:r>
        <w:rPr>
          <w:i/>
          <w:iCs/>
        </w:rPr>
        <w:t xml:space="preserve">stateless</w:t>
      </w:r>
      <w:r>
        <w:t xml:space="preserve">) його переносить клієнт у токені із захистом цілісності (п. 9.2): схема масштабується, але відкликання не миттєве.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9.1. Автентифікація зі збереженням стану і без нього: розміщення стану та точка перевірки</w:t>
      </w:r>
    </w:p>
    <w:p>
      <w:pPr>
        <w:pStyle w:val="Heading3"/>
      </w:pPr>
      <w:r>
        <w:t xml:space="preserve">9.1.1. Вимоги до ідентифікатора сесії</w:t>
      </w:r>
    </w:p>
    <w:p>
      <w:pPr>
        <w:spacing w:after="80" w:line="360"/>
        <w:ind w:firstLine="708"/>
        <w:jc w:val="both"/>
      </w:pPr>
      <w:r>
        <w:t xml:space="preserve">Ідентифікатор заміщує пароль на час сесії, тому вимоги до нього не м’якші. Джерелом має бути </w:t>
      </w:r>
      <w:r>
        <w:rPr>
          <w:i/>
          <w:iCs/>
        </w:rPr>
        <w:t xml:space="preserve">криптографічно стійкий генератор псевдовипадкових чисел</w:t>
      </w:r>
      <w:r>
        <w:t xml:space="preserve"> (англ. </w:t>
      </w:r>
      <w:r>
        <w:rPr>
          <w:i/>
          <w:iCs/>
        </w:rPr>
        <w:t xml:space="preserve">cryptographically secure pseudorandom number generator</w:t>
      </w:r>
      <w:r>
        <w:t xml:space="preserve">, CSPRNG): ініціалізований поточним часом генератор звужує пошук до тисяч значень. Очікувану кількість вгаданих чинних ідентифікаторів за час </w:t>
      </w:r>
      <w:r>
        <w:rPr>
          <w:i/>
          <w:iCs/>
        </w:rPr>
        <w:t xml:space="preserve">t</w:t>
      </w:r>
      <w:r>
        <w:t xml:space="preserve"> оцінюють як добуток числа спроб на частку зайнятого простору: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вгад</w:t>
      </w:r>
      <w:r>
        <w:rPr>
          <w:i/>
          <w:iCs/>
        </w:rPr>
        <w:t xml:space="preserve"> ≈ (A · r · t) / 2</w:t>
      </w:r>
      <w:r>
        <w:rPr>
          <w:i/>
          <w:iCs/>
          <w:vertAlign w:val="superscript"/>
        </w:rPr>
        <w:t xml:space="preserve">H</w:t>
      </w:r>
      <w:r>
        <w:t xml:space="preserve">	(9.1)</w:t>
      </w:r>
    </w:p>
    <w:p>
      <w:pPr>
        <w:spacing w:after="80" w:line="360"/>
        <w:ind w:firstLine="708"/>
        <w:jc w:val="both"/>
      </w:pPr>
      <w:r>
        <w:t xml:space="preserve">Числовий приклад. Нехай </w:t>
      </w:r>
      <w:r>
        <w:rPr>
          <w:i/>
          <w:iCs/>
        </w:rPr>
        <w:t xml:space="preserve">A</w:t>
      </w:r>
      <w:r>
        <w:t xml:space="preserve"> = 10</w:t>
      </w:r>
      <w:r>
        <w:rPr>
          <w:vertAlign w:val="superscript"/>
        </w:rPr>
        <w:t xml:space="preserve">4</w:t>
      </w:r>
      <w:r>
        <w:t xml:space="preserve"> чинних сесій, швидкість перебору </w:t>
      </w:r>
      <w:r>
        <w:rPr>
          <w:i/>
          <w:iCs/>
        </w:rPr>
        <w:t xml:space="preserve">r</w:t>
      </w:r>
      <w:r>
        <w:t xml:space="preserve"> = 10</w:t>
      </w:r>
      <w:r>
        <w:rPr>
          <w:vertAlign w:val="superscript"/>
        </w:rPr>
        <w:t xml:space="preserve">3</w:t>
      </w:r>
      <w:r>
        <w:t xml:space="preserve"> запитів/с, час </w:t>
      </w:r>
      <w:r>
        <w:rPr>
          <w:i/>
          <w:iCs/>
        </w:rPr>
        <w:t xml:space="preserve">t</w:t>
      </w:r>
      <w:r>
        <w:t xml:space="preserve"> = 86 400 с. За ентропії </w:t>
      </w:r>
      <w:r>
        <w:rPr>
          <w:i/>
          <w:iCs/>
        </w:rPr>
        <w:t xml:space="preserve">H</w:t>
      </w:r>
      <w:r>
        <w:t xml:space="preserve"> = 32 біти формула (9.1) дає </w:t>
      </w:r>
      <w:r>
        <w:rPr>
          <w:i/>
          <w:iCs/>
        </w:rPr>
        <w:t xml:space="preserve">N</w:t>
      </w:r>
      <w:r>
        <w:rPr>
          <w:vertAlign w:val="subscript"/>
        </w:rPr>
        <w:t xml:space="preserve">вгад</w:t>
      </w:r>
      <w:r>
        <w:t xml:space="preserve"> ≈ 201, тобто близько двохсот чужих сесій, вгаданих за добу; за </w:t>
      </w:r>
      <w:r>
        <w:rPr>
          <w:i/>
          <w:iCs/>
        </w:rPr>
        <w:t xml:space="preserve">H</w:t>
      </w:r>
      <w:r>
        <w:t xml:space="preserve"> = 64 маємо 4,7·10</w:t>
      </w:r>
      <w:r>
        <w:rPr>
          <w:vertAlign w:val="superscript"/>
        </w:rPr>
        <w:t xml:space="preserve">-8</w:t>
      </w:r>
      <w:r>
        <w:t xml:space="preserve">. За </w:t>
      </w:r>
      <w:r>
        <w:rPr>
          <w:i/>
          <w:iCs/>
        </w:rPr>
        <w:t xml:space="preserve">N</w:t>
      </w:r>
      <w:r>
        <w:rPr>
          <w:vertAlign w:val="subscript"/>
        </w:rPr>
        <w:t xml:space="preserve">вгад</w:t>
      </w:r>
      <w:r>
        <w:t xml:space="preserve"> ≪ 1 оцінка збігається з ймовірністю хоча б одного влучання, тож друге число — імовірність, а перше — лише кількість влучань. Стандарт [28] вимагає не менш ніж 64 біти, практично беруть 128.</w:t>
      </w:r>
    </w:p>
    <w:p>
      <w:pPr>
        <w:spacing w:after="80" w:line="360"/>
        <w:ind w:firstLine="708"/>
        <w:jc w:val="both"/>
      </w:pPr>
      <w:r>
        <w:t xml:space="preserve">Ідентифікатор зберігають на сервері як ключ запису сесії, а передають у cookie, не в URL: адреса потрапляє до журналів проксі, історії браузера та </w:t>
      </w:r>
      <w:r>
        <w:rPr>
          <w:rFonts w:ascii="Courier New" w:cs="Courier New" w:eastAsia="Courier New" w:hAnsi="Courier New"/>
          <w:sz w:val="24"/>
          <w:szCs w:val="24"/>
        </w:rPr>
        <w:t xml:space="preserve">Referer</w:t>
      </w:r>
      <w:r>
        <w:t xml:space="preserve">. Час життя обмежують двічі: бездіяльність (15–30 хвилин) закриває вікно покинутого робочого місця, абсолютний строк від входу (8–12 годин) — вікно викрадення.</w:t>
      </w:r>
    </w:p>
    <w:p>
      <w:pPr>
        <w:pStyle w:val="Heading3"/>
      </w:pPr>
      <w:r>
        <w:t xml:space="preserve">9.1.2. Атрибути cookie та атаки на сесію</w:t>
      </w:r>
    </w:p>
    <w:p>
      <w:pPr>
        <w:spacing w:after="80" w:line="360"/>
        <w:ind w:firstLine="708"/>
        <w:jc w:val="both"/>
      </w:pPr>
      <w:r>
        <w:t xml:space="preserve">Захисних властивостей cookie сама не має — їх задають атрибути (табл. 9.1).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9.1 – Захисні атрибути cookie сесії [29]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2918"/>
        <w:gridCol w:w="1751"/>
        <w:gridCol w:w="3501"/>
      </w:tblGrid>
      <w:tr>
        <w:trPr>
          <w:cantSplit/>
          <w:tblHeader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 дії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HttpOnly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недоступна сценаріям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викрадення за XSS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сценарій і без cookie діє від імені жертви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надсилається лише каналом HTTPS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перехоплення в каналі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захищає передавання, але не цілісність набору: нав’язування з HTTP усуває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Strict-Transport-Security</w:t>
            </w:r>
            <w:r>
              <w:rPr>
                <w:sz w:val="24"/>
                <w:szCs w:val="24"/>
              </w:rPr>
              <w:t xml:space="preserve">, підміну з піддомену — префікси нижче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SameSite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Strict</w:t>
            </w:r>
            <w:r>
              <w:rPr>
                <w:sz w:val="24"/>
                <w:szCs w:val="24"/>
              </w:rPr>
              <w:t xml:space="preserve"> — не надсилати міжсайтово,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Lax</w:t>
            </w:r>
            <w:r>
              <w:rPr>
                <w:sz w:val="24"/>
                <w:szCs w:val="24"/>
              </w:rPr>
              <w:t xml:space="preserve"> — лише за навігації GET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CSRF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Lax</w:t>
            </w:r>
            <w:r>
              <w:rPr>
                <w:sz w:val="24"/>
                <w:szCs w:val="24"/>
              </w:rPr>
              <w:t xml:space="preserve"> не захищає, якщо GET змінює стан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__Secure-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__Host-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Secure</w:t>
            </w:r>
            <w:r>
              <w:rPr>
                <w:sz w:val="24"/>
                <w:szCs w:val="24"/>
              </w:rPr>
              <w:t xml:space="preserve">, для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__Host-</w:t>
            </w:r>
            <w:r>
              <w:rPr>
                <w:sz w:val="24"/>
                <w:szCs w:val="24"/>
              </w:rPr>
              <w:t xml:space="preserve"> ще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Path=/</w:t>
            </w:r>
            <w:r>
              <w:rPr>
                <w:sz w:val="24"/>
                <w:szCs w:val="24"/>
              </w:rPr>
              <w:t xml:space="preserve"> без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з піддомену, зокрема через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для одного вузла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Атаки на сесію утворюють три класи. </w:t>
      </w:r>
      <w:r>
        <w:rPr>
          <w:i/>
          <w:iCs/>
        </w:rPr>
        <w:t xml:space="preserve">Викрадення сесії</w:t>
      </w:r>
      <w:r>
        <w:t xml:space="preserve"> (англ. </w:t>
      </w:r>
      <w:r>
        <w:rPr>
          <w:i/>
          <w:iCs/>
        </w:rPr>
        <w:t xml:space="preserve">session hijacking</w:t>
      </w:r>
      <w:r>
        <w:t xml:space="preserve">) — заволодіння ідентифікатором через XSS, відкритий канал або журнали; контрзаходи — атрибути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Secure</w:t>
      </w:r>
      <w:r>
        <w:t xml:space="preserve"> та політика безпеки вмісту [92]. </w:t>
      </w:r>
      <w:r>
        <w:rPr>
          <w:i/>
          <w:iCs/>
        </w:rPr>
        <w:t xml:space="preserve">Фіксація сесії</w:t>
      </w:r>
      <w:r>
        <w:t xml:space="preserve"> (англ. </w:t>
      </w:r>
      <w:r>
        <w:rPr>
          <w:i/>
          <w:iCs/>
        </w:rPr>
        <w:t xml:space="preserve">session fixation</w:t>
      </w:r>
      <w:r>
        <w:t xml:space="preserve">) — нав’язування жертві відомого порушникові ідентифікатора до входу: без перевипуску після автентифікації той самий рядок стає привілейованим. </w:t>
      </w:r>
      <w:r>
        <w:rPr>
          <w:i/>
          <w:iCs/>
        </w:rPr>
        <w:t xml:space="preserve">Повторне відтворення</w:t>
      </w:r>
      <w:r>
        <w:t xml:space="preserve"> (англ. </w:t>
      </w:r>
      <w:r>
        <w:rPr>
          <w:i/>
          <w:iCs/>
        </w:rPr>
        <w:t xml:space="preserve">replay</w:t>
      </w:r>
      <w:r>
        <w:t xml:space="preserve">) — надсилання перехопленого запиту вдруге; контрзахід — TLS [22] і короткий строк дії.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secrets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sessions = {}  # спільне сховище сесій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login_v1(sid, user):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збережено надісланий клієнтом ідентифікатор; нав'язаний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порушником до входу, він після автентифікації стає привілейованим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sessions[sid] = {"user": user}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sid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login_v2(sid, user):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попередній стан знищено, ідентифікатор перевипущено з CSPRNG;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ту саму ротацію виконують і після підвищення привілеїв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sessions.pop(sid, None)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new = secrets.token_urlsafe(16)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sessions[new] = {"user": user}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new</w:t>
      </w:r>
    </w:p>
    <w:p>
      <w:pPr>
        <w:spacing w:after="80" w:line="360"/>
        <w:ind w:firstLine="708"/>
        <w:jc w:val="both"/>
      </w:pPr>
      <w:r>
        <w:t xml:space="preserve">Cookie сесії надсилають як </w:t>
      </w:r>
      <w:r>
        <w:rPr>
          <w:rFonts w:ascii="Courier New" w:cs="Courier New" w:eastAsia="Courier New" w:hAnsi="Courier New"/>
          <w:sz w:val="24"/>
          <w:szCs w:val="24"/>
        </w:rPr>
        <w:t xml:space="preserve">__Host-sid=…; Secure; HttpOnly; SameSite=Lax; Path=/</w:t>
      </w:r>
      <w:r>
        <w:t xml:space="preserve">, а вихід із системи видаляє запис на сервері, не лише cookie.</w:t>
      </w:r>
    </w:p>
    <w:p>
      <w:pPr>
        <w:pStyle w:val="Heading2"/>
      </w:pPr>
      <w:r>
        <w:t xml:space="preserve">9.2. Токени доступу та JSON Web Token</w:t>
      </w:r>
    </w:p>
    <w:p>
      <w:pPr>
        <w:spacing w:after="80" w:line="360"/>
        <w:ind w:firstLine="708"/>
        <w:jc w:val="both"/>
      </w:pPr>
      <w:r>
        <w:t xml:space="preserve">У системі з десятків сервісів спільне сховище сесій стає спільним механізмом і точкою відмови, чого принципи проєктування (лекція 5) радять уникати. Альтернатива — </w:t>
      </w:r>
      <w:r>
        <w:rPr>
          <w:i/>
          <w:iCs/>
        </w:rPr>
        <w:t xml:space="preserve">токен доступу</w:t>
      </w:r>
      <w:r>
        <w:t xml:space="preserve"> (англ. </w:t>
      </w:r>
      <w:r>
        <w:rPr>
          <w:i/>
          <w:iCs/>
        </w:rPr>
        <w:t xml:space="preserve">access token</w:t>
      </w:r>
      <w:r>
        <w:t xml:space="preserve">): самодостатнє посвідчення про суб’єкта, підписане емітентом.</w:t>
      </w:r>
    </w:p>
    <w:p>
      <w:pPr>
        <w:spacing w:after="80" w:line="360"/>
        <w:ind w:firstLine="708"/>
        <w:jc w:val="both"/>
      </w:pPr>
      <w:r>
        <w:t xml:space="preserve">Таким посвідченням найчастіше є JWT [24] — компактне подання набору тверджень (англ. </w:t>
      </w:r>
      <w:r>
        <w:rPr>
          <w:i/>
          <w:iCs/>
        </w:rPr>
        <w:t xml:space="preserve">claims</w:t>
      </w:r>
      <w:r>
        <w:t xml:space="preserve">) у форматі JSON. Подань два: підписане JWS (англ. </w:t>
      </w:r>
      <w:r>
        <w:rPr>
          <w:i/>
          <w:iCs/>
        </w:rPr>
        <w:t xml:space="preserve">JSON Web Signature</w:t>
      </w:r>
      <w:r>
        <w:t xml:space="preserve">) із трьох частин та зашифроване JWE (англ. </w:t>
      </w:r>
      <w:r>
        <w:rPr>
          <w:i/>
          <w:iCs/>
        </w:rPr>
        <w:t xml:space="preserve">JSON Web Encryption</w:t>
      </w:r>
      <w:r>
        <w:t xml:space="preserve">) із п’яти (рис. 9.2). Заголовок містить тип і алгоритм, друга частина — твердження, третя — підпис перших двох, кодовані в base64url.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9.2. Структура підписаного подання JWT: заголовок, корисне навантаження, підпис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 "iss": "https://auth.example.org", "sub": "u-4821",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"aud": "https://api.example.org", "iat": 1735689600,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"exp": 1735690500, "jti": "3f1c9e2a-77b0", "scope": "reports:read" }</w:t>
      </w:r>
    </w:p>
    <w:p>
      <w:pPr>
        <w:spacing w:after="80" w:line="360"/>
        <w:ind w:firstLine="708"/>
        <w:jc w:val="both"/>
      </w:pPr>
      <w:r>
        <w:t xml:space="preserve">Зареєстровані твердження [24]: </w:t>
      </w:r>
      <w:r>
        <w:rPr>
          <w:rFonts w:ascii="Courier New" w:cs="Courier New" w:eastAsia="Courier New" w:hAnsi="Courier New"/>
          <w:sz w:val="24"/>
          <w:szCs w:val="24"/>
        </w:rPr>
        <w:t xml:space="preserve">iss</w:t>
      </w:r>
      <w:r>
        <w:t xml:space="preserve"> — емітент, </w:t>
      </w:r>
      <w:r>
        <w:rPr>
          <w:rFonts w:ascii="Courier New" w:cs="Courier New" w:eastAsia="Courier New" w:hAnsi="Courier New"/>
          <w:sz w:val="24"/>
          <w:szCs w:val="24"/>
        </w:rPr>
        <w:t xml:space="preserve">sub</w:t>
      </w:r>
      <w:r>
        <w:t xml:space="preserve"> — суб’єкт,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 — адресат, </w:t>
      </w:r>
      <w:r>
        <w:rPr>
          <w:rFonts w:ascii="Courier New" w:cs="Courier New" w:eastAsia="Courier New" w:hAnsi="Courier New"/>
          <w:sz w:val="24"/>
          <w:szCs w:val="24"/>
        </w:rPr>
        <w:t xml:space="preserve">iat</w:t>
      </w:r>
      <w:r>
        <w:t xml:space="preserve"> — момент видачі, </w:t>
      </w:r>
      <w:r>
        <w:rPr>
          <w:rFonts w:ascii="Courier New" w:cs="Courier New" w:eastAsia="Courier New" w:hAnsi="Courier New"/>
          <w:sz w:val="24"/>
          <w:szCs w:val="24"/>
        </w:rPr>
        <w:t xml:space="preserve">nbf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exp</w:t>
      </w:r>
      <w:r>
        <w:t xml:space="preserve"> — межі чинності, </w:t>
      </w:r>
      <w:r>
        <w:rPr>
          <w:rFonts w:ascii="Courier New" w:cs="Courier New" w:eastAsia="Courier New" w:hAnsi="Courier New"/>
          <w:sz w:val="24"/>
          <w:szCs w:val="24"/>
        </w:rPr>
        <w:t xml:space="preserve">jti</w:t>
      </w:r>
      <w:r>
        <w:t xml:space="preserve"> — ідентифікатор для виявлення повторного відтворення. Принципово, що base64url — кодування, а не шифрування: підпис дає цілісність і автентичність, але не конфіденційність.</w:t>
      </w:r>
    </w:p>
    <w:p>
      <w:pPr>
        <w:pStyle w:val="Heading3"/>
      </w:pPr>
      <w:r>
        <w:t xml:space="preserve">9.2.1. Типові помилки реалізації</w:t>
      </w:r>
    </w:p>
    <w:p>
      <w:pPr>
        <w:spacing w:after="80" w:line="360"/>
        <w:ind w:firstLine="708"/>
        <w:jc w:val="both"/>
      </w:pPr>
      <w:r>
        <w:t xml:space="preserve">Дефекти перевірки JWT систематизовано в RFC 8725 [77] (табл. 9.2).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9.2 – Помилки реалізації JWT, наслідки та контрзаходи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720"/>
        <w:gridCol w:w="372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Помилка реалізації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 [77]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Прийняття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alg=none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без підпису чинний, твердження задає порушник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алгоритми задає конфігурація, а не токен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RS256</w:t>
            </w:r>
            <w:r>
              <w:rPr>
                <w:sz w:val="24"/>
                <w:szCs w:val="24"/>
              </w:rPr>
              <w:t xml:space="preserve"> 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HS256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ключ стає секретом HMAC, тому підпис підробляється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алгоритм визначає тип ключа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 перевірки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nbf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викрадений токен чинний необмежено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з допуском 30–60 с на годинники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 перевірки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іншого сервісу приймається цим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звіряння з власним ідентифікатором і переліком довірених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Строк без відкликання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відкликання не діє до кінця строку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короткий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</w:t>
            </w:r>
            <w:r>
              <w:rPr>
                <w:sz w:val="24"/>
                <w:szCs w:val="24"/>
              </w:rPr>
              <w:t xml:space="preserve">, токен оновлення, звіряння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jti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Останній рядок — головне обмеження схеми без збереження стану: підписаний токен неможливо забрати назад, бо сервіс не питає емітента. Компроміс дає пара «токен доступу — токен оновлення» (англ. </w:t>
      </w:r>
      <w:r>
        <w:rPr>
          <w:i/>
          <w:iCs/>
        </w:rPr>
        <w:t xml:space="preserve">refresh token</w:t>
      </w:r>
      <w:r>
        <w:t xml:space="preserve">): перший має короткий строк, другий зберігає лише клієнт і обмінює в сервера авторизації. Кількість звернень до сервера авторизації за сеанс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звер</w:t>
      </w:r>
      <w:r>
        <w:rPr>
          <w:i/>
          <w:iCs/>
        </w:rPr>
        <w:t xml:space="preserve"> = ⌈T</w:t>
      </w:r>
      <w:r>
        <w:rPr>
          <w:i/>
          <w:iCs/>
          <w:vertAlign w:val="subscript"/>
        </w:rPr>
        <w:t xml:space="preserve">сеанс</w:t>
      </w:r>
      <w:r>
        <w:rPr>
          <w:i/>
          <w:iCs/>
        </w:rPr>
        <w:t xml:space="preserve"> / T</w:t>
      </w:r>
      <w:r>
        <w:rPr>
          <w:i/>
          <w:iCs/>
          <w:vertAlign w:val="subscript"/>
        </w:rPr>
        <w:t xml:space="preserve">дост</w:t>
      </w:r>
      <w:r>
        <w:rPr>
          <w:i/>
          <w:iCs/>
        </w:rPr>
        <w:t xml:space="preserve">⌉</w:t>
      </w:r>
      <w:r>
        <w:t xml:space="preserve">	(9.2)</w:t>
      </w:r>
    </w:p>
    <w:p>
      <w:pPr>
        <w:spacing w:after="80" w:line="360"/>
        <w:ind w:firstLine="708"/>
        <w:jc w:val="both"/>
      </w:pPr>
      <w:r>
        <w:t xml:space="preserve">Числовий приклад. За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сеанс</w:t>
      </w:r>
      <w:r>
        <w:t xml:space="preserve"> = 480 хв і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дост</w:t>
      </w:r>
      <w:r>
        <w:t xml:space="preserve"> = 15 хв формула (9.2) дає 32 звернення, з яких 31 — оновлення, а вікно зловживання викраденим токеном — 15 хв замість 8 год; за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дост</w:t>
      </w:r>
      <w:r>
        <w:t xml:space="preserve"> = 5 хв воно втричі менше, а навантаження втричі більше. Токен оновлення захищають ротацією: пред’явлення витраченого означає компрометацію ланцюга.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jwt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verify_v1(token, key):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алгоритм узято із заголовка самого токена, емітента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й адресата не перевірено, контроль строку дії вимкнено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header = jwt.get_unverified_header(token)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jwt.decode(token, key, algorithms=[header["alg"]],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options={"verify_exp": False})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verify_v2(token, public_key):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алгоритм і ключ задано конфігурацією; перевіряються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підпис, наявність і чинність строку дії, емітент та адресат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jwt.decode(token, public_key, algorithms=["RS256"],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issuer="https://auth.example.org",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audience="https://api.example.org", leeway=30,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options={"require": ["exp", "iss", "aud"]})</w:t>
      </w:r>
    </w:p>
    <w:p>
      <w:pPr>
        <w:pStyle w:val="Heading2"/>
      </w:pPr>
      <w:r>
        <w:t xml:space="preserve">9.3. Делегована авторизація: OAuth 2.0 та OpenID Connect</w:t>
      </w:r>
    </w:p>
    <w:p>
      <w:pPr>
        <w:spacing w:after="80" w:line="360"/>
        <w:ind w:firstLine="708"/>
        <w:jc w:val="both"/>
      </w:pPr>
      <w:r>
        <w:t xml:space="preserve">Нехай аналізатор витрат потребує історії операцій користувача в іншому сервісі. Попросити пароль — антипатерн (лекція 5): застосунок дістає всі права власника назавжди, відкликати їх можна лише зміною пароля, а MFA (лекція 8) непридатна.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Делегована авторизація</w:t>
      </w:r>
      <w:r>
        <w:t xml:space="preserve"> (англ. </w:t>
      </w:r>
      <w:r>
        <w:rPr>
          <w:i/>
          <w:iCs/>
        </w:rPr>
        <w:t xml:space="preserve">delegated authorization</w:t>
      </w:r>
      <w:r>
        <w:t xml:space="preserve">) поділяє учасників на чотири ролі [23]: власник ресурсу — користувач, чиї дані захищають; клієнт — застосунок, що просить доступ; сервер авторизації — компонент, що автентифікує власника, бере згоду й видає токени; сервер ресурсів — API, який приймає токени. Облікових даних власника клієнт не бачить.</w:t>
      </w:r>
    </w:p>
    <w:p>
      <w:pPr>
        <w:pStyle w:val="Heading3"/>
      </w:pPr>
      <w:r>
        <w:t xml:space="preserve">9.3.1. Потік коду авторизації та PKCE</w:t>
      </w:r>
    </w:p>
    <w:p>
      <w:pPr>
        <w:spacing w:after="80" w:line="360"/>
        <w:ind w:firstLine="708"/>
        <w:jc w:val="both"/>
      </w:pPr>
      <w:r>
        <w:t xml:space="preserve">Рекомендований потік коду авторизації (англ. </w:t>
      </w:r>
      <w:r>
        <w:rPr>
          <w:i/>
          <w:iCs/>
        </w:rPr>
        <w:t xml:space="preserve">authorization code flow</w:t>
      </w:r>
      <w:r>
        <w:t xml:space="preserve">) зображено на рис. 9.3. Клієнт перенаправляє браузер на сервер авторизації з </w:t>
      </w:r>
      <w:r>
        <w:rPr>
          <w:rFonts w:ascii="Courier New" w:cs="Courier New" w:eastAsia="Courier New" w:hAnsi="Courier New"/>
          <w:sz w:val="24"/>
          <w:szCs w:val="24"/>
        </w:rPr>
        <w:t xml:space="preserve">client_id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redirect_uri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scope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state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code_challenge_method</w:t>
      </w:r>
      <w:r>
        <w:t xml:space="preserve">; власник автентифікується й дає згоду; сервер повертає браузер з одноразовим кодом, який клієнт обмінює на токени прямим запитом із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9.3. Потік коду авторизації OAuth 2.0 з розширенням PKCE</w:t>
      </w:r>
    </w:p>
    <w:p>
      <w:pPr>
        <w:spacing w:after="80" w:line="360"/>
        <w:ind w:firstLine="708"/>
        <w:jc w:val="both"/>
      </w:pPr>
      <w:r>
        <w:t xml:space="preserve">Сенс поділу: через браузер — менш довірений канал — іде лише код, непридатний без прямого запиту. Проте на мобільних платформах схему власного протоколу, зазначену в </w:t>
      </w:r>
      <w:r>
        <w:rPr>
          <w:rFonts w:ascii="Courier New" w:cs="Courier New" w:eastAsia="Courier New" w:hAnsi="Courier New"/>
          <w:sz w:val="24"/>
          <w:szCs w:val="24"/>
        </w:rPr>
        <w:t xml:space="preserve">redirect_uri</w:t>
      </w:r>
      <w:r>
        <w:t xml:space="preserve">, може зареєструвати за собою інший застосунок і перехопити код. Тому обов’язковим є розширення PKCE (англ. </w:t>
      </w:r>
      <w:r>
        <w:rPr>
          <w:i/>
          <w:iCs/>
        </w:rPr>
        <w:t xml:space="preserve">Proof Key for Code Exchange</w:t>
      </w:r>
      <w:r>
        <w:t xml:space="preserve">) [74]: клієнт створює випадковий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 і надсилає лише його геш-суму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code</w:t>
      </w:r>
      <w:r>
        <w:rPr>
          <w:i/>
          <w:iCs/>
          <w:vertAlign w:val="subscript"/>
        </w:rPr>
        <w:t xml:space="preserve">challenge</w:t>
      </w:r>
      <w:r>
        <w:rPr>
          <w:i/>
          <w:iCs/>
        </w:rPr>
        <w:t xml:space="preserve"> = BASE64URL(SHA-256(code</w:t>
      </w:r>
      <w:r>
        <w:rPr>
          <w:i/>
          <w:iCs/>
          <w:vertAlign w:val="subscript"/>
        </w:rPr>
        <w:t xml:space="preserve">verifier</w:t>
      </w:r>
      <w:r>
        <w:rPr>
          <w:i/>
          <w:iCs/>
        </w:rPr>
        <w:t xml:space="preserve">))</w:t>
      </w:r>
      <w:r>
        <w:t xml:space="preserve">	(9.3)</w:t>
      </w:r>
    </w:p>
    <w:p>
      <w:pPr>
        <w:spacing w:after="80" w:line="360"/>
        <w:ind w:firstLine="708"/>
        <w:jc w:val="both"/>
      </w:pPr>
      <w:r>
        <w:t xml:space="preserve">Числовий приклад.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 — 32 байти з CSPRNG, тобто 256 біт ентропії, а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— 43 символи base64url. Порушник, який перехопив код і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, мав би обернути функцію в правій частині формули (9.3), що обчислювально неможливо.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S256</w:t>
      </w:r>
      <w:r>
        <w:t xml:space="preserve"> обов’язковий: за </w:t>
      </w:r>
      <w:r>
        <w:rPr>
          <w:rFonts w:ascii="Courier New" w:cs="Courier New" w:eastAsia="Courier New" w:hAnsi="Courier New"/>
          <w:sz w:val="24"/>
          <w:szCs w:val="24"/>
        </w:rPr>
        <w:t xml:space="preserve">plain</w:t>
      </w:r>
      <w:r>
        <w:t xml:space="preserve"> 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дорівнює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, тож перехоплення запиту авторизації знецінює розширення.</w:t>
      </w:r>
    </w:p>
    <w:p>
      <w:pPr>
        <w:spacing w:after="80" w:line="360"/>
        <w:ind w:firstLine="708"/>
        <w:jc w:val="both"/>
      </w:pPr>
      <w:r>
        <w:t xml:space="preserve">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state</w:t>
      </w:r>
      <w:r>
        <w:t xml:space="preserve"> розв’язує іншу задачу: клієнт генерує випадкове значення, зберігає в сесії й звіряє після повернення. Без нього порушник підсуває жертві власний код і її дані буде під’єднано до його облікового запису — CSRF на точку перенаправлення [76]. Стан потоків — у табл. 9.3.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9.3 – Потоки OAuth 2.0 та їхній стан у настановах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918"/>
        <w:gridCol w:w="1751"/>
        <w:gridCol w:w="2918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Потік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Отримання токена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Підстава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авторизації з PKCE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обмін коду прямим запитом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рекомендований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без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code_verifier</w:t>
            </w:r>
            <w:r>
              <w:rPr>
                <w:sz w:val="24"/>
                <w:szCs w:val="24"/>
              </w:rPr>
              <w:t xml:space="preserve"> непридатний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Неявний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у фрагменті URL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застарілий [74, 76]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лишається в історії браузера й доступний сценаріям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Пароль власника ресурсу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клієнт отримує логін і пароль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застарілий [74, 76]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суперечить делегуванню, унеможливлює MFA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Облікові дані клієнта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сервісу від свого імені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застосовний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за відсутності користувача у сценарії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9.3.2. OpenID Connect, єдиний вхід і Kerberos</w:t>
      </w:r>
    </w:p>
    <w:p>
      <w:pPr>
        <w:spacing w:after="80" w:line="360"/>
        <w:ind w:firstLine="708"/>
        <w:jc w:val="both"/>
      </w:pPr>
      <w:r>
        <w:t xml:space="preserve">OAuth 2.0 відповідає, чи дозволено клієнтові дію, а не хто саме увійшов: токен доступу не є доказом присутності користувача, тому вживання його як підтвердження входу — поширена помилка. Автентифікацію додає надбудова OpenID Connect [75]: за області </w:t>
      </w:r>
      <w:r>
        <w:rPr>
          <w:rFonts w:ascii="Courier New" w:cs="Courier New" w:eastAsia="Courier New" w:hAnsi="Courier New"/>
          <w:sz w:val="24"/>
          <w:szCs w:val="24"/>
        </w:rPr>
        <w:t xml:space="preserve">openid</w:t>
      </w:r>
      <w:r>
        <w:t xml:space="preserve"> сервер авторизації видає ще й </w:t>
      </w:r>
      <w:r>
        <w:rPr>
          <w:rFonts w:ascii="Courier New" w:cs="Courier New" w:eastAsia="Courier New" w:hAnsi="Courier New"/>
          <w:sz w:val="24"/>
          <w:szCs w:val="24"/>
        </w:rPr>
        <w:t xml:space="preserve">id_token</w:t>
      </w:r>
      <w:r>
        <w:t xml:space="preserve"> — JWT із твердженнями </w:t>
      </w:r>
      <w:r>
        <w:rPr>
          <w:rFonts w:ascii="Courier New" w:cs="Courier New" w:eastAsia="Courier New" w:hAnsi="Courier New"/>
          <w:sz w:val="24"/>
          <w:szCs w:val="24"/>
        </w:rPr>
        <w:t xml:space="preserve">iss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sub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exp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iat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auth_time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. 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клієнт генерує сам і звіряє з отриманим у токені: </w:t>
      </w:r>
      <w:r>
        <w:rPr>
          <w:rFonts w:ascii="Courier New" w:cs="Courier New" w:eastAsia="Courier New" w:hAnsi="Courier New"/>
          <w:sz w:val="24"/>
          <w:szCs w:val="24"/>
        </w:rPr>
        <w:t xml:space="preserve">state</w:t>
      </w:r>
      <w:r>
        <w:t xml:space="preserve"> зв’язує відповідь із запитом браузера,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— токен з актом автентифікації.</w:t>
      </w:r>
    </w:p>
    <w:p>
      <w:pPr>
        <w:spacing w:after="80" w:line="360"/>
        <w:ind w:firstLine="708"/>
        <w:jc w:val="both"/>
      </w:pPr>
      <w:r>
        <w:t xml:space="preserve">Ці механізми — основа </w:t>
      </w:r>
      <w:r>
        <w:rPr>
          <w:i/>
          <w:iCs/>
        </w:rPr>
        <w:t xml:space="preserve">єдиного входу</w:t>
      </w:r>
      <w:r>
        <w:t xml:space="preserve"> (англ. </w:t>
      </w:r>
      <w:r>
        <w:rPr>
          <w:i/>
          <w:iCs/>
        </w:rPr>
        <w:t xml:space="preserve">single sign-on</w:t>
      </w:r>
      <w:r>
        <w:t xml:space="preserve">, SSO): одна автентифікація в постачальника ідентичності відкриває багато сервісів. Класична корпоративна реалізація — Kerberos: центр розподілу ключів (англ. </w:t>
      </w:r>
      <w:r>
        <w:rPr>
          <w:i/>
          <w:iCs/>
        </w:rPr>
        <w:t xml:space="preserve">Key Distribution Center</w:t>
      </w:r>
      <w:r>
        <w:t xml:space="preserve">, KDC) видає квиток на видачу квитків, а за ним — службові квитки, зашифровані на ключі сервісу, який перевіряє їх без звернення до KDC. Обмеження з класичного аналізу [87] чинні досі: залежність від синхронізації годинників, офлайн-перебір ключа з пароля, компрометація домену разом із KDC. Спільна властивість SSO — концентрація ризику.</w:t>
      </w:r>
    </w:p>
    <w:p>
      <w:pPr>
        <w:pStyle w:val="Heading2"/>
      </w:pPr>
      <w:r>
        <w:t xml:space="preserve">9.4. Порушення контролю доступу в застосунках</w:t>
      </w:r>
    </w:p>
    <w:p>
      <w:pPr>
        <w:spacing w:after="80" w:line="360"/>
        <w:ind w:firstLine="708"/>
        <w:jc w:val="both"/>
      </w:pPr>
      <w:r>
        <w:t xml:space="preserve">Механізми п. 9.1–9.3 відповідають, хто звертається. Питання, чи дозволено цьому суб’єктові саме ця дія над саме цим об’єктом, є окремим, і на нього припадає найбільша частка дефектів: порушення контролю доступу (англ. </w:t>
      </w:r>
      <w:r>
        <w:rPr>
          <w:i/>
          <w:iCs/>
        </w:rPr>
        <w:t xml:space="preserve">broken access control</w:t>
      </w:r>
      <w:r>
        <w:t xml:space="preserve">) очолює перелік OWASP Top 10:2021 [27]. Ця усталена назва охоплює дефекти реалізації механізмів розмежування доступу, моделі й місце перевірки яких задано в лекціях 6 і 7.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Вертикальне підвищення привілеїв</w:t>
      </w:r>
      <w:r>
        <w:t xml:space="preserve"> — дія, дозволена лише вищій ролі (CWE-862, CWE-863); незахищений маршрут за прихованим пунктом меню розібрано в п. 7.3.1, тож істотним тут є горизонтальний випадок — доступ до об’єкта іншого суб’єкта тієї самої ролі. Найпоширеніший його вид, IDOR (CWE-639), виникає, коли ідентифікатор від клієнта стає ключем вибірки без перевірки належності (табл. 9.4).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9.4 – Порушення контролю доступу та контрзаходи [27,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1"/>
        <w:gridCol w:w="2089"/>
        <w:gridCol w:w="2611"/>
        <w:gridCol w:w="2610"/>
      </w:tblGrid>
      <w:tr>
        <w:trPr>
          <w:cantSplit/>
          <w:tblHeader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Різновид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 дефекту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Горизонтальне, IDOR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/api/orders/1043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ідентифікатор із запиту став ключем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належність — частина умови вибірки</w:t>
            </w:r>
          </w:p>
        </w:tc>
      </w:tr>
      <w:tr>
        <w:trPr>
          <w:cantSplit/>
          <w:tblHeader w:val="false"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Масове призначення (англ. </w:t>
            </w:r>
            <w:r>
              <w:rPr>
                <w:i/>
                <w:iCs/>
                <w:sz w:val="24"/>
                <w:szCs w:val="24"/>
              </w:rPr>
              <w:t xml:space="preserve">mass assignment</w:t>
            </w:r>
            <w:r>
              <w:rPr>
                <w:sz w:val="24"/>
                <w:szCs w:val="24"/>
              </w:rPr>
              <w:t xml:space="preserve">), CWE-915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role=admin</w:t>
            </w:r>
            <w:r>
              <w:rPr>
                <w:sz w:val="24"/>
                <w:szCs w:val="24"/>
              </w:rPr>
              <w:t xml:space="preserve"> у формі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прив’язка до моделі бере всі поля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полів, дозволених до прив’язки</w:t>
            </w:r>
          </w:p>
        </w:tc>
      </w:tr>
      <w:tr>
        <w:trPr>
          <w:cantSplit/>
          <w:tblHeader w:val="false"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Обхід за формою шляху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/Admin/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%2e%2e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зіставлення з рядком до нормалізації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нормалізація до перевірки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Розглянемо обробник </w:t>
      </w:r>
      <w:r>
        <w:rPr>
          <w:rFonts w:ascii="Courier New" w:cs="Courier New" w:eastAsia="Courier New" w:hAnsi="Courier New"/>
          <w:sz w:val="24"/>
          <w:szCs w:val="24"/>
        </w:rPr>
        <w:t xml:space="preserve">GET /api/orders/{order_id}</w:t>
      </w:r>
      <w:r>
        <w:t xml:space="preserve">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get_order_v1(order_id,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subject = verify_token(request.headers.get("Authorization"))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order = db.query_one("SELECT * FROM orders WHERE id = ?", order_id)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перевірено лише факт автентифікації; належність замовлення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суб'єктові не перевірено, тож заміна order_id відкриває чужі дані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order</w:t>
      </w:r>
    </w:p>
    <w:p>
      <w:pPr>
        <w:spacing w:after="80" w:line="360"/>
        <w:ind w:firstLine="708"/>
        <w:jc w:val="both"/>
      </w:pPr>
      <w:r>
        <w:t xml:space="preserve">Дефект не в браку оператора порівняння: явна перевірка </w:t>
      </w:r>
      <w:r>
        <w:rPr>
          <w:rFonts w:ascii="Courier New" w:cs="Courier New" w:eastAsia="Courier New" w:hAnsi="Courier New"/>
          <w:sz w:val="24"/>
          <w:szCs w:val="24"/>
        </w:rPr>
        <w:t xml:space="preserve">order.owner_id != subject.id</w:t>
      </w:r>
      <w:r>
        <w:t xml:space="preserve"> покладається на дисципліну розробника — у наступному обробнику її забудуть, а тести від імені власника даних цього не помітять.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get_order_v2(order_id,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subject = verify_token(request.headers.get("Authorization"))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належність — частина умови вибірки, тому чужий об'єкт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недосяжний; про вибір коду відповіді див. п. 7.3.1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order = db.query_one("SELECT * FROM orders WHERE id = ? AND owner_id = ?",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order_id, subject.id)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order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audit.log("access_denied", subject=subject.id, obj=order_id)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NotFound()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order</w:t>
      </w:r>
    </w:p>
    <w:p>
      <w:pPr>
        <w:spacing w:after="80" w:line="360"/>
        <w:ind w:firstLine="708"/>
        <w:jc w:val="both"/>
      </w:pPr>
      <w:r>
        <w:t xml:space="preserve">Надійна лише централізована перевірка з трьома вимогами: рішення ухвалює сервер (повне посередництво, порушення якого розібрано в п. 7.3.1); маршрут без правила недоступний (відмова за замовчуванням, лекція 5); перевірка — на рівні об’єкта, бо правило «аналітики читають звіти» не каже, який саме звіт.</w:t>
      </w:r>
    </w:p>
    <w:p>
      <w:pPr>
        <w:spacing w:after="80" w:line="360"/>
        <w:ind w:firstLine="708"/>
        <w:jc w:val="both"/>
      </w:pPr>
      <w:r>
        <w:t xml:space="preserve">Реалізують це проміжним шаром, що передає трійку «суб’єкт, ресурс, дія» до єдиного модуля політики, а горизонтальні перевірки вбудовують у шар доступу до даних. Межа застосовності стосується місця перевірки: шлюз бачить лише маршрут і твердження токена (п. 9.2), тож вертикальне правило застосовує, а належність об’єкта встановлює тільки сервіс, який має дані. Централізація усуває пропуск перевірки, але не помилку в політиці, тому потрібні тести для кожної трійки «роль — точка — об’єкт».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Ідентифікатор сесії заміщує пароль: потрібні CSPRNG, ентропія від 64 біт, зберігання поза URL і перевипуск після зміни привілеїв.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Атрибути cookie не взаємозамінні: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— проти викрадення сценарієм, </w:t>
      </w:r>
      <w:r>
        <w:rPr>
          <w:rFonts w:ascii="Courier New" w:cs="Courier New" w:eastAsia="Courier New" w:hAnsi="Courier New"/>
          <w:sz w:val="24"/>
          <w:szCs w:val="24"/>
        </w:rPr>
        <w:t xml:space="preserve">SameSite</w:t>
      </w:r>
      <w:r>
        <w:t xml:space="preserve"> — проти CSRF, </w:t>
      </w:r>
      <w:r>
        <w:rPr>
          <w:rFonts w:ascii="Courier New" w:cs="Courier New" w:eastAsia="Courier New" w:hAnsi="Courier New"/>
          <w:sz w:val="24"/>
          <w:szCs w:val="24"/>
        </w:rPr>
        <w:t xml:space="preserve">__Host-</w:t>
      </w:r>
      <w:r>
        <w:t xml:space="preserve"> — проти підміни з піддомену.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Підписаний токен дає цілісність і автентичність, але не конфіденційність і не миттєве відкликання; більшість його дефектів — не криптографічні, а спричинені довірою до заголовка </w:t>
      </w:r>
      <w:r>
        <w:rPr>
          <w:rFonts w:ascii="Courier New" w:cs="Courier New" w:eastAsia="Courier New" w:hAnsi="Courier New"/>
          <w:sz w:val="24"/>
          <w:szCs w:val="24"/>
        </w:rPr>
        <w:t xml:space="preserve">alg</w:t>
      </w:r>
      <w:r>
        <w:t xml:space="preserve"> і пропущеними перевірками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exp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OAuth 2.0 делегує авторизацію без передавання пароля, проте не є доказом входу: автентифікацію дає лише OpenID Connect із </w:t>
      </w:r>
      <w:r>
        <w:rPr>
          <w:rFonts w:ascii="Courier New" w:cs="Courier New" w:eastAsia="Courier New" w:hAnsi="Courier New"/>
          <w:sz w:val="24"/>
          <w:szCs w:val="24"/>
        </w:rPr>
        <w:t xml:space="preserve">id_token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Порушення контролю доступу усувається конструкцією: політику розмежування доступу застосовує сервер, маршрут без правила недоступний, перевірка — на рівні об’єкта.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автентифікацію зі збереженням стану і без нього за відкликанням і вимогами до інфраструктури.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оцінкою за формулою (9.1), якщо ентропію зменшити з 64 до 40 біт?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не усуває наслідків XSS повністю.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 чому різниця між </w:t>
      </w:r>
      <w:r>
        <w:rPr>
          <w:rFonts w:ascii="Courier New" w:cs="Courier New" w:eastAsia="Courier New" w:hAnsi="Courier New"/>
          <w:sz w:val="24"/>
          <w:szCs w:val="24"/>
        </w:rPr>
        <w:t xml:space="preserve">SameSite=Strict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Lax</w:t>
      </w:r>
      <w:r>
        <w:t xml:space="preserve"> та коли другий не захищає від CSRF?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Опишіть механізм фіксації сесії та поясніть, чому контрзаходом є перевипуск.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підміна </w:t>
      </w:r>
      <w:r>
        <w:rPr>
          <w:rFonts w:ascii="Courier New" w:cs="Courier New" w:eastAsia="Courier New" w:hAnsi="Courier New"/>
          <w:sz w:val="24"/>
          <w:szCs w:val="24"/>
        </w:rPr>
        <w:t xml:space="preserve">RS256</w:t>
      </w:r>
      <w:r>
        <w:t xml:space="preserve"> на </w:t>
      </w:r>
      <w:r>
        <w:rPr>
          <w:rFonts w:ascii="Courier New" w:cs="Courier New" w:eastAsia="Courier New" w:hAnsi="Courier New"/>
          <w:sz w:val="24"/>
          <w:szCs w:val="24"/>
        </w:rPr>
        <w:t xml:space="preserve">HS256</w:t>
      </w:r>
      <w:r>
        <w:t xml:space="preserve"> дає порушникові змогу підробити підпис?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станеться, якщо сервіс не перевіряє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 токена спільного сервера авторизації?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Обґрунтуйте вибір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дост</w:t>
      </w:r>
      <w:r>
        <w:t xml:space="preserve"> за формулою (9.2) для вікна компрометації до 10 хвилин.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Від якої атаки захищає PKCE і чому знання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не допомагає порушникові?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перевірка належності в умові вибірки надійніша за порівняння після читання?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Ідентифікатор сесії перевипускають: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після кожного запиту користувача;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після успішної автентифікації та зміни рівня привілеїв;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лише після завершення абсолютного строку сесії;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під час кожного перенаправлення в застосунку.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Префікс </w:t>
      </w:r>
      <w:r>
        <w:rPr>
          <w:rFonts w:ascii="Courier New" w:cs="Courier New" w:eastAsia="Courier New" w:hAnsi="Courier New"/>
          <w:sz w:val="24"/>
          <w:szCs w:val="24"/>
        </w:rPr>
        <w:t xml:space="preserve">__Host-</w:t>
      </w:r>
      <w:r>
        <w:t xml:space="preserve"> в імені cookie вимагає, щоб вона: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передавалася лише методом POST;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мала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і строк дії до доби;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мала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Secure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Path=/</w:t>
      </w:r>
      <w:r>
        <w:t xml:space="preserve"> і не мала атрибута </w:t>
      </w:r>
      <w:r>
        <w:rPr>
          <w:rFonts w:ascii="Courier New" w:cs="Courier New" w:eastAsia="Courier New" w:hAnsi="Courier New"/>
          <w:sz w:val="24"/>
          <w:szCs w:val="24"/>
        </w:rPr>
        <w:t xml:space="preserve">Domain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була доступною всім піддоменам основного домену.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Прийняття сервером ресурсів </w:t>
      </w:r>
      <w:r>
        <w:rPr>
          <w:rFonts w:ascii="Courier New" w:cs="Courier New" w:eastAsia="Courier New" w:hAnsi="Courier New"/>
          <w:sz w:val="24"/>
          <w:szCs w:val="24"/>
        </w:rPr>
        <w:t xml:space="preserve">alg=none</w:t>
      </w:r>
      <w:r>
        <w:t xml:space="preserve"> у заголовку JWT означає,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токен не можна декодувати без секретного ключа;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токен без підпису вважається чинним, а твердження задає порушник;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корисне навантаження шифрується;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строк дії стає необмеженим, але підпис чинний.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Неявний потік OAuth 2.0 визнано застарілим,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не підтримує обмеження області дії токена;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вимагає зберігання пароля користувача в клієнті;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токен передається в URL і лишається в історії браузера;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застосовний лише до серверних клієнтів.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Використання ідентифікатора об’єкта із запиту як ключа вибірки без перевірки належності — це: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фіксація сесії;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вертикальне підвищення привілеїв прихованим параметром;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небезпечне пряме посилання на об’єкт (IDOR);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повторне відтворення запиту.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в;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Прив’язка токена до каналу та підтвердження володіння ключем: як зробити викрадений токен непридатним для іншого клієнта.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Механізми відкликання у схемах без збереження стану: списки </w:t>
      </w:r>
      <w:r>
        <w:rPr>
          <w:rFonts w:ascii="Courier New" w:cs="Courier New" w:eastAsia="Courier New" w:hAnsi="Courier New"/>
          <w:sz w:val="24"/>
          <w:szCs w:val="24"/>
        </w:rPr>
        <w:t xml:space="preserve">jti</w:t>
      </w:r>
      <w:r>
        <w:t xml:space="preserve">, інтроспекція токенів, ротація ключів підпису.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Федерація ідентичності на основі SAML (англ. </w:t>
      </w:r>
      <w:r>
        <w:rPr>
          <w:i/>
          <w:iCs/>
        </w:rPr>
        <w:t xml:space="preserve">Security Assertion Markup Language</w:t>
      </w:r>
      <w:r>
        <w:t xml:space="preserve">): порівняння з OpenID Connect за моделлю довіри.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RFC 6749. The OAuth 2.0 Authorization Framework / D. Hardt ; IETF. – 2012. – Розд. 1, 4.1, 10 [23].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RFC 7519. JSON Web Token (JWT) / M. Jones, J. Bradley, N. Sakimura ; IETF. – 2015. – Розд. 4, 7 [24].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RFC 8725. JSON Web Token Best Current Practices / Y. Sheffer, D. Hardt, M. Jones ; IETF. – 2020. – Розд. 2–3 [77].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OpenID Connect Core 1.0 [Електронний ресурс] / OpenID Foundation. – Розд. 2, 3.1 [75].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OWASP Application Security Verification Standard (ASVS) 4.0.3 [Електронний ресурс] / OWASP Foundation. – Розд. V3, V4 [28].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9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9ae502b9eaafbbdaba8c35f410c202e2c01b34.png"/><Relationship Id="rId10" Type="http://schemas.openxmlformats.org/officeDocument/2006/relationships/image" Target="media/dbd5cd9452c016232f0fb03fe7d1c4f199c1cfd9.png"/><Relationship Id="rId11" Type="http://schemas.openxmlformats.org/officeDocument/2006/relationships/image" Target="media/7a4a979392ea1f28a1ff5bf80586de319889fee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2026-10-06T23:42:49.228Z</dcterms:created>
  <dcterms:modified xsi:type="dcterms:W3CDTF">2026-10-06T23:42:49.229Z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