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11. Асиметрична криптографія, електронний підпис та PKI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Ідея відкритого ключа та система RSA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Генерація великих простих чисел і розрахунок ключів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Схема Ель-Гамаля та криптографія на еліптичних кривих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Електронний підпис, сертифікати та інфраструктура відкритих ключів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одностороння функція, протокол Діффі–Геллмана, задача дискретного логарифма, функція Ейлера, система RSA, доповнення OAEP, тест Міллера–Рабіна, розширений алгоритм Евкліда, еліптична крива, електронний підпис, сертифікат X.509, інфраструктура відкритих ключів.</w:t>
      </w:r>
    </w:p>
    <w:p>
      <w:pPr>
        <w:pStyle w:val="Heading2"/>
      </w:pPr>
      <w:r>
        <w:t xml:space="preserve">11.1. Ідея відкритого ключа та система RSA</w:t>
      </w:r>
    </w:p>
    <w:p>
      <w:pPr>
        <w:spacing w:after="80" w:line="360"/>
        <w:ind w:firstLine="708"/>
        <w:jc w:val="both"/>
      </w:pPr>
      <w:r>
        <w:t xml:space="preserve">Симетрична криптографія (лекція 10) залишає нерозв’язаною організаційну задачу: спільний ключ треба доставити каналом, який уже захищено. Для попарного обміну між n абонентами кількість ключів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n · (n − 1) / 2</w:t>
      </w:r>
      <w:r>
        <w:t xml:space="preserve">	(11.1)</w:t>
      </w:r>
    </w:p>
    <w:p>
      <w:pPr>
        <w:spacing w:after="80" w:line="360"/>
        <w:ind w:firstLine="708"/>
        <w:jc w:val="both"/>
      </w:pPr>
      <w:r>
        <w:t xml:space="preserve">Для n = 1000 це 499 500 ключів, які треба згенерувати, доставити, зберігати й замінити після компрометації: криптографію у відкритих мережах обмежувала ця задача, а не стійкість шифрів.</w:t>
      </w:r>
    </w:p>
    <w:p>
      <w:pPr>
        <w:spacing w:after="80" w:line="360"/>
        <w:ind w:firstLine="708"/>
        <w:jc w:val="both"/>
      </w:pPr>
      <w:r>
        <w:t xml:space="preserve">Вихід запропонували В. Діффі та М. Геллман [47]. Побудова спирається на </w:t>
      </w:r>
      <w:r>
        <w:rPr>
          <w:i/>
          <w:iCs/>
        </w:rPr>
        <w:t xml:space="preserve">односторонню функцію</w:t>
      </w:r>
      <w:r>
        <w:t xml:space="preserve"> (англ. </w:t>
      </w:r>
      <w:r>
        <w:rPr>
          <w:i/>
          <w:iCs/>
        </w:rPr>
        <w:t xml:space="preserve">one-way function</w:t>
      </w:r>
      <w:r>
        <w:t xml:space="preserve">), значення якої обчислюють дешево, а прообраз — практично неможливо, і на </w:t>
      </w:r>
      <w:r>
        <w:rPr>
          <w:i/>
          <w:iCs/>
        </w:rPr>
        <w:t xml:space="preserve">функцію з таємним входом</w:t>
      </w:r>
      <w:r>
        <w:t xml:space="preserve"> (англ. </w:t>
      </w:r>
      <w:r>
        <w:rPr>
          <w:i/>
          <w:iCs/>
        </w:rPr>
        <w:t xml:space="preserve">trapdoor one-way function</w:t>
      </w:r>
      <w:r>
        <w:t xml:space="preserve">), обернення якої дешеве за наявності таємниці. Приклад першої — піднесення за простим модулем: y = g</w:t>
      </w:r>
      <w:r>
        <w:rPr>
          <w:vertAlign w:val="superscript"/>
        </w:rPr>
        <w:t xml:space="preserve">x</w:t>
      </w:r>
      <w:r>
        <w:t xml:space="preserve"> mod p обчислити легко, а відновити x — це </w:t>
      </w:r>
      <w:r>
        <w:rPr>
          <w:i/>
          <w:iCs/>
        </w:rPr>
        <w:t xml:space="preserve">задача дискретного логарифма</w:t>
      </w:r>
      <w:r>
        <w:t xml:space="preserve"> (англ. </w:t>
      </w:r>
      <w:r>
        <w:rPr>
          <w:i/>
          <w:iCs/>
        </w:rPr>
        <w:t xml:space="preserve">discrete logarithm problem</w:t>
      </w:r>
      <w:r>
        <w:t xml:space="preserve">), ефективного алгоритму для якої не відомо.</w:t>
      </w:r>
    </w:p>
    <w:p>
      <w:pPr>
        <w:spacing w:after="80" w:line="360"/>
        <w:ind w:firstLine="708"/>
        <w:jc w:val="both"/>
      </w:pPr>
      <w:r>
        <w:t xml:space="preserve">Звідси протокол узгодження ключа: сторони погоджують відкриті p і g, кожна обирає таємне число (a і b) та надсилає кореспондентові g</w:t>
      </w:r>
      <w:r>
        <w:rPr>
          <w:vertAlign w:val="superscript"/>
        </w:rPr>
        <w:t xml:space="preserve">a</w:t>
      </w:r>
      <w:r>
        <w:t xml:space="preserve"> mod p або g</w:t>
      </w:r>
      <w:r>
        <w:rPr>
          <w:vertAlign w:val="superscript"/>
        </w:rPr>
        <w:t xml:space="preserve">b</w:t>
      </w:r>
      <w:r>
        <w:t xml:space="preserve"> mod p, після чого обидві обчислюють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K = (g</w:t>
      </w:r>
      <w:r>
        <w:rPr>
          <w:i/>
          <w:iCs/>
          <w:vertAlign w:val="superscript"/>
        </w:rPr>
        <w:t xml:space="preserve">b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a</w:t>
      </w:r>
      <w:r>
        <w:rPr>
          <w:i/>
          <w:iCs/>
        </w:rPr>
        <w:t xml:space="preserve"> = (g</w:t>
      </w:r>
      <w:r>
        <w:rPr>
          <w:i/>
          <w:iCs/>
          <w:vertAlign w:val="superscript"/>
        </w:rPr>
        <w:t xml:space="preserve">a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b</w:t>
      </w:r>
      <w:r>
        <w:rPr>
          <w:i/>
          <w:iCs/>
        </w:rPr>
        <w:t xml:space="preserve"> = g</w:t>
      </w:r>
      <w:r>
        <w:rPr>
          <w:i/>
          <w:iCs/>
          <w:vertAlign w:val="superscript"/>
        </w:rPr>
        <w:t xml:space="preserve">ab</w:t>
      </w:r>
      <w:r>
        <w:rPr>
          <w:i/>
          <w:iCs/>
        </w:rPr>
        <w:t xml:space="preserve"> (mod p)</w:t>
      </w:r>
      <w:r>
        <w:t xml:space="preserve">	(11.2)</w:t>
      </w:r>
    </w:p>
    <w:p>
      <w:pPr>
        <w:spacing w:after="80" w:line="360"/>
        <w:ind w:firstLine="708"/>
        <w:jc w:val="both"/>
      </w:pPr>
      <w:r>
        <w:t xml:space="preserve">Наприклад, за p = 23, g = 5, a = 6, b = 15 передані значення 8 і 19 дають секрет 19</w:t>
      </w:r>
      <w:r>
        <w:rPr>
          <w:vertAlign w:val="superscript"/>
        </w:rPr>
        <w:t xml:space="preserve">6</w:t>
      </w:r>
      <w:r>
        <w:t xml:space="preserve"> ≡ 8</w:t>
      </w:r>
      <w:r>
        <w:rPr>
          <w:vertAlign w:val="superscript"/>
        </w:rPr>
        <w:t xml:space="preserve">15</w:t>
      </w:r>
      <w:r>
        <w:t xml:space="preserve"> ≡ 2 (mod 23).</w:t>
      </w:r>
    </w:p>
    <w:p>
      <w:pPr>
        <w:spacing w:after="80" w:line="360"/>
        <w:ind w:firstLine="708"/>
        <w:jc w:val="both"/>
      </w:pPr>
      <w:r>
        <w:t xml:space="preserve">Протокол не автентифікує сторін: активний порушник узгоджує окремий ключ із кожною стороною й ретранслює потік, перешифровуючи його (</w:t>
      </w:r>
      <w:r>
        <w:rPr>
          <w:i/>
          <w:iCs/>
        </w:rPr>
        <w:t xml:space="preserve">атака «людина посередині»</w:t>
      </w:r>
      <w:r>
        <w:t xml:space="preserve">, англ. </w:t>
      </w:r>
      <w:r>
        <w:rPr>
          <w:i/>
          <w:iCs/>
        </w:rPr>
        <w:t xml:space="preserve">man-in-the-middle attack</w:t>
      </w:r>
      <w:r>
        <w:t xml:space="preserve">, рис. 11.1). Секрет коректний, але невідомо, з ким він спільний, тому узгодження супроводжують автентифікацією ключів (п. 11.4).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11.1. Узгодження ключа за Діффі–Геллманом і атака «людина посередині»</w:t>
      </w:r>
    </w:p>
    <w:p>
      <w:pPr>
        <w:spacing w:after="80" w:line="360"/>
        <w:ind w:firstLine="708"/>
        <w:jc w:val="both"/>
      </w:pPr>
      <w:r>
        <w:t xml:space="preserve">Функцію з таємним входом реалізує система RSA [48]. Обирають два великі різні прості p і q, модуль n = p · q, відкритий показник e, взаємно простий з функцією Ейлера φ(n), і закритий показник d: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φ(n) = (p − 1)(q − 1),  e · d ≡ 1 (mod φ(n))</w:t>
      </w:r>
      <w:r>
        <w:t xml:space="preserve">	(11.3)</w:t>
      </w:r>
    </w:p>
    <w:p>
      <w:pPr>
        <w:spacing w:after="80" w:line="360"/>
        <w:ind w:firstLine="708"/>
        <w:jc w:val="both"/>
      </w:pPr>
      <w:r>
        <w:t xml:space="preserve">Відкритий ключ — пара (e, n), закритий — (d, n); φ(n) та проміжні дані знищують. На практиці закритий ключ зберігає ще й p, q з похідними величинами: це вчетверо прискорює розшифрування за китайською теоремою про остачі [81, розд. 3.2], тож їх компрометація рівносильна компрометації ключа. Для m &lt; n маємо c = m</w:t>
      </w:r>
      <w:r>
        <w:rPr>
          <w:vertAlign w:val="superscript"/>
        </w:rPr>
        <w:t xml:space="preserve">e</w:t>
      </w:r>
      <w:r>
        <w:t xml:space="preserve"> mod n і m = c</w:t>
      </w:r>
      <w:r>
        <w:rPr>
          <w:vertAlign w:val="superscript"/>
        </w:rPr>
        <w:t xml:space="preserve">d</w:t>
      </w:r>
      <w:r>
        <w:t xml:space="preserve"> mod n (про обчислення — п. 11.2), а оберненість випливає з теореми Ейлера для m, взаємно простого з n (решту випадків охоплює та сама теорема про остачі): оскільки e · d = 1 + k · φ(n),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perscript"/>
        </w:rPr>
        <w:t xml:space="preserve">d</w:t>
      </w:r>
      <w:r>
        <w:rPr>
          <w:i/>
          <w:iCs/>
        </w:rPr>
        <w:t xml:space="preserve"> = m</w:t>
      </w:r>
      <w:r>
        <w:rPr>
          <w:i/>
          <w:iCs/>
          <w:vertAlign w:val="superscript"/>
        </w:rPr>
        <w:t xml:space="preserve">ed</w:t>
      </w:r>
      <w:r>
        <w:rPr>
          <w:i/>
          <w:iCs/>
        </w:rPr>
        <w:t xml:space="preserve"> = m</w:t>
      </w:r>
      <w:r>
        <w:rPr>
          <w:i/>
          <w:iCs/>
          <w:vertAlign w:val="superscript"/>
        </w:rPr>
        <w:t xml:space="preserve">1 + k·φ(n)</w:t>
      </w:r>
      <w:r>
        <w:rPr>
          <w:i/>
          <w:iCs/>
        </w:rPr>
        <w:t xml:space="preserve"> = m · (m</w:t>
      </w:r>
      <w:r>
        <w:rPr>
          <w:i/>
          <w:iCs/>
          <w:vertAlign w:val="superscript"/>
        </w:rPr>
        <w:t xml:space="preserve">φ(n)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≡ m (mod n)</w:t>
      </w:r>
      <w:r>
        <w:t xml:space="preserve">	(11.4)</w:t>
      </w:r>
    </w:p>
    <w:p>
      <w:pPr>
        <w:spacing w:after="80" w:line="360"/>
        <w:ind w:firstLine="708"/>
        <w:jc w:val="both"/>
      </w:pPr>
      <w:r>
        <w:t xml:space="preserve">Перетворення без доповнення («підручниковий» RSA) непридатне: воно детерміноване — порушник зашифровує всі варіанти малого простору повідомлень і порівнює з перехопленим — і мультиплікативне: добуток шифротекстів є шифротекстом добутку повідомлень, звідки адаптивні атаки й підробка підпису. Обидві властивості усуває доповнення за PKCS #1 (англ. </w:t>
      </w:r>
      <w:r>
        <w:rPr>
          <w:i/>
          <w:iCs/>
        </w:rPr>
        <w:t xml:space="preserve">Public-Key Cryptography Standards</w:t>
      </w:r>
      <w:r>
        <w:t xml:space="preserve">) [81]: OAEP (англ. </w:t>
      </w:r>
      <w:r>
        <w:rPr>
          <w:i/>
          <w:iCs/>
        </w:rPr>
        <w:t xml:space="preserve">Optimal Asymmetric Encryption Padding</w:t>
      </w:r>
      <w:r>
        <w:t xml:space="preserve">) для шифрування і PSS (англ. </w:t>
      </w:r>
      <w:r>
        <w:rPr>
          <w:i/>
          <w:iCs/>
        </w:rPr>
        <w:t xml:space="preserve">Probabilistic Signature Scheme</w:t>
      </w:r>
      <w:r>
        <w:t xml:space="preserve"> — імовірнісна схема підпису) вносять випадковість.</w:t>
      </w:r>
    </w:p>
    <w:p>
      <w:pPr>
        <w:spacing w:after="80" w:line="360"/>
        <w:ind w:firstLine="708"/>
        <w:jc w:val="both"/>
      </w:pPr>
      <w:r>
        <w:t xml:space="preserve">Межі застосовності: доповнення не захищає від побічних каналів, тож реалізація має виконуватися за сталий час. Асиметричне перетворення на порядки повільніше за симетричне, тому ним захищають не дані, а сеансовий ключ (</w:t>
      </w:r>
      <w:r>
        <w:rPr>
          <w:i/>
          <w:iCs/>
        </w:rPr>
        <w:t xml:space="preserve">гібридна схема</w:t>
      </w:r>
      <w:r>
        <w:t xml:space="preserve">, англ. </w:t>
      </w:r>
      <w:r>
        <w:rPr>
          <w:i/>
          <w:iCs/>
        </w:rPr>
        <w:t xml:space="preserve">hybrid encryption</w:t>
      </w:r>
      <w:r>
        <w:t xml:space="preserve">): відправник шифрує дані випадковим сеансовим ключем в автентифікованому режимі (п. 10.2), а сам ключ — відкритим ключем одержувача за RSA-OAEP. У TLS 1.3 цю роль виконує ефемерне узгодження (п. 11.4).</w:t>
      </w:r>
    </w:p>
    <w:p>
      <w:pPr>
        <w:pStyle w:val="Heading2"/>
      </w:pPr>
      <w:r>
        <w:t xml:space="preserve">11.2. Генерація великих простих чисел і розрахунок ключів</w:t>
      </w:r>
    </w:p>
    <w:p>
      <w:pPr>
        <w:spacing w:after="80" w:line="360"/>
        <w:ind w:firstLine="708"/>
        <w:jc w:val="both"/>
      </w:pPr>
      <w:r>
        <w:t xml:space="preserve">Формування ключа RSA починається з двох великих простих чисел, проте детерміновані тести простоти для чисел порядку 2</w:t>
      </w:r>
      <w:r>
        <w:rPr>
          <w:vertAlign w:val="superscript"/>
        </w:rPr>
        <w:t xml:space="preserve">1024</w:t>
      </w:r>
      <w:r>
        <w:t xml:space="preserve"> непрактичні. Найпростіший імовірнісний тест спирається на малу теорему Ферма: для простого p і a, не кратного p,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</w:t>
      </w:r>
      <w:r>
        <w:rPr>
          <w:i/>
          <w:iCs/>
          <w:vertAlign w:val="superscript"/>
        </w:rPr>
        <w:t xml:space="preserve">p − 1</w:t>
      </w:r>
      <w:r>
        <w:rPr>
          <w:i/>
          <w:iCs/>
        </w:rPr>
        <w:t xml:space="preserve"> ≡ 1 (mod p)</w:t>
      </w:r>
      <w:r>
        <w:t xml:space="preserve">	(11.5)</w:t>
      </w:r>
    </w:p>
    <w:p>
      <w:pPr>
        <w:spacing w:after="80" w:line="360"/>
        <w:ind w:firstLine="708"/>
        <w:jc w:val="both"/>
      </w:pPr>
      <w:r>
        <w:t xml:space="preserve">Порушення рівності доводить складеність, а її виконання простоти не доводить: існують </w:t>
      </w:r>
      <w:r>
        <w:rPr>
          <w:i/>
          <w:iCs/>
        </w:rPr>
        <w:t xml:space="preserve">числа Кармайкла</w:t>
      </w:r>
      <w:r>
        <w:t xml:space="preserve"> (англ. </w:t>
      </w:r>
      <w:r>
        <w:rPr>
          <w:i/>
          <w:iCs/>
        </w:rPr>
        <w:t xml:space="preserve">Carmichael numbers</w:t>
      </w:r>
      <w:r>
        <w:t xml:space="preserve">) — складені числа, для яких рівність справджується за будь-якої взаємно простої основи (найменше 561 = 3 · 11 · 17).</w:t>
      </w:r>
    </w:p>
    <w:p>
      <w:pPr>
        <w:spacing w:after="80" w:line="360"/>
        <w:ind w:firstLine="708"/>
        <w:jc w:val="both"/>
      </w:pPr>
      <w:r>
        <w:t xml:space="preserve">Тест Міллера–Рабіна [51, 52] додає властивість, якої числа Кармайкла не мають: якби n було простим, рівняння x</w:t>
      </w:r>
      <w:r>
        <w:rPr>
          <w:vertAlign w:val="superscript"/>
        </w:rPr>
        <w:t xml:space="preserve">2</w:t>
      </w:r>
      <w:r>
        <w:t xml:space="preserve"> ≡ 1 (mod n) мало б лише розв’язки 1 і n − 1, тож виявлення нетривіального кореня з одиниці доводить складеність n. Число n − 1 подають як 2</w:t>
      </w:r>
      <w:r>
        <w:rPr>
          <w:vertAlign w:val="superscript"/>
        </w:rPr>
        <w:t xml:space="preserve">s</w:t>
      </w:r>
      <w:r>
        <w:t xml:space="preserve"> · d з непарним d і обчислюють x = a</w:t>
      </w:r>
      <w:r>
        <w:rPr>
          <w:vertAlign w:val="superscript"/>
        </w:rPr>
        <w:t xml:space="preserve">d</w:t>
      </w:r>
      <w:r>
        <w:t xml:space="preserve"> mod n для основи a. Якщо x дорівнює 1 або n − 1, раунд пройдено; інакше x підносять до квадрата не більше s − 1 разів; поява n − 1 теж означає пройдений раунд, а її відсутність — що a є свідком складеності.</w:t>
      </w:r>
    </w:p>
    <w:p>
      <w:pPr>
        <w:spacing w:after="80" w:line="360"/>
        <w:ind w:firstLine="708"/>
        <w:jc w:val="both"/>
      </w:pPr>
      <w:r>
        <w:t xml:space="preserve">Числовий приклад. Для n = 221 маємо n − 1 = 2</w:t>
      </w:r>
      <w:r>
        <w:rPr>
          <w:vertAlign w:val="superscript"/>
        </w:rPr>
        <w:t xml:space="preserve">2</w:t>
      </w:r>
      <w:r>
        <w:t xml:space="preserve"> · 55, тобто s = 2, d = 55. Основа a = 174 дає 174</w:t>
      </w:r>
      <w:r>
        <w:rPr>
          <w:vertAlign w:val="superscript"/>
        </w:rPr>
        <w:t xml:space="preserve">55</w:t>
      </w:r>
      <w:r>
        <w:t xml:space="preserve"> mod 221 = 47 і 47</w:t>
      </w:r>
      <w:r>
        <w:rPr>
          <w:vertAlign w:val="superscript"/>
        </w:rPr>
        <w:t xml:space="preserve">2</w:t>
      </w:r>
      <w:r>
        <w:t xml:space="preserve"> ≡ 220 = n − 1, тож раунд пройдено, хоча число складене: 174 є «свідком брехні». Основа a = 137 дає 188 і 188</w:t>
      </w:r>
      <w:r>
        <w:rPr>
          <w:vertAlign w:val="superscript"/>
        </w:rPr>
        <w:t xml:space="preserve">2</w:t>
      </w:r>
      <w:r>
        <w:t xml:space="preserve"> ≡ 205 — ні 1, ні 220, тож складеність доведено (221 = 13 · 17).</w:t>
      </w:r>
    </w:p>
    <w:p>
      <w:pPr>
        <w:spacing w:after="80" w:line="360"/>
        <w:ind w:firstLine="708"/>
        <w:jc w:val="both"/>
      </w:pPr>
      <w:r>
        <w:t xml:space="preserve">Для складеного n частка свідків брехні не перевищує 1/4, тому після k раундів з незалежними основами ймовірність помилкового висновку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пом</w:t>
      </w:r>
      <w:r>
        <w:rPr>
          <w:i/>
          <w:iCs/>
        </w:rPr>
        <w:t xml:space="preserve"> ≤ 4</w:t>
      </w:r>
      <w:r>
        <w:rPr>
          <w:i/>
          <w:iCs/>
          <w:vertAlign w:val="superscript"/>
        </w:rPr>
        <w:t xml:space="preserve">−k</w:t>
      </w:r>
      <w:r>
        <w:t xml:space="preserve">	(11.6)</w:t>
      </w:r>
    </w:p>
    <w:p>
      <w:pPr>
        <w:spacing w:after="80" w:line="360"/>
        <w:ind w:firstLine="708"/>
        <w:jc w:val="both"/>
      </w:pPr>
      <w:r>
        <w:t xml:space="preserve">За k = 40 межа становить 2</w:t>
      </w:r>
      <w:r>
        <w:rPr>
          <w:vertAlign w:val="superscript"/>
        </w:rPr>
        <w:t xml:space="preserve">−80</w:t>
      </w:r>
      <w:r>
        <w:t xml:space="preserve">; кандидатів вистачає, бо непарне число порядку 2</w:t>
      </w:r>
      <w:r>
        <w:rPr>
          <w:vertAlign w:val="superscript"/>
        </w:rPr>
        <w:t xml:space="preserve">1024</w:t>
      </w:r>
      <w:r>
        <w:t xml:space="preserve"> просте приблизно в одному випадку з 355.</w:t>
      </w:r>
    </w:p>
    <w:p>
      <w:pPr>
        <w:spacing w:after="80" w:line="360"/>
        <w:ind w:firstLine="708"/>
        <w:jc w:val="both"/>
      </w:pPr>
      <w:r>
        <w:t xml:space="preserve">Другий крок — закритий показник. Взаємну простоту e і φ(n) встановлює алгоритм Евкліда, а обернений елемент — розширений алгоритм, що дає коефіцієнти лінійного подання НСД (табл. 11.1 для e = 7, φ(n) = 160).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11.1 – Розширений алгоритм Евкліда для обчислення 7</w:t>
      </w:r>
      <w:r>
        <w:rPr>
          <w:sz w:val="24"/>
          <w:szCs w:val="24"/>
          <w:vertAlign w:val="superscript"/>
        </w:rPr>
        <w:t xml:space="preserve">−1</w:t>
      </w:r>
      <w:r>
        <w:rPr>
          <w:sz w:val="24"/>
          <w:szCs w:val="24"/>
        </w:rPr>
        <w:t xml:space="preserve"> mod 160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3543"/>
        <w:gridCol w:w="4961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Ділення з остачею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Зворотна підстановка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160 = 22 · 7 + 6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 = 160 − 22 · 7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 = 1 · 6 + 1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= 7 − 1 · 6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 = 6 · 1 + 0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зупинка, НСД = 1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НСД(7, 160) = 1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= 7 − (160 − 22 · 7) = 23 · 7 − 1 · 160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З останнього рядка d = 23 (перевірка: 7 · 23 = 161 = 160 + 1). Отже, прості p = 17 і q = 11 дають n = 187 і φ(n) = 160, відкритий ключ (7, 187) і закритий (23, 187).</w:t>
      </w:r>
    </w:p>
    <w:p>
      <w:pPr>
        <w:spacing w:after="80" w:line="360"/>
        <w:ind w:firstLine="708"/>
        <w:jc w:val="both"/>
      </w:pPr>
      <w:r>
        <w:t xml:space="preserve">Пряме піднесення неможливе: m</w:t>
      </w:r>
      <w:r>
        <w:rPr>
          <w:vertAlign w:val="superscript"/>
        </w:rPr>
        <w:t xml:space="preserve">e</w:t>
      </w:r>
      <w:r>
        <w:t xml:space="preserve"> для 3072-бітного модуля — число з мільйонами розрядів. Застосовують бінарний метод: показник переглядають зліва направо, значення підносять до квадрата за модулем, а за одиничного біта множать на основу, тож множень не більше 2·log</w:t>
      </w:r>
      <w:r>
        <w:rPr>
          <w:vertAlign w:val="subscript"/>
        </w:rPr>
        <w:t xml:space="preserve">2</w:t>
      </w:r>
      <w:r>
        <w:t xml:space="preserve">e. Для m = 88 і e = 7 = 111</w:t>
      </w:r>
      <w:r>
        <w:rPr>
          <w:vertAlign w:val="subscript"/>
        </w:rPr>
        <w:t xml:space="preserve">2</w:t>
      </w:r>
      <w:r>
        <w:t xml:space="preserve"> послідовність значень 88, 44, 11 дає шифротекст c = 88</w:t>
      </w:r>
      <w:r>
        <w:rPr>
          <w:vertAlign w:val="superscript"/>
        </w:rPr>
        <w:t xml:space="preserve">7</w:t>
      </w:r>
      <w:r>
        <w:t xml:space="preserve"> mod 187 = 11, а дешифрування для d = 23 = 10111</w:t>
      </w:r>
      <w:r>
        <w:rPr>
          <w:vertAlign w:val="subscript"/>
        </w:rPr>
        <w:t xml:space="preserve">2</w:t>
      </w:r>
      <w:r>
        <w:t xml:space="preserve"> — значення 11, 121, 44, 165, 88, тобто 11</w:t>
      </w:r>
      <w:r>
        <w:rPr>
          <w:vertAlign w:val="superscript"/>
        </w:rPr>
        <w:t xml:space="preserve">23</w:t>
      </w:r>
      <w:r>
        <w:t xml:space="preserve"> mod 187 = 88.</w:t>
      </w:r>
    </w:p>
    <w:p>
      <w:pPr>
        <w:spacing w:after="80" w:line="360"/>
        <w:ind w:firstLine="708"/>
        <w:jc w:val="both"/>
      </w:pPr>
      <w:r>
        <w:t xml:space="preserve">Стійкість RSA спирається на складність факторизації n: знання p і q дає φ(n), а з ним і d, причому обчислення φ(n) рівносильне факторизації. Найкращий метод факторизації субекспоненційний, тому довжина модуля зростає швидше за довжину симетричного ключа однакової стійкості (табл. 11.2): [19] визначає нижньою межею 2048 бітів, а для тривалого захисту — 3072. За збігу простого множника у двох модулях обидва ключі відновлюють через НСД, тому p і q формують криптографічним генератором.</w:t>
      </w:r>
    </w:p>
    <w:p>
      <w:pPr>
        <w:pStyle w:val="Heading2"/>
      </w:pPr>
      <w:r>
        <w:t xml:space="preserve">11.3. Схема Ель-Гамаля та криптографія на еліптичних кривих</w:t>
      </w:r>
    </w:p>
    <w:p>
      <w:pPr>
        <w:spacing w:after="80" w:line="360"/>
        <w:ind w:firstLine="708"/>
        <w:jc w:val="both"/>
      </w:pPr>
      <w:r>
        <w:t xml:space="preserve">Другу родину утворюють схеми, стійкі завдяки задачі дискретного логарифма. Схема Ель-Гамаля [50] переносить ідею Діффі–Геллмана на шифрування: закритий ключ — число x, відкритий — трійка (p, g, y), де y = g</w:t>
      </w:r>
      <w:r>
        <w:rPr>
          <w:vertAlign w:val="superscript"/>
        </w:rPr>
        <w:t xml:space="preserve">x</w:t>
      </w:r>
      <w:r>
        <w:t xml:space="preserve"> mod p. Для кожного повідомлення відправник обирає нове </w:t>
      </w:r>
      <w:r>
        <w:rPr>
          <w:i/>
          <w:iCs/>
        </w:rPr>
        <w:t xml:space="preserve">ефемерне</w:t>
      </w:r>
      <w:r>
        <w:t xml:space="preserve"> (англ. </w:t>
      </w:r>
      <w:r>
        <w:rPr>
          <w:i/>
          <w:iCs/>
        </w:rPr>
        <w:t xml:space="preserve">ephemeral</w:t>
      </w:r>
      <w:r>
        <w:t xml:space="preserve">) значення k і обчислює пару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= g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mod p,  c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= m · y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mod p</w:t>
      </w:r>
      <w:r>
        <w:t xml:space="preserve">	(11.7)</w:t>
      </w:r>
    </w:p>
    <w:p>
      <w:pPr>
        <w:spacing w:after="80" w:line="360"/>
        <w:ind w:firstLine="708"/>
        <w:jc w:val="both"/>
      </w:pPr>
      <w:r>
        <w:t xml:space="preserve">Одержувач відновлює m = c</w:t>
      </w:r>
      <w:r>
        <w:rPr>
          <w:vertAlign w:val="subscript"/>
        </w:rPr>
        <w:t xml:space="preserve">2</w:t>
      </w:r>
      <w:r>
        <w:t xml:space="preserve"> · (c</w:t>
      </w:r>
      <w:r>
        <w:rPr>
          <w:vertAlign w:val="subscript"/>
        </w:rPr>
        <w:t xml:space="preserve">1</w:t>
      </w:r>
      <w:r>
        <w:rPr>
          <w:vertAlign w:val="superscript"/>
        </w:rPr>
        <w:t xml:space="preserve">x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 mod p, оскільки c</w:t>
      </w:r>
      <w:r>
        <w:rPr>
          <w:vertAlign w:val="subscript"/>
        </w:rPr>
        <w:t xml:space="preserve">1</w:t>
      </w:r>
      <w:r>
        <w:rPr>
          <w:vertAlign w:val="superscript"/>
        </w:rPr>
        <w:t xml:space="preserve">x</w:t>
      </w:r>
      <w:r>
        <w:t xml:space="preserve"> = y</w:t>
      </w:r>
      <w:r>
        <w:rPr>
          <w:vertAlign w:val="superscript"/>
        </w:rPr>
        <w:t xml:space="preserve">k</w:t>
      </w:r>
      <w:r>
        <w:t xml:space="preserve">. Схема ймовірнісна: те саме повідомлення щоразу дає інший шифротекст ціною подвоєння обсягу.</w:t>
      </w:r>
    </w:p>
    <w:p>
      <w:pPr>
        <w:spacing w:after="80" w:line="360"/>
        <w:ind w:firstLine="708"/>
        <w:jc w:val="both"/>
      </w:pPr>
      <w:r>
        <w:t xml:space="preserve">Та сама пара ключів дає схему підпису: для ефемерного k, взаємно простого з p − 1, обчислюють r = g</w:t>
      </w:r>
      <w:r>
        <w:rPr>
          <w:vertAlign w:val="superscript"/>
        </w:rPr>
        <w:t xml:space="preserve">k</w:t>
      </w:r>
      <w:r>
        <w:t xml:space="preserve"> mod p і s = (H(m) − x · r) · k</w:t>
      </w:r>
      <w:r>
        <w:rPr>
          <w:vertAlign w:val="superscript"/>
        </w:rPr>
        <w:t xml:space="preserve">−1</w:t>
      </w:r>
      <w:r>
        <w:t xml:space="preserve"> mod (p − 1), а перевірка звіряє g</w:t>
      </w:r>
      <w:r>
        <w:rPr>
          <w:vertAlign w:val="superscript"/>
        </w:rPr>
        <w:t xml:space="preserve">H(m)</w:t>
      </w:r>
      <w:r>
        <w:t xml:space="preserve"> з y</w:t>
      </w:r>
      <w:r>
        <w:rPr>
          <w:vertAlign w:val="superscript"/>
        </w:rPr>
        <w:t xml:space="preserve">r</w:t>
      </w:r>
      <w:r>
        <w:t xml:space="preserve"> · r</w:t>
      </w:r>
      <w:r>
        <w:rPr>
          <w:vertAlign w:val="superscript"/>
        </w:rPr>
        <w:t xml:space="preserve">s</w:t>
      </w:r>
      <w:r>
        <w:t xml:space="preserve"> mod p. Якщо k повторено для двох повідомлень з хеш-сумами h</w:t>
      </w:r>
      <w:r>
        <w:rPr>
          <w:vertAlign w:val="subscript"/>
        </w:rPr>
        <w:t xml:space="preserve">1</w:t>
      </w:r>
      <w:r>
        <w:t xml:space="preserve"> і h</w:t>
      </w:r>
      <w:r>
        <w:rPr>
          <w:vertAlign w:val="subscript"/>
        </w:rPr>
        <w:t xml:space="preserve">2</w:t>
      </w:r>
      <w:r>
        <w:t xml:space="preserve">, значення r збігається, а різниця підписів дає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k = (h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− h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) · (s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− s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−1</w:t>
      </w:r>
      <w:r>
        <w:rPr>
          <w:i/>
          <w:iCs/>
        </w:rPr>
        <w:t xml:space="preserve"> mod (p − 1)</w:t>
      </w:r>
      <w:r>
        <w:t xml:space="preserve">	(11.8)</w:t>
      </w:r>
    </w:p>
    <w:p>
      <w:pPr>
        <w:spacing w:after="80" w:line="360"/>
        <w:ind w:firstLine="708"/>
        <w:jc w:val="both"/>
      </w:pPr>
      <w:r>
        <w:t xml:space="preserve">після чого x = (h</w:t>
      </w:r>
      <w:r>
        <w:rPr>
          <w:vertAlign w:val="subscript"/>
        </w:rPr>
        <w:t xml:space="preserve">1</w:t>
      </w:r>
      <w:r>
        <w:t xml:space="preserve"> − k · s</w:t>
      </w:r>
      <w:r>
        <w:rPr>
          <w:vertAlign w:val="subscript"/>
        </w:rPr>
        <w:t xml:space="preserve">1</w:t>
      </w:r>
      <w:r>
        <w:t xml:space="preserve">) · r</w:t>
      </w:r>
      <w:r>
        <w:rPr>
          <w:vertAlign w:val="superscript"/>
        </w:rPr>
        <w:t xml:space="preserve">−1</w:t>
      </w:r>
      <w:r>
        <w:t xml:space="preserve"> mod (p − 1) — за оборотності цих величин за модулем p − 1, який завжди парний; в ECDSA (англ. </w:t>
      </w:r>
      <w:r>
        <w:rPr>
          <w:i/>
          <w:iCs/>
        </w:rPr>
        <w:t xml:space="preserve">Elliptic Curve Digital Signature Algorithm</w:t>
      </w:r>
      <w:r>
        <w:t xml:space="preserve">), де модуль простий, обмеження знімається. Отже, одне повторення ефемерного значення не послаблює схему, а знищує її; захист — детерміноване формування k із закритого ключа й повідомлення, як в EdDSA (англ. </w:t>
      </w:r>
      <w:r>
        <w:rPr>
          <w:i/>
          <w:iCs/>
        </w:rPr>
        <w:t xml:space="preserve">Edwards-curve Digital Signature Algorithm</w:t>
      </w:r>
      <w:r>
        <w:t xml:space="preserve">) [85].</w:t>
      </w:r>
    </w:p>
    <w:p>
      <w:pPr>
        <w:spacing w:after="80" w:line="360"/>
        <w:ind w:firstLine="708"/>
        <w:jc w:val="both"/>
      </w:pPr>
      <w:r>
        <w:t xml:space="preserve">Перевагу дає перенесення схем у групу точок еліптичної кривої, запропоноване Н. Кобліцем і, незалежно, В. Міллером [84]; над скінченним полем крива задається рівнянням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y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= 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 + a·x + b (mod p),  4a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 + 27b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≠ 0 (mod p)</w:t>
      </w:r>
      <w:r>
        <w:t xml:space="preserve">	(11.9)</w:t>
      </w:r>
    </w:p>
    <w:p>
      <w:pPr>
        <w:spacing w:after="80" w:line="360"/>
        <w:ind w:firstLine="708"/>
        <w:jc w:val="both"/>
      </w:pPr>
      <w:r>
        <w:t xml:space="preserve">Точки кривої разом із нескінченно віддаленою утворюють групу: сума P і Q — відображена відносно осі абсцис третя точка перетину прямої PQ з кривою, а подвоєння дає дотична (рис. 11.2). Аналог піднесення до степеня — скалярне множення kP, а </w:t>
      </w:r>
      <w:r>
        <w:rPr>
          <w:i/>
          <w:iCs/>
        </w:rPr>
        <w:t xml:space="preserve">задача дискретного логарифма на кривій</w:t>
      </w:r>
      <w:r>
        <w:t xml:space="preserve"> — знайти k за P і Q = kP.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11.2. Додавання й подвоєння точок еліптичної кривої</w:t>
      </w:r>
    </w:p>
    <w:p>
      <w:pPr>
        <w:spacing w:after="80" w:line="360"/>
        <w:ind w:firstLine="708"/>
        <w:jc w:val="both"/>
      </w:pPr>
      <w:r>
        <w:t xml:space="preserve">Числовий приклад: для кривої y</w:t>
      </w:r>
      <w:r>
        <w:rPr>
          <w:vertAlign w:val="superscript"/>
        </w:rPr>
        <w:t xml:space="preserve">2</w:t>
      </w:r>
      <w:r>
        <w:t xml:space="preserve"> = x</w:t>
      </w:r>
      <w:r>
        <w:rPr>
          <w:vertAlign w:val="superscript"/>
        </w:rPr>
        <w:t xml:space="preserve">3</w:t>
      </w:r>
      <w:r>
        <w:t xml:space="preserve"> + 2x + 2 за модулем 17 і точки P = (5, 1) дотична дає λ = (3 · 5</w:t>
      </w:r>
      <w:r>
        <w:rPr>
          <w:vertAlign w:val="superscript"/>
        </w:rPr>
        <w:t xml:space="preserve">2</w:t>
      </w:r>
      <w:r>
        <w:t xml:space="preserve"> + 2) · 2</w:t>
      </w:r>
      <w:r>
        <w:rPr>
          <w:vertAlign w:val="superscript"/>
        </w:rPr>
        <w:t xml:space="preserve">−1</w:t>
      </w:r>
      <w:r>
        <w:t xml:space="preserve"> ≡ 13, звідки x</w:t>
      </w:r>
      <w:r>
        <w:rPr>
          <w:vertAlign w:val="subscript"/>
        </w:rPr>
        <w:t xml:space="preserve">3</w:t>
      </w:r>
      <w:r>
        <w:t xml:space="preserve"> = λ</w:t>
      </w:r>
      <w:r>
        <w:rPr>
          <w:vertAlign w:val="superscript"/>
        </w:rPr>
        <w:t xml:space="preserve">2</w:t>
      </w:r>
      <w:r>
        <w:t xml:space="preserve"> − 10 ≡ 6, y</w:t>
      </w:r>
      <w:r>
        <w:rPr>
          <w:vertAlign w:val="subscript"/>
        </w:rPr>
        <w:t xml:space="preserve">3</w:t>
      </w:r>
      <w:r>
        <w:t xml:space="preserve"> = λ · (5 − 6) − 1 ≡ 3 (mod 17), тобто 2P = (6, 3).</w:t>
      </w:r>
    </w:p>
    <w:p>
      <w:pPr>
        <w:spacing w:after="80" w:line="360"/>
        <w:ind w:firstLine="708"/>
        <w:jc w:val="both"/>
      </w:pPr>
      <w:r>
        <w:t xml:space="preserve">Різниця в довжинах має точну причину: для дібраної кривої найкращий метод має складність порядку кореня з порядку групи — 2</w:t>
      </w:r>
      <w:r>
        <w:rPr>
          <w:vertAlign w:val="superscript"/>
        </w:rPr>
        <w:t xml:space="preserve">128</w:t>
      </w:r>
      <w:r>
        <w:t xml:space="preserve"> операцій для 256-бітної групи, тоді як факторизація й логарифм у скінченному полі мають субекспоненційні методи, і тієї самої оцінки досягають лише за модуля 3072 біти (табл. 11.2).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11.2 – Довжини ключів однакової оцінюваної стійкості за рекомендаціями [19]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9"/>
        <w:gridCol w:w="2089"/>
        <w:gridCol w:w="3133"/>
        <w:gridCol w:w="2610"/>
      </w:tblGrid>
      <w:tr>
        <w:trPr>
          <w:cantSplit/>
          <w:tblHeader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 стійкості, бітів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Симетричний алгоритм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Модуль RSA або скінченного поля, бітів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Порядок групи точок кривої, бітів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112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3DES із трьома ключами (3TDEA)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2048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224–255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128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3072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256–383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192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AES-192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7680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384–511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15360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512 і більше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Рядок 112 бітів наведено для зіставлення з успадкованими системами: [19] забороняє 3TDEA після 2023 р., а варіант із двома ключами дає лише 80 бітів стійкості й заборонений з 2015 р.</w:t>
      </w:r>
    </w:p>
    <w:p>
      <w:pPr>
        <w:spacing w:after="80" w:line="360"/>
        <w:ind w:firstLine="708"/>
        <w:jc w:val="both"/>
      </w:pPr>
      <w:r>
        <w:t xml:space="preserve">Коротший ключ дає коротший підпис і менше обчислень, тому криві — типовий вибір для мобільних застосунків. Межі застосовності: стійкість залежить від параметрів кривої, тож беруть лише стандартизовані набори, реалізація має перевіряти належність точки кривій, а всі розглянуті задачі розв’язні на квантовому обчислювачі.</w:t>
      </w:r>
    </w:p>
    <w:p>
      <w:pPr>
        <w:pStyle w:val="Heading2"/>
      </w:pPr>
      <w:r>
        <w:t xml:space="preserve">11.4. Електронний підпис, сертифікати та інфраструктура відкритих ключів</w:t>
      </w:r>
    </w:p>
    <w:p>
      <w:pPr>
        <w:spacing w:after="80" w:line="360"/>
        <w:ind w:firstLine="708"/>
        <w:jc w:val="both"/>
      </w:pPr>
      <w:r>
        <w:t xml:space="preserve">Асиметрична криптографія відповідає ще на дві загрози (лекція 3): підміну джерела (Spoofing) і заперечення авторства (Repudiation). </w:t>
      </w:r>
      <w:r>
        <w:rPr>
          <w:i/>
          <w:iCs/>
        </w:rPr>
        <w:t xml:space="preserve">Цифровий (електронний) підпис</w:t>
      </w:r>
      <w:r>
        <w:t xml:space="preserve"> (англ. </w:t>
      </w:r>
      <w:r>
        <w:rPr>
          <w:i/>
          <w:iCs/>
        </w:rPr>
        <w:t xml:space="preserve">digital signature</w:t>
      </w:r>
      <w:r>
        <w:t xml:space="preserve">) — значення, обчислене закритим ключем і перевірюване відповідним відкритим; він дає автентичність джерела, цілісність повідомлення і </w:t>
      </w:r>
      <w:r>
        <w:rPr>
          <w:i/>
          <w:iCs/>
        </w:rPr>
        <w:t xml:space="preserve">неспростовність</w:t>
      </w:r>
      <w:r>
        <w:t xml:space="preserve"> (англ. </w:t>
      </w:r>
      <w:r>
        <w:rPr>
          <w:i/>
          <w:iCs/>
        </w:rPr>
        <w:t xml:space="preserve">non-repudiation</w:t>
      </w:r>
      <w:r>
        <w:t xml:space="preserve">). Остання відрізняє підпис від коду автентифікації (п. 10.3): MAC обчислюють і перевіряють тим самим ключем, тож одержувач не може довести авторство третій стороні.</w:t>
      </w:r>
    </w:p>
    <w:p>
      <w:pPr>
        <w:spacing w:after="80" w:line="360"/>
        <w:ind w:firstLine="708"/>
        <w:jc w:val="both"/>
      </w:pPr>
      <w:r>
        <w:t xml:space="preserve">Підписують не повідомлення, а його хеш-суму: асиметричне перетворення дороге й обмежене модулем, а без хешування підпис піддається екзистенційній підробці через мультиплікативність (п. 11.1). Наслідок: стійкість підпису не перевищує стійкості хеш-функції до колізій — маючи два повідомлення з однаковою хеш-сумою, порушник переносить підпис на зловмисне. Застосовні схеми — RSASSA-PSS (підпис RSA за схемою PSS) [81], ECDSA [21] та EdDSA [85].</w:t>
      </w:r>
    </w:p>
    <w:p>
      <w:pPr>
        <w:spacing w:after="80" w:line="360"/>
        <w:ind w:firstLine="708"/>
        <w:jc w:val="both"/>
      </w:pPr>
      <w:r>
        <w:t xml:space="preserve">Підпис доводить володіння закритим ключем, але не те, кому ключ належить. Прив’язку виконує </w:t>
      </w:r>
      <w:r>
        <w:rPr>
          <w:i/>
          <w:iCs/>
        </w:rPr>
        <w:t xml:space="preserve">сертифікат</w:t>
      </w:r>
      <w:r>
        <w:t xml:space="preserve"> (англ. </w:t>
      </w:r>
      <w:r>
        <w:rPr>
          <w:i/>
          <w:iCs/>
        </w:rPr>
        <w:t xml:space="preserve">certificate</w:t>
      </w:r>
      <w:r>
        <w:t xml:space="preserve">) формату X.509 [86], у якому </w:t>
      </w:r>
      <w:r>
        <w:rPr>
          <w:i/>
          <w:iCs/>
        </w:rPr>
        <w:t xml:space="preserve">центр сертифікації</w:t>
      </w:r>
      <w:r>
        <w:t xml:space="preserve"> (англ. </w:t>
      </w:r>
      <w:r>
        <w:rPr>
          <w:i/>
          <w:iCs/>
        </w:rPr>
        <w:t xml:space="preserve">certification authority</w:t>
      </w:r>
      <w:r>
        <w:t xml:space="preserve">, CA) власним підписом засвідчує відповідність ключа і суб’єкта. Крім серійного номера, видавця, суб’єкта, строку дії та ключа, він містить розширення: альтернативні імена суб’єкта, призначення ключа, ознаку центру.</w:t>
      </w:r>
    </w:p>
    <w:p>
      <w:pPr>
        <w:spacing w:after="80" w:line="360"/>
        <w:ind w:firstLine="708"/>
        <w:jc w:val="both"/>
      </w:pPr>
      <w:r>
        <w:t xml:space="preserve">Сукупність центрів сертифікації та реєстрації, сховищ сертифікатів і списків відкликання, регламентів та форматів утворює </w:t>
      </w:r>
      <w:r>
        <w:rPr>
          <w:i/>
          <w:iCs/>
        </w:rPr>
        <w:t xml:space="preserve">інфраструктуру відкритих ключів</w:t>
      </w:r>
      <w:r>
        <w:t xml:space="preserve"> (англ. </w:t>
      </w:r>
      <w:r>
        <w:rPr>
          <w:i/>
          <w:iCs/>
        </w:rPr>
        <w:t xml:space="preserve">Public Key Infrastructure</w:t>
      </w:r>
      <w:r>
        <w:t xml:space="preserve">, PKI) — систему, що переносить довіру з окремого ключа на процедуру його засвідчення й забезпечує життєвий цикл сертифіката: запит, перевірку особи, видачу, публікацію, відкликання та архівування. Далі розглянуто ці складники.</w:t>
      </w:r>
    </w:p>
    <w:p>
      <w:pPr>
        <w:spacing w:after="80" w:line="360"/>
        <w:ind w:firstLine="708"/>
        <w:jc w:val="both"/>
      </w:pPr>
      <w:r>
        <w:t xml:space="preserve">Довіра організована ієрархічно (рис. 11.3): кореневий сертифікат самопідписаний, потрапляє до сховища довіри не тим каналом, який ним захищають, — у складі операційної системи або браузера, — і засвідчує проміжні центри, а ті — кінцеві. Проміжна ланка потрібна тому, що ключ кореня зберігають автономно: його заміна означала б оновлення всіх сховищ довіри.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11.3. Ланцюг довіри та перевірка сертифіката сервера</w:t>
      </w:r>
    </w:p>
    <w:p>
      <w:pPr>
        <w:spacing w:after="80" w:line="360"/>
        <w:ind w:firstLine="708"/>
        <w:jc w:val="both"/>
      </w:pPr>
      <w:r>
        <w:t xml:space="preserve">Перевірка ланцюга — набір незалежних умов, і пропуск будь-якої знецінює решту: підпис ланки перевірено ключем наступної; строк дії чинний; ознака центру сертифікації дозволяє засвідчувати інші сертифікати; призначення ключа відповідає використанню; сертифікат не відкликано. Окрема умова — звіряння імені вузла з альтернативними іменами суб’єкта: саме воно є контрзаходом проти атаки «людина посередині» (п. 11.1).</w:t>
      </w:r>
    </w:p>
    <w:p>
      <w:pPr>
        <w:spacing w:after="80" w:line="360"/>
        <w:ind w:firstLine="708"/>
        <w:jc w:val="both"/>
      </w:pPr>
      <w:r>
        <w:t xml:space="preserve">Відкликання реалізують двояко: список відкликаних сертифікатів (англ. </w:t>
      </w:r>
      <w:r>
        <w:rPr>
          <w:i/>
          <w:iCs/>
        </w:rPr>
        <w:t xml:space="preserve">Certificate Revocation List</w:t>
      </w:r>
      <w:r>
        <w:t xml:space="preserve">, CRL) публікують періодично, тож відомості застарілі на інтервал публікації, а протокол OCSP (англ. </w:t>
      </w:r>
      <w:r>
        <w:rPr>
          <w:i/>
          <w:iCs/>
        </w:rPr>
        <w:t xml:space="preserve">Online Certificate Status Protocol</w:t>
      </w:r>
      <w:r>
        <w:t xml:space="preserve"> — перевірка стану сертифіката за запитом) дає статус одного сертифіката ціною залежності від служби.</w:t>
      </w:r>
    </w:p>
    <w:p>
      <w:pPr>
        <w:spacing w:after="80" w:line="360"/>
        <w:ind w:firstLine="708"/>
        <w:jc w:val="both"/>
      </w:pPr>
      <w:r>
        <w:t xml:space="preserve">Механізми поєднує TLS 1.3 [22]: рукостискання виконує ефемерне узгодження ключа на кривій, сервер підписує хеш повідомлень рукостискання ключем сертифіката, а сеансові ключі виводить HKDF (п. 10.3). Ефемерність дає </w:t>
      </w:r>
      <w:r>
        <w:rPr>
          <w:i/>
          <w:iCs/>
        </w:rPr>
        <w:t xml:space="preserve">пряму секретність</w:t>
      </w:r>
      <w:r>
        <w:t xml:space="preserve"> (англ. </w:t>
      </w:r>
      <w:r>
        <w:rPr>
          <w:i/>
          <w:iCs/>
        </w:rPr>
        <w:t xml:space="preserve">forward secrecy</w:t>
      </w:r>
      <w:r>
        <w:t xml:space="preserve">) — записаний трафік не розкривається й після компрометації довготривалого ключа сервера, тому з TLS 1.3 вилучено обмін ключами на статичному RSA.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fetch_v1(url: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перевірку сертифіката вимкнено — приймається будь-який ключ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requests.get(url, verify=False, timeout=10).content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fetch_v2(url: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ланцюг і ім'я вузла перевірено за замовчуванням (verify=True)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requests.get(url, timeout=10).content</w:t>
      </w:r>
    </w:p>
    <w:p>
      <w:pPr>
        <w:spacing w:after="80" w:line="360"/>
        <w:ind w:firstLine="708"/>
        <w:jc w:val="both"/>
      </w:pPr>
      <w:r>
        <w:t xml:space="preserve">Власне сховище довіри задають аргументом verify зі шляхом до файла — лише за прив’язки до корпоративного центру. Завершальна складова — керування ключами [19] від генерації до знищення: закритий ключ не покидає носія, де створений; один ключ має одне призначення; строк дії обмежують за часом і обсягом матеріалу.</w:t>
      </w:r>
    </w:p>
    <w:p>
      <w:pPr>
        <w:spacing w:after="80" w:line="360"/>
        <w:ind w:firstLine="708"/>
        <w:jc w:val="both"/>
      </w:pPr>
      <w:r>
        <w:t xml:space="preserve">Розглянутий підпис є криптографічним примітивом, тоді як в українському праві електронний підпис — ширше поняття: юридичну рівнозначність власноручному має </w:t>
      </w:r>
      <w:r>
        <w:rPr>
          <w:i/>
          <w:iCs/>
        </w:rPr>
        <w:t xml:space="preserve">кваліфікований електронний підпис</w:t>
      </w:r>
      <w:r>
        <w:t xml:space="preserve"> (КЕП) на основі кваліфікованого сертифіката від кваліфікованого надавача електронних довірчих послуг. Національний алгоритм підпису — ДСТУ 4145-2002 на еліптичних кривих, аналог ECDSA.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Асиметрична криптографія замінює таємний канал доставки ключа на автентифікацію відкритих ключів; протокол Діффі–Геллмана дає спільний секрет, але не встановлює, з ким саме.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«Підручниковий» RSA непридатний через детермінованість і мультиплікативність: обов’язковими є доповнення OAEP для шифрування та PSS для підпису за PKCS #1.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Генерація ключів спирається на тест Міллера–Рабіна з похибкою 4</w:t>
      </w:r>
      <w:r>
        <w:rPr>
          <w:vertAlign w:val="superscript"/>
        </w:rPr>
        <w:t xml:space="preserve">−k</w:t>
      </w:r>
      <w:r>
        <w:t xml:space="preserve"> та розширений алгоритм Евкліда, що дає закритий показник як обернений до відкритого за модулем φ(n).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Криптографія на кривих досягає тієї самої стійкості за коротших ключів; повторення ефемерного значення розкриває ключ підписувача.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Сертифікат X.509 прив’язує ключ до суб’єкта, а PKI забезпечує його життєвий цикл; перевірка ланцюга є набором незалежних умов, і пропуск будь-якої, насамперед звіряння імені вузла, знецінює довіру.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Скільки ключів потрібно для попарного захищеного обміну між 500 абонентами і що змінює асиметрична схема?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протокол Діффі–Геллмана без автентифікації сторін не забезпечує конфіденційності проти активного порушника?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Виведіть коректність дешифрування RSA з теореми Ейлера та вкажіть, для яких m потрібна теорема про остачі.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5</w:t>
      </w:r>
      <w:r>
        <w:rPr>
          <w:vertAlign w:val="superscript"/>
        </w:rPr>
        <w:t xml:space="preserve">11</w:t>
      </w:r>
      <w:r>
        <w:t xml:space="preserve"> mod 91 бінарним методом і вкажіть кількість множень.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станеться, якщо застосувати RSA без доповнення до поля, яке набуває лише десяти значень?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тест Ферма не є достатнім критерієм простоти і яку перевірку додає тест Міллера–Рабіна?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Скільки раундів тесту Міллера–Рабіна потрібно, щоб імовірність помилки не перевищувала 2</w:t>
      </w:r>
      <w:r>
        <w:rPr>
          <w:vertAlign w:val="superscript"/>
        </w:rPr>
        <w:t xml:space="preserve">−60</w:t>
      </w:r>
      <w:r>
        <w:t xml:space="preserve">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розширеним алгоритмом Евкліда значення 5</w:t>
      </w:r>
      <w:r>
        <w:rPr>
          <w:vertAlign w:val="superscript"/>
        </w:rPr>
        <w:t xml:space="preserve">−1</w:t>
      </w:r>
      <w:r>
        <w:t xml:space="preserve"> mod 84 і перевірте результат.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стійкість 2048-бітного ключа RSA та 256-бітного ключа на кривій. Чим пояснюється різниця?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повторення ефемерного значення в ECDSA компрометує закритий ключ?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складники PKI та перевірки, які клієнт виконує над ланцюгом сертифікатів.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Стійкість RSA забезпечує обчислювальна складність задачі: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дискретного логарифма за простим модулем;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факторизації добутку двох великих простих чисел;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пошуку колізій хеш-функції;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обчислення оберненого елемента за модулем.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«Підручниковий» RSA небезпечний насамперед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використовує занадто короткий модуль;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 дає перевірити цілісність повідомлення;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є детермінованим і мультиплікативним перетворенням;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вимагає передавання закритого ключа каналом.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Число 561 наводять як приклад числа Кармайкла, бо воно: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просте, але не проходить тесту Міллера–Рабіна;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складене, проте проходить тест Ферма за будь-якої взаємно простої основи;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має рівно два прості дільники;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 піддається факторизації решетом числового поля.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Повторення ефемерного k у підписі Ель-Гамаля або ECDSA веде до: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подвоєння довжини підпису;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неможливості перевірити підпис;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відновлення закритого ключа підписувача з двох підписів;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втрати прямої секретності сеансу.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Пряму секретність у TLS 1.3 забезпечує: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сертифікат із довшим строком дії;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ефемерне узгодження ключа з наступним знищенням тимчасових значень;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підписування кожного запису сеансовим ключем;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шифрування сеансового ключа статичним ключем RSA сервера.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Атака Вінера на RSA з малим закритим показником і обмеження на вибір e та d.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Постквантові схеми обміну ключами та підпису: підстави стійкості, розміри ключів, гібридні режими переходу.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Прозорість сертифікатів (Certificate Transparency): журнали видачі й виявлення помилково виданих сертифікатів.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Служби керування ключами (KMS) і сховища секретів: моделі довіри, апаратні модулі безпеки, ротація без простою.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Diffie W. New Directions in Cryptography / W. Diffie, M. E. Hellman // IEEE Transactions on Information Theory. – 1976. – Vol. IT-22, № 6. – P. 644–654 [47].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Rivest R. L. A Method for Obtaining Digital Signatures and Public-Key Cryptosystems / R. L. Rivest, A. Shamir, L. Adleman // Communications of the ACM. – 1978. – Vol. 21, № 2. – P. 120–126 [48].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8017. PKCS #1: RSA Cryptography Specifications Version 2.2 / K. Moriarty [et al.] ; IETF. – 2016. – Розд. 3, 7–9 [81].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5280. Internet X.509 Public Key Infrastructure Certificate and CRL Profile / D. Cooper [et al.] ; IETF. – 2008. – Розд. 4, 6 [86].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11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792852debd156f15fc56dcc36aa78f46ecbd68.png"/><Relationship Id="rId10" Type="http://schemas.openxmlformats.org/officeDocument/2006/relationships/image" Target="media/fd8ec7bf3f4f2768849675c54832ae6c11ad9d8e.png"/><Relationship Id="rId11" Type="http://schemas.openxmlformats.org/officeDocument/2006/relationships/image" Target="media/bf715c43ce442cce168ce3f240cb3a7d857a0d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2026-10-06T23:42:49.531Z</dcterms:created>
  <dcterms:modified xsi:type="dcterms:W3CDTF">2026-10-06T23:42:49.532Z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