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13. Вразливості програмних застосунків: OWASP Top 10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Ін’єкції в застосунках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Міжсайтове виконання сценаріїв та підробка запитів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Небезпечна десеріалізація, обхід каталогів і завантаження файлів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Помилки конфігурації, вразливі компоненти та систематичний захист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OWASP Top 10, ін’єкція SQL, параметризований запит, міжсайтове виконання сценаріїв, кодування виводу, політика безпеки вмісту, десеріалізація, обхід каталогів.</w:t>
      </w:r>
    </w:p>
    <w:p>
      <w:pPr>
        <w:pStyle w:val="Heading2"/>
      </w:pPr>
      <w:r>
        <w:t xml:space="preserve">13.1. Ін’єкції в застосунках</w:t>
      </w:r>
    </w:p>
    <w:p>
      <w:pPr>
        <w:spacing w:after="80" w:line="360"/>
        <w:ind w:firstLine="708"/>
        <w:jc w:val="both"/>
      </w:pPr>
      <w:r>
        <w:t xml:space="preserve">Дефекти рівня застосунку мають іншу спільну причину, ніж дефекти безпеки пам’яті (лекція 12), — </w:t>
      </w:r>
      <w:r>
        <w:rPr>
          <w:i/>
          <w:iCs/>
        </w:rPr>
        <w:t xml:space="preserve">змішування даних і команд</w:t>
      </w:r>
      <w:r>
        <w:t xml:space="preserve"> (CWE-74) [31]: інтерпретатор отримує текст, де команда й дані не розділені структурно, тому вставка з роздільниками змінює структуру команди.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OWASP Top 10</w:t>
      </w:r>
      <w:r>
        <w:t xml:space="preserve"> [27] узагальнює переважно виміряну частоту дефектів: вісім категорій сформовано за даними вимірювань, дві (A04 і A10) — за опитуванням спільноти, бо автоматичні засоби їх не виявляють. Це перелік категорій ризику, а не вразливостей: категорія об’єднує десятки типів CWE, тому твердження «застосунок містить A03» не описує дефекту. Повноту перевірки дає ASVS [28], класифікацію — CWE (лекція 2); категорії згруповано за причиною, а не за технікою атаки (табл. 13.1).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13.1 – Категорії OWASP Top 10:2021, типові дефекти CWE та місце розгляду [27,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2835"/>
        <w:gridCol w:w="2834"/>
      </w:tblGrid>
      <w:tr>
        <w:trPr>
          <w:cantSplit/>
          <w:tblHeader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Категорія OWASP Top 10:2021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Типові CWE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Де розглянуто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A01. Порушення розмежування доступу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CWE-284, CWE-639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6, 9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A02. Криптографічні збої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CWE-311, CWE-327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10, 11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A03. Ін’єкції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CWE-79, CWE-89, CWE-78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13.1, 13.2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A04. Небезпечне проєктування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CWE-209, CWE-522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3, 5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A05. Помилки конфігурації безпеки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CWE-16, CWE-611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13.4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A06. Вразливі та застарілі компоненти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CWE-1104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13.4, лекція 15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A07. Збої ідентифікації та автентифікації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CWE-287, CWE-384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8, 9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A08. Збої цілісності ПЗ і даних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CWE-502, CWE-829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13.3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A09. Збої журналювання та моніторингу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CWE-117, CWE-778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лекція 7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A10. Підробка запиту на боці сервера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CWE-918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13.2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Перелік переглядають приблизно раз на чотири роки. У табл. 13.1 подано редакцію 2021 р., якою послуговуються чинні вимоги й засоби аналізу; у редакції 2025 р. категорії перенумеровано, тож A0x не є сталим ідентифікатором дефекту, на відміну від номера CWE: додано збої ланцюга постачання ПЗ (A03), помилки конфігурації піднято до A02, окремої категорії SSRF немає.</w:t>
      </w:r>
    </w:p>
    <w:p>
      <w:pPr>
        <w:spacing w:after="80" w:line="360"/>
        <w:ind w:firstLine="708"/>
        <w:jc w:val="both"/>
      </w:pPr>
      <w:r>
        <w:t xml:space="preserve">Найдослідженіший різновид — </w:t>
      </w:r>
      <w:r>
        <w:rPr>
          <w:i/>
          <w:iCs/>
        </w:rPr>
        <w:t xml:space="preserve">ін’єкція SQL</w:t>
      </w:r>
      <w:r>
        <w:t xml:space="preserve"> (англ. </w:t>
      </w:r>
      <w:r>
        <w:rPr>
          <w:i/>
          <w:iCs/>
        </w:rPr>
        <w:t xml:space="preserve">SQL injection</w:t>
      </w:r>
      <w:r>
        <w:t xml:space="preserve">, CWE-89): вставка фрагмента, що змінює структуру запиту.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find_user_v1(conn, login: str):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значення вклеєно в текст запиту, тому апостроф у login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закриває літерал, а решта введення стає командою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q = "SELECT id FROM users WHERE login = '%s'" % login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conn.execute(q).fetchall()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find_user_v2(conn, login: str):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параметр передано окремо від тексту, тому драйвер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трактує його лише як значення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conn.execute("SELECT id FROM users WHERE login = ?", (login,)).fetchall()</w:t>
      </w:r>
    </w:p>
    <w:p>
      <w:pPr>
        <w:spacing w:after="80" w:line="360"/>
        <w:ind w:firstLine="708"/>
        <w:jc w:val="both"/>
      </w:pPr>
      <w:r>
        <w:t xml:space="preserve">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' OR '1'='1</w:t>
      </w:r>
      <w:r>
        <w:t xml:space="preserve"> робить умову істинною для кожного рядка, а </w:t>
      </w:r>
      <w:r>
        <w:rPr>
          <w:rFonts w:ascii="Courier New" w:cs="Courier New" w:eastAsia="Courier New" w:hAnsi="Courier New"/>
          <w:sz w:val="24"/>
          <w:szCs w:val="24"/>
        </w:rPr>
        <w:t xml:space="preserve">' UNION SELECT password_hash --</w:t>
      </w:r>
      <w:r>
        <w:t xml:space="preserve"> додає хеш-суми паролів.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Наведені корисні навантаження призначені лише для ізольованого середовища практикуму: несанкціоноване втручання в роботу інформаційно-комунікаційних систем є кримінальним правопорушенням за статтями 361–363-1 Кримінального кодексу України [26].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Параметризований запит</w:t>
      </w:r>
      <w:r>
        <w:t xml:space="preserve"> (англ. </w:t>
      </w:r>
      <w:r>
        <w:rPr>
          <w:i/>
          <w:iCs/>
        </w:rPr>
        <w:t xml:space="preserve">prepared statement</w:t>
      </w:r>
      <w:r>
        <w:t xml:space="preserve">) надійний тим, що значення не потрапляє до тексту, який розбирає аналізатор SQL: структуру команди сервер визначає до підстановки. Межа: параметризувати можна лише літерали, тому назва таблиці чи стовпець сортування потребують переліку дозволеного (лекція 5). Екранування рівноцінним не є: воно контекстозалежне й лишається переліком забороненого, тож одне пропущене місце знищує захист. Об’єктно-реляційне відображення (англ. </w:t>
      </w:r>
      <w:r>
        <w:rPr>
          <w:i/>
          <w:iCs/>
        </w:rPr>
        <w:t xml:space="preserve">object-relational mapping</w:t>
      </w:r>
      <w:r>
        <w:t xml:space="preserve">, ORM) параметризує запити типово, але сирий SQL лишається місцем дефекту.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Сліпа ін’єкція</w:t>
      </w:r>
      <w:r>
        <w:t xml:space="preserve"> (англ. </w:t>
      </w:r>
      <w:r>
        <w:rPr>
          <w:i/>
          <w:iCs/>
        </w:rPr>
        <w:t xml:space="preserve">blind SQL injection</w:t>
      </w:r>
      <w:r>
        <w:t xml:space="preserve">) застосовна, коли застосунок не повертає ні результату, ні помилки, але його поведінка залежить від істинності доданої умови: різняться сторінка або час відповіді. Дані витягують двійковим пошуком; кількість запитів для рядка довжини L над алфавітом потужності M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L · ⌈log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M⌉</w:t>
      </w:r>
      <w:r>
        <w:t xml:space="preserve">	(13.1)</w:t>
      </w:r>
    </w:p>
    <w:p>
      <w:pPr>
        <w:spacing w:after="80" w:line="360"/>
        <w:ind w:firstLine="708"/>
        <w:jc w:val="both"/>
      </w:pPr>
      <w:r>
        <w:t xml:space="preserve">Числовий приклад. Для хеш-суми з 64 шістнадцяткових символів (L = 64, M = 16) формула (13.1) дає N = 256 запитів: приховування діагностики лише сповільнює вилучення.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Ін’єкція другого порядку</w:t>
      </w:r>
      <w:r>
        <w:t xml:space="preserve"> (англ. </w:t>
      </w:r>
      <w:r>
        <w:rPr>
          <w:i/>
          <w:iCs/>
        </w:rPr>
        <w:t xml:space="preserve">second-order injection</w:t>
      </w:r>
      <w:r>
        <w:t xml:space="preserve">) виникає, коли збережене значення згодом вклеюють у запит конкатенацією: власна база не є довіреним джерелом.</w:t>
      </w:r>
    </w:p>
    <w:p>
      <w:pPr>
        <w:spacing w:after="80" w:line="360"/>
        <w:ind w:firstLine="708"/>
        <w:jc w:val="both"/>
      </w:pPr>
      <w:r>
        <w:t xml:space="preserve">Той самий механізм відтворюється в кожному інтерпретаторі, що приймає текст ззовні (табл. 13.2).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13.2 – Ін’єкції в інтерпретатори різної природи та контрзаходи [29,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8"/>
        <w:gridCol w:w="3502"/>
        <w:gridCol w:w="3501"/>
      </w:tblGrid>
      <w:tr>
        <w:trPr>
          <w:cantSplit/>
          <w:tblHeader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Інтерпретатор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Вид ін’єкції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Структурний контрзахід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Оболонка ОС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ін’єкція команд ОС (англ. </w:t>
            </w:r>
            <w:r>
              <w:rPr>
                <w:i/>
                <w:iCs/>
                <w:sz w:val="24"/>
                <w:szCs w:val="24"/>
              </w:rPr>
              <w:t xml:space="preserve">OS command injection</w:t>
            </w:r>
            <w:r>
              <w:rPr>
                <w:sz w:val="24"/>
                <w:szCs w:val="24"/>
              </w:rPr>
              <w:t xml:space="preserve">, CWE-78)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аргументи списком, без оболонки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Сховище класу NoSQL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ін’єкція NoSQL (англ. </w:t>
            </w:r>
            <w:r>
              <w:rPr>
                <w:i/>
                <w:iCs/>
                <w:sz w:val="24"/>
                <w:szCs w:val="24"/>
              </w:rPr>
              <w:t xml:space="preserve">NoSQL injection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типу: рядок, а не об’єкт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{"$ne": null}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Каталог LDAP (англ. </w:t>
            </w:r>
            <w:r>
              <w:rPr>
                <w:i/>
                <w:iCs/>
                <w:sz w:val="24"/>
                <w:szCs w:val="24"/>
              </w:rPr>
              <w:t xml:space="preserve">Lightweight Directory Access Protocol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ін’єкція LDAP (англ. </w:t>
            </w:r>
            <w:r>
              <w:rPr>
                <w:i/>
                <w:iCs/>
                <w:sz w:val="24"/>
                <w:szCs w:val="24"/>
              </w:rPr>
              <w:t xml:space="preserve">LDAP injection</w:t>
            </w:r>
            <w:r>
              <w:rPr>
                <w:sz w:val="24"/>
                <w:szCs w:val="24"/>
              </w:rPr>
              <w:t xml:space="preserve">, CWE-90)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екранування метасимволів фільтра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13.2. Міжсайтове виконання сценаріїв та підробка запитів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Міжсайтове виконання сценаріїв</w:t>
      </w:r>
      <w:r>
        <w:t xml:space="preserve"> (англ. </w:t>
      </w:r>
      <w:r>
        <w:rPr>
          <w:i/>
          <w:iCs/>
        </w:rPr>
        <w:t xml:space="preserve">cross-site scripting</w:t>
      </w:r>
      <w:r>
        <w:t xml:space="preserve">, XSS, CWE-79) — вставлення в сформовану застосунком сторінку сценарію, який браузер жертви виконує в контексті </w:t>
      </w:r>
      <w:r>
        <w:rPr>
          <w:i/>
          <w:iCs/>
        </w:rPr>
        <w:t xml:space="preserve">походження</w:t>
      </w:r>
      <w:r>
        <w:t xml:space="preserve"> (англ. </w:t>
      </w:r>
      <w:r>
        <w:rPr>
          <w:i/>
          <w:iCs/>
        </w:rPr>
        <w:t xml:space="preserve">origin</w:t>
      </w:r>
      <w:r>
        <w:t xml:space="preserve">) застосунку. Сценарій має права сторінки, тому XSS обходить серверне розмежування доступу: дію виконує законний браузер законного користувача.</w:t>
      </w:r>
    </w:p>
    <w:p>
      <w:pPr>
        <w:spacing w:after="80" w:line="360"/>
        <w:ind w:firstLine="708"/>
        <w:jc w:val="both"/>
      </w:pPr>
      <w:r>
        <w:t xml:space="preserve">Різновиди відрізняються шляхом потрапляння навантаження в документ (рис. 13.1). </w:t>
      </w:r>
      <w:r>
        <w:rPr>
          <w:i/>
          <w:iCs/>
        </w:rPr>
        <w:t xml:space="preserve">Відображене</w:t>
      </w:r>
      <w:r>
        <w:t xml:space="preserve"> (англ. </w:t>
      </w:r>
      <w:r>
        <w:rPr>
          <w:i/>
          <w:iCs/>
        </w:rPr>
        <w:t xml:space="preserve">reflected</w:t>
      </w:r>
      <w:r>
        <w:t xml:space="preserve">) повертається у відповіді на той самий запит і потребує переходу жертви за посиланням, </w:t>
      </w:r>
      <w:r>
        <w:rPr>
          <w:i/>
          <w:iCs/>
        </w:rPr>
        <w:t xml:space="preserve">збережене</w:t>
      </w:r>
      <w:r>
        <w:t xml:space="preserve"> (англ. </w:t>
      </w:r>
      <w:r>
        <w:rPr>
          <w:i/>
          <w:iCs/>
        </w:rPr>
        <w:t xml:space="preserve">stored</w:t>
      </w:r>
      <w:r>
        <w:t xml:space="preserve">) лежить на сервері й повертається кожному відвідувачеві. </w:t>
      </w:r>
      <w:r>
        <w:rPr>
          <w:i/>
          <w:iCs/>
        </w:rPr>
        <w:t xml:space="preserve">На основі об’єктної моделі документа</w:t>
      </w:r>
      <w:r>
        <w:t xml:space="preserve"> (англ. </w:t>
      </w:r>
      <w:r>
        <w:rPr>
          <w:i/>
          <w:iCs/>
        </w:rPr>
        <w:t xml:space="preserve">Document Object Model</w:t>
      </w:r>
      <w:r>
        <w:t xml:space="preserve">, DOM; </w:t>
      </w:r>
      <w:r>
        <w:rPr>
          <w:i/>
          <w:iCs/>
        </w:rPr>
        <w:t xml:space="preserve">DOM-based</w:t>
      </w:r>
      <w:r>
        <w:t xml:space="preserve">) — клієнтський сценарій передає дані з керованого зловмисником джерела (</w:t>
      </w:r>
      <w:r>
        <w:rPr>
          <w:rFonts w:ascii="Courier New" w:cs="Courier New" w:eastAsia="Courier New" w:hAnsi="Courier New"/>
          <w:sz w:val="24"/>
          <w:szCs w:val="24"/>
        </w:rPr>
        <w:t xml:space="preserve">location.hash</w:t>
      </w:r>
      <w:r>
        <w:t xml:space="preserve">) у приймач, що інтерпретує код (</w:t>
      </w:r>
      <w:r>
        <w:rPr>
          <w:rFonts w:ascii="Courier New" w:cs="Courier New" w:eastAsia="Courier New" w:hAnsi="Courier New"/>
          <w:sz w:val="24"/>
          <w:szCs w:val="24"/>
        </w:rPr>
        <w:t xml:space="preserve">innerHTML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eval</w:t>
      </w:r>
      <w:r>
        <w:t xml:space="preserve">), тому серверне кодування тут не діє.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13.1. Шляхи потрапляння навантаження в документ за трьох різновидів XSS</w:t>
      </w:r>
    </w:p>
    <w:p>
      <w:pPr>
        <w:spacing w:after="80" w:line="360"/>
        <w:ind w:firstLine="708"/>
        <w:jc w:val="both"/>
      </w:pPr>
      <w:r>
        <w:t xml:space="preserve">Правило кодування задає контекст вставлення, тож єдиної «функції знешкодження» не існує (табл. 13.3).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13.3 – Контексти вставлення значення в документ HTML і правила кодування [29, 93]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72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Контекст вставлення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Правило кодування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 хибного вибору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Текст елемента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заміна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&amp; &lt; &gt; " '</w:t>
            </w:r>
            <w:r>
              <w:rPr>
                <w:sz w:val="24"/>
                <w:szCs w:val="24"/>
              </w:rPr>
              <w:t xml:space="preserve"> на сутності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вставлена розмітка стає активною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атрибута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 саме, лапки обов’язкові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 лапок пробіл відкриває обробник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Рядковий літерал у сценарії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екранування засобами JavaScript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сутності не розкриваються, закривальний тег розриває блок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атрибута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href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дозволених схем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mailto</w:t>
            </w:r>
            <w:r>
              <w:rPr>
                <w:sz w:val="24"/>
                <w:szCs w:val="24"/>
              </w:rPr>
              <w:t xml:space="preserve">) і кодування компонентів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 самого лише кодування схема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javascript:</w:t>
            </w:r>
            <w:r>
              <w:rPr>
                <w:sz w:val="24"/>
                <w:szCs w:val="24"/>
              </w:rPr>
              <w:t xml:space="preserve"> лишається виконуваною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Обробник події в атрибуті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подвійний контекст HTML і JavaScript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надійного кодування немає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Шаблон вставляє одне значення у двох контекстах.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html import escape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TEMPLATE = '&lt;a title="%s"&gt;…&lt;/a&gt;&lt;script&gt;var u = "%s";&lt;/script&gt;'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render_v1(name: str) -&gt; str: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одне значення у двох контекстах без кодування, тому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воно закриває атрибут і відкриває власний блок сценарію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TEMPLATE % (name, name)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render_v2(name: str) -&gt; str: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для атрибута — сутності HTML у примусових лапках, для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літерала — серіалізація JSON з екрануванням символу "&lt;"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TEMPLATE % (escape(name), json.dumps(name).replace("&lt;", "\\u003c"))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Політика безпеки вмісту</w:t>
      </w:r>
      <w:r>
        <w:t xml:space="preserve"> (англ. </w:t>
      </w:r>
      <w:r>
        <w:rPr>
          <w:i/>
          <w:iCs/>
        </w:rPr>
        <w:t xml:space="preserve">Content Security Policy</w:t>
      </w:r>
      <w:r>
        <w:t xml:space="preserve">, CSP) [92] заголовком відповіді перелічує джерела, з яких браузеру дозволено виконувати ресурси, — другий рубіж глибокого захисту (лекція 5): наслідки зменшує, дефекту не усуває. Типова помилка знецінює її повністю: </w:t>
      </w:r>
      <w:r>
        <w:rPr>
          <w:rFonts w:ascii="Courier New" w:cs="Courier New" w:eastAsia="Courier New" w:hAnsi="Courier New"/>
          <w:sz w:val="24"/>
          <w:szCs w:val="24"/>
        </w:rPr>
        <w:t xml:space="preserve">'unsafe-inline'</w:t>
      </w:r>
      <w: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script-src</w:t>
      </w:r>
      <w:r>
        <w:t xml:space="preserve"> дозволяє саме вбудовані сценарії, тобто те, що й вставляє зловмисник. Робоче налаштування — унікальне для кожної відповіді 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зі </w:t>
      </w:r>
      <w:r>
        <w:rPr>
          <w:rFonts w:ascii="Courier New" w:cs="Courier New" w:eastAsia="Courier New" w:hAnsi="Courier New"/>
          <w:sz w:val="24"/>
          <w:szCs w:val="24"/>
        </w:rPr>
        <w:t xml:space="preserve">'strict-dynamic'</w:t>
      </w:r>
      <w:r>
        <w:t xml:space="preserve">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Міжсайтова підробка запиту</w:t>
      </w:r>
      <w:r>
        <w:t xml:space="preserve"> (англ. </w:t>
      </w:r>
      <w:r>
        <w:rPr>
          <w:i/>
          <w:iCs/>
        </w:rPr>
        <w:t xml:space="preserve">cross-site request forgery</w:t>
      </w:r>
      <w:r>
        <w:t xml:space="preserve">, CSRF, CWE-352) — виконання дії від імені автентифікованого користувача за запитом стороннього сайту: браузер долучає cookie до кожного запиту за адресою застосунку незалежно від ініціатора. Зловмисник відповіді не бачить: дію виконати може, прочитати дані — ні. Атрибут cookie </w:t>
      </w:r>
      <w:r>
        <w:rPr>
          <w:rFonts w:ascii="Courier New" w:cs="Courier New" w:eastAsia="Courier New" w:hAnsi="Courier New"/>
          <w:sz w:val="24"/>
          <w:szCs w:val="24"/>
        </w:rPr>
        <w:t xml:space="preserve">SameSite=Lax</w:t>
      </w:r>
      <w:r>
        <w:t xml:space="preserve"> (лекція 9) не долучає її до міжсайтових запитів, крім переходів GET, тому змінювати стан методом GET не можна. </w:t>
      </w:r>
      <w:r>
        <w:rPr>
          <w:i/>
          <w:iCs/>
        </w:rPr>
        <w:t xml:space="preserve">Синхронізований токен</w:t>
      </w:r>
      <w:r>
        <w:t xml:space="preserve"> (англ. </w:t>
      </w:r>
      <w:r>
        <w:rPr>
          <w:i/>
          <w:iCs/>
        </w:rPr>
        <w:t xml:space="preserve">synchronizer token</w:t>
      </w:r>
      <w:r>
        <w:t xml:space="preserve">) — пов’язане із сесією значення у формі, яке сервер звіряє. За наявності XSS обидва заходи безсилі.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Підробка запиту на боці сервера</w:t>
      </w:r>
      <w:r>
        <w:t xml:space="preserve"> (англ. </w:t>
      </w:r>
      <w:r>
        <w:rPr>
          <w:i/>
          <w:iCs/>
        </w:rPr>
        <w:t xml:space="preserve">server-side request forgery</w:t>
      </w:r>
      <w:r>
        <w:t xml:space="preserve">, SSRF, CWE-918) — примушення сервера виконати запит за заданою зловмисником адресою. Цінність дає розташування сервера: він досягає недоступних ззовні служб і служби метаданих хмари з обліковими даними ролі екземпляра. Перелік заборонених адрес неспроможний: ім’я може вказувати на внутрішню адресу, адреса записується різними формами, переадресація змінює призначення. Тому ім’я розв’язують, адресу звіряють із переліком дозволеного і з’єднуються без переадресації.</w:t>
      </w:r>
    </w:p>
    <w:p>
      <w:pPr>
        <w:pStyle w:val="Heading2"/>
      </w:pPr>
      <w:r>
        <w:t xml:space="preserve">13.3. Небезпечна десеріалізація, обхід каталогів і завантаження файлів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Десеріалізація</w:t>
      </w:r>
      <w:r>
        <w:t xml:space="preserve"> (англ. </w:t>
      </w:r>
      <w:r>
        <w:rPr>
          <w:i/>
          <w:iCs/>
        </w:rPr>
        <w:t xml:space="preserve">deserialization</w:t>
      </w:r>
      <w:r>
        <w:t xml:space="preserve">) — відновлення об’єкта з послідовності байтів. Небезпека виникає, коли формат описує не лише дані, а й дії: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мови Python є програмою для стекової машини з інструкцією виклику об’єкта. Розбір недовіреного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— це виконання коду, і перевірка вмісту не рятує: код виконується під час розбору (CWE-502).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pickle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load_profile_v1(blob: bytes):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формат описує виклики, тому розбір даних ззовні виконує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код зловмисника до будь-якої перевірки вмісту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pickle.loads(blob)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load_profile_v2(blob: bytes):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формат описує лише дані; типи перевіряє приймач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data = json.loads(blob.decode("utf-8"))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set(data) != {"login", "theme"}: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ValueError("неочікувана структура профілю")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data</w:t>
      </w:r>
    </w:p>
    <w:p>
      <w:pPr>
        <w:spacing w:after="80" w:line="360"/>
        <w:ind w:firstLine="708"/>
        <w:jc w:val="both"/>
      </w:pPr>
      <w:r>
        <w:t xml:space="preserve">Правило: формат обміну з недовіреною стороною має описувати дані, а не об’єкти (табл. 13.4).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13.4 – Здатність форматів обміну описувати дії та наслідки для безпеки [27, 29]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72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Формат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описує повідомлення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 розбору недовірених даних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pickle</w:t>
            </w:r>
            <w:r>
              <w:rPr>
                <w:sz w:val="24"/>
                <w:szCs w:val="24"/>
              </w:rPr>
              <w:t xml:space="preserve"> (Python)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інструкції стекової машини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виконання довільного коду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YAML із повним завантажувачем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об’єкти із зазначенням класу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створення об’єктів довільних класів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Серіалізація Java, .NET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граф об’єктів із типами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ланцюжки гаджетів, виконання команд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JSON, protobuf зі схемою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типів даних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лише перевірки значень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Обхід каталогів</w:t>
      </w:r>
      <w:r>
        <w:t xml:space="preserve"> (англ. </w:t>
      </w:r>
      <w:r>
        <w:rPr>
          <w:i/>
          <w:iCs/>
        </w:rPr>
        <w:t xml:space="preserve">path traversal</w:t>
      </w:r>
      <w:r>
        <w:t xml:space="preserve">, CWE-22) — вихід за межі призначеного каталогу через ім’я файла ззовні. Фільтрація підрядка </w:t>
      </w:r>
      <w:r>
        <w:rPr>
          <w:rFonts w:ascii="Courier New" w:cs="Courier New" w:eastAsia="Courier New" w:hAnsi="Courier New"/>
          <w:sz w:val="24"/>
          <w:szCs w:val="24"/>
        </w:rPr>
        <w:t xml:space="preserve">../</w:t>
      </w:r>
      <w:r>
        <w:t xml:space="preserve"> хибна: після одного проходу </w:t>
      </w:r>
      <w:r>
        <w:rPr>
          <w:rFonts w:ascii="Courier New" w:cs="Courier New" w:eastAsia="Courier New" w:hAnsi="Courier New"/>
          <w:sz w:val="24"/>
          <w:szCs w:val="24"/>
        </w:rPr>
        <w:t xml:space="preserve">....//</w:t>
      </w:r>
      <w:r>
        <w:t xml:space="preserve"> знову дає </w:t>
      </w:r>
      <w:r>
        <w:rPr>
          <w:rFonts w:ascii="Courier New" w:cs="Courier New" w:eastAsia="Courier New" w:hAnsi="Courier New"/>
          <w:sz w:val="24"/>
          <w:szCs w:val="24"/>
        </w:rPr>
        <w:t xml:space="preserve">../</w:t>
      </w:r>
      <w:r>
        <w:t xml:space="preserve">, а послідовність буває закодована відсотково. Надійний порядок інший: спершу канонізувати шлях, потім перевірити належність каталогу.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pathlib import Path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BASE = Path("/srv/uploads")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read_v1(name: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перевірки немає, ".." у name виводить за межі каталогу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(BASE / name).read_bytes()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read_v2(name: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канонізують обидва боки порівняння — базу і ціль, 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і лише потім перевіряють належність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base = BASE.resolve()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target = (base / name).resolve()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not target.is_relative_to(base):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PermissionError("шлях поза межами каталогу")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target.read_bytes()</w:t>
      </w:r>
    </w:p>
    <w:p>
      <w:pPr>
        <w:spacing w:after="80" w:line="360"/>
        <w:ind w:firstLine="708"/>
        <w:jc w:val="both"/>
      </w:pPr>
      <w:r>
        <w:t xml:space="preserve">Канонізувати треба обидва боки: звіряння з неканонізованою базою (відносним шляхом або таким, що містить символьне посилання) відхилятиме й законні імена. Клас дефекту усувають за конструкцією: файли зберігають під згенерованими ідентифікаторами, а початкові імена — у базі даних.</w:t>
      </w:r>
    </w:p>
    <w:p>
      <w:pPr>
        <w:spacing w:after="80" w:line="360"/>
        <w:ind w:firstLine="708"/>
        <w:jc w:val="both"/>
      </w:pPr>
      <w:r>
        <w:t xml:space="preserve">Завантаження файлів поєднує три ризики: виконання файла сервером, якщо каталог зберігання лежить у корені вебсервера; хибне визначення типу, бо розширення й </w:t>
      </w:r>
      <w:r>
        <w:rPr>
          <w:rFonts w:ascii="Courier New" w:cs="Courier New" w:eastAsia="Courier New" w:hAnsi="Courier New"/>
          <w:sz w:val="24"/>
          <w:szCs w:val="24"/>
        </w:rPr>
        <w:t xml:space="preserve">Content-Type</w:t>
      </w:r>
      <w:r>
        <w:t xml:space="preserve"> надсилає клієнт; вичерпання ресурсів, що потребує обмежень розміру та коефіцієнта розпакування. Тому перелік дозволених розширень (лекція 5) доповнюють перевіркою сигнатури вмісту до розбору файла — для PNG це </w:t>
      </w:r>
      <w:r>
        <w:rPr>
          <w:rFonts w:ascii="Courier New" w:cs="Courier New" w:eastAsia="Courier New" w:hAnsi="Courier New"/>
          <w:sz w:val="24"/>
          <w:szCs w:val="24"/>
        </w:rPr>
        <w:t xml:space="preserve">data.startswith(b"\x89PNG\r\n\x1a\n")</w:t>
      </w:r>
      <w:r>
        <w:t xml:space="preserve">. Файли зберігають поза коренем вебсервера й віддають через обробник, що перевіряє права.</w:t>
      </w:r>
    </w:p>
    <w:p>
      <w:pPr>
        <w:pStyle w:val="Heading2"/>
      </w:pPr>
      <w:r>
        <w:t xml:space="preserve">13.4. Помилки конфігурації, вразливі компоненти та систематичний захист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Помилки конфігурації безпеки</w:t>
      </w:r>
      <w:r>
        <w:t xml:space="preserve"> (англ. </w:t>
      </w:r>
      <w:r>
        <w:rPr>
          <w:i/>
          <w:iCs/>
        </w:rPr>
        <w:t xml:space="preserve">security misconfiguration</w:t>
      </w:r>
      <w:r>
        <w:t xml:space="preserve">) — категорія, де дефект міститься не в коді, а в налаштуваннях: увімкнений режим налагодження, стандартні облікові записи, відкриті ззовні інтерфейси адміністрування. Сюди редакція 2021 р. відносить і </w:t>
      </w:r>
      <w:r>
        <w:rPr>
          <w:i/>
          <w:iCs/>
        </w:rPr>
        <w:t xml:space="preserve">зовнішні сутності XML</w:t>
      </w:r>
      <w:r>
        <w:t xml:space="preserve"> (англ. </w:t>
      </w:r>
      <w:r>
        <w:rPr>
          <w:i/>
          <w:iCs/>
        </w:rPr>
        <w:t xml:space="preserve">XML external entity</w:t>
      </w:r>
      <w:r>
        <w:t xml:space="preserve">, XXE, CWE-611): </w:t>
      </w:r>
      <w:r>
        <w:rPr>
          <w:rFonts w:ascii="Courier New" w:cs="Courier New" w:eastAsia="Courier New" w:hAnsi="Courier New"/>
          <w:sz w:val="24"/>
          <w:szCs w:val="24"/>
        </w:rPr>
        <w:t xml:space="preserve">DOCTYPE</w:t>
      </w:r>
      <w:r>
        <w:t xml:space="preserve"> описує сутність, яку аналізатор завантажує з локального файла. Захист — заборона </w:t>
      </w:r>
      <w:r>
        <w:rPr>
          <w:rFonts w:ascii="Courier New" w:cs="Courier New" w:eastAsia="Courier New" w:hAnsi="Courier New"/>
          <w:sz w:val="24"/>
          <w:szCs w:val="24"/>
        </w:rPr>
        <w:t xml:space="preserve">DOCTYPE</w:t>
      </w:r>
      <w:r>
        <w:t xml:space="preserve">; типово небезпечні аналізатори Java, а не </w:t>
      </w:r>
      <w:r>
        <w:rPr>
          <w:rFonts w:ascii="Courier New" w:cs="Courier New" w:eastAsia="Courier New" w:hAnsi="Courier New"/>
          <w:sz w:val="24"/>
          <w:szCs w:val="24"/>
        </w:rPr>
        <w:t xml:space="preserve">xml.etree.ElementTree</w:t>
      </w:r>
      <w:r>
        <w:t xml:space="preserve"> мови Python: перевіряти треба бібліотеку, а не мову.</w:t>
      </w:r>
    </w:p>
    <w:p>
      <w:pPr>
        <w:spacing w:after="80" w:line="360"/>
        <w:ind w:firstLine="708"/>
        <w:jc w:val="both"/>
      </w:pPr>
      <w:r>
        <w:t xml:space="preserve">Уваги потребують і повідомлення про помилки: різні відповіді на «немає такого користувача» й «хибний пароль» дають змогу перелічити облікові записи, а текст помилки СУБД зводить сліпу ін’єкцію до звичайної. Правило: користувач дістає загальний текст і номер події, подробиці — лише журнал. </w:t>
      </w:r>
      <w:r>
        <w:rPr>
          <w:i/>
          <w:iCs/>
        </w:rPr>
        <w:t xml:space="preserve">Розкриття чутливих даних</w:t>
      </w:r>
      <w:r>
        <w:t xml:space="preserve"> (англ. </w:t>
      </w:r>
      <w:r>
        <w:rPr>
          <w:i/>
          <w:iCs/>
        </w:rPr>
        <w:t xml:space="preserve">sensitive data exposure</w:t>
      </w:r>
      <w:r>
        <w:t xml:space="preserve">) спричиняє недбалість: передавання без TLS, оборотне зберігання паролів (лекція 8), секрети в репозиторії.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Вразливі та застарілі компоненти</w:t>
      </w:r>
      <w:r>
        <w:t xml:space="preserve"> (англ. </w:t>
      </w:r>
      <w:r>
        <w:rPr>
          <w:i/>
          <w:iCs/>
        </w:rPr>
        <w:t xml:space="preserve">vulnerable and outdated components</w:t>
      </w:r>
      <w:r>
        <w:t xml:space="preserve">) — категорія з особливим розподілом відповідальності: дефект вносить не розробник продукту, але усувати має він, бо для користувача вразливість бібліотеки є вразливістю продукту (лекція 15) [37, 38].</w:t>
      </w:r>
    </w:p>
    <w:p>
      <w:pPr>
        <w:spacing w:after="80" w:line="360"/>
        <w:ind w:firstLine="708"/>
        <w:jc w:val="both"/>
      </w:pPr>
      <w:r>
        <w:t xml:space="preserve">Контрзаходи зводяться до двох операцій, місце яких задає архітектура, а не дисципліна розробників (рис. 13.2). </w:t>
      </w:r>
      <w:r>
        <w:rPr>
          <w:i/>
          <w:iCs/>
        </w:rPr>
        <w:t xml:space="preserve">Валідація вводу</w:t>
      </w:r>
      <w:r>
        <w:t xml:space="preserve"> (англ. </w:t>
      </w:r>
      <w:r>
        <w:rPr>
          <w:i/>
          <w:iCs/>
        </w:rPr>
        <w:t xml:space="preserve">input validation</w:t>
      </w:r>
      <w:r>
        <w:t xml:space="preserve">) виконується один раз на межі довіри (лекція 3): чи допустиме значення для предметної області — тип, довжина, діапазон, формат за переліком дозволеного. </w:t>
      </w:r>
      <w:r>
        <w:rPr>
          <w:i/>
          <w:iCs/>
        </w:rPr>
        <w:t xml:space="preserve">Кодування виводу</w:t>
      </w:r>
      <w:r>
        <w:t xml:space="preserve"> (англ. </w:t>
      </w:r>
      <w:r>
        <w:rPr>
          <w:i/>
          <w:iCs/>
        </w:rPr>
        <w:t xml:space="preserve">output encoding</w:t>
      </w:r>
      <w:r>
        <w:t xml:space="preserve">) виконується перед переданням значення інтерпретаторові: як записати його, щоб той сприйняв його як дані. Замінити друге першим не можна — на вході невідомо, у який контекст значення потрапить.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13.2. Валідація вводу на межі довіри й кодування виводу перед інтерпретатором</w:t>
      </w:r>
    </w:p>
    <w:p>
      <w:pPr>
        <w:spacing w:after="80" w:line="360"/>
        <w:ind w:firstLine="708"/>
        <w:jc w:val="both"/>
      </w:pPr>
      <w:r>
        <w:t xml:space="preserve">Третій рубіж — заголовки відповіді HTTP (табл. 13.5): жоден не усуває дефекту, кожен зменшує наслідки.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13.5 – Заголовки відповіді HTTP як додатковий рубіж захисту [29, 92]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3502"/>
        <w:gridCol w:w="2917"/>
      </w:tblGrid>
      <w:tr>
        <w:trPr>
          <w:cantSplit/>
          <w:tblHeader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Від чого захищає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виконання стороннього сценарію в контексті походження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знижує наслідки XSS; безсилий зі значенням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'unsafe-inline'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X-Content-Type-Options: nosniff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визначення типу за вмістом: файл не стане сценарієм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замінює перевірки типу під час приймання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пониження протоколу до HTTP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перше звернення до внесення домену в перелік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Найдієвіший захід — «безпечно за замовчуванням» у середовищі розробки [29, 93]: шаблонізатор, що кодує кожне значення; ORM, що параметризує запити; вбудований захист від CSRF. Більшість категорій переліку виникає там, де розробник свідомо вимикає типовий механізм: вставляє сирий SQL, позначає рядок як безпечну розмітку, виключає маршрут із захищених. Саме їх шукають під час рецензування коду й статичного аналізу (лекція 14).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OWASP Top 10 є переліком категорій ризику, а не вразливостей і не критерієм приймання: виправляють конкретний тип CWE, повноту дає ASVS.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Спільна причина ін’єкцій — змішування даних і команд у тексті для інтерпретатора; контрзахід — структурне розділення, а не фільтрація.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Кодування виводу не має універсальної форми: правило задає контекст вставлення, тому єдина «функція знешкодження» є хибою проєктування.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Механізми другого рубежу — політика безпеки вмісту, </w:t>
      </w:r>
      <w:r>
        <w:rPr>
          <w:rFonts w:ascii="Courier New" w:cs="Courier New" w:eastAsia="Courier New" w:hAnsi="Courier New"/>
          <w:sz w:val="24"/>
          <w:szCs w:val="24"/>
        </w:rPr>
        <w:t xml:space="preserve">SameSite</w:t>
      </w:r>
      <w:r>
        <w:t xml:space="preserve">, заголовки відповіді — зменшують наслідки, але дефекту не усувають.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Валідація вводу на межі довіри й кодування виводу перед інтерпретатором — різні операції, і жодна не замінює іншу.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OWASP Top 10 не є критерієм приймання і що застосовують натомість?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 механізм ін’єкції SQL через межі синтаксичних елементів запиту.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параметризований запит надійніший за екранування? Назвіть причини ненадійності останнього.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за формулою (13.1) кількість запитів для вилучення сліпою ін’єкцією 32-символьного значення над алфавітом із 62 символів.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три різновиди XSS за дієвістю серверного кодування виводу.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рядок, безпечний у тексті HTML, може бути небезпечним у блоці сценарію?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</w:t>
      </w:r>
      <w:r>
        <w:rPr>
          <w:rFonts w:ascii="Courier New" w:cs="Courier New" w:eastAsia="Courier New" w:hAnsi="Courier New"/>
          <w:sz w:val="24"/>
          <w:szCs w:val="24"/>
        </w:rPr>
        <w:t xml:space="preserve">'unsafe-inline'</w:t>
      </w:r>
      <w:r>
        <w:t xml:space="preserve"> знецінює політику безпеки вмісту як захід проти XSS.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Чим CSRF відрізняється від XSS і чому синхронізований токен безсилий за наявності XSS?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захист від SSRF будують за переліком дозволених адрес, а не заборонених?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 якому порядку виконують канонізацію шляху й перевірку належності каталогу і чим небезпечний зворотний?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кодування виводу не можна замінити валідацією вводу на межі довіри?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вразливість сторонньої бібліотеки є вразливістю продукту і хто має її усувати?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Перелік OWASP Top 10:2021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вичерпним переліком вразливостей застосунків;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переліком категорій ризику, сформованим переважно за даними вимірювань;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стандартом сертифікації застосунків;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переліком правил для аналізаторів коду.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Параметризований запит усуває ін’єкцію SQL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екранує апострофи перед підстановкою;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обмежує довжину значення;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значення не потрапляє до тексту, який розбирає аналізатор SQL;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виконується з мінімальними правами.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DOM-орієнтоване міжсайтове виконання сценаріїв відрізняється тим,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навантаження зберігається в базі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небезпечна операція відбувається в браузері, де серверне кодування не діє;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потрібен доступ до файлової системи сервера;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воно можливе лише за вимкненого HTTPS.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Валідація вводу на межі довіри не замінює кодування виводу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вона виконується на боці клієнта;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на межі довіри невідомо, у контекст якого інтерпретатора потрапить значення;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вона не перевіряє довжини значення;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вона будується за переліком забороненого.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Небезпека десеріалізації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повідомлення передається у двійковому вигляді;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формат не має контрольної суми;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повідомлення описує виклики, що виконуються під час розбору;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розмір повідомлення не обмежено.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Шаблони обходу політики безпеки вмісту: відкриті переадресації, </w:t>
      </w:r>
      <w:r>
        <w:rPr>
          <w:rFonts w:ascii="Courier New" w:cs="Courier New" w:eastAsia="Courier New" w:hAnsi="Courier New"/>
          <w:sz w:val="24"/>
          <w:szCs w:val="24"/>
        </w:rPr>
        <w:t xml:space="preserve">strict-dynamic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Trusted Types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Ін’єкції в шаблонізатори на боці сервера та у вирази мови GraphQL.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Ланцюжки гаджетів десеріалізації в бібліотеках Java та .NET: чому перелік дозволених класів лише обмежує, а не усуває ризик, і за яких умов його все ж застосовують.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OWASP Top 10:2021. The Ten Most Critical Web Application Security Risks [Електронний ресурс] / OWASP Foundation. – Режим доступу: https://owasp.org/Top10/2021/ (розд. A01, A03, A05, A08) [27].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OWASP Cheat Sheet Series [Електронний ресурс] / OWASP Foundation. – Режим доступу: https://cheatsheetseries.owasp.org/ (настанови «SQL Injection Prevention», «XSS Prevention») [29].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Zalewski M. The Tangled Web: A Guide to Securing Modern Web Applications / M. Zalewski. – San Francisco : No Starch Press, 2011. – 320 p. (розд. 6, 13) [93].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13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5d9e3decd5d47e7ce7e33467537c67f4118b5a.png"/><Relationship Id="rId10" Type="http://schemas.openxmlformats.org/officeDocument/2006/relationships/image" Target="media/b9b5c52ccc0690721a345864f21a4a8f38b3226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2026-10-06T23:42:49.821Z</dcterms:created>
  <dcterms:modified xsi:type="dcterms:W3CDTF">2026-10-06T23:42:49.822Z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