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15. DevSecOps та безпека ланцюга постачання програмного забезпечення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Вбудовування контролю захищеності в конвеєр CI/CD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Безпека ланцюга постачання програмного забезпечення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Журналювання, моніторинг і реагування на інциденти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Підсумки курсу та подальші напрями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DevSecOps, критерій проходження, ланцюг постачання, плутанина залежностей, специфікація складу, підпис артефакта, прозорий журнал, інфраструктура як код, реагування на інциденти, відповідальне розкриття.</w:t>
      </w:r>
    </w:p>
    <w:p>
      <w:pPr>
        <w:pStyle w:val="Heading2"/>
      </w:pPr>
      <w:r>
        <w:t xml:space="preserve">15.1. Вбудовування контролю захищеності в конвеєр CI/CD</w:t>
      </w:r>
    </w:p>
    <w:p>
      <w:pPr>
        <w:spacing w:after="80" w:line="360"/>
        <w:ind w:firstLine="708"/>
        <w:jc w:val="both"/>
      </w:pPr>
      <w:r>
        <w:t xml:space="preserve">Лекція 14 описала методи аналізу захищеності; тут ідеться про умови, за яких вони діють постійно: разова перевірка застаріває з першим же злиттям.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DevSecOps</w:t>
      </w:r>
      <w:r>
        <w:t xml:space="preserve"> — практика організації розробки й експлуатації, за якої відповідальність за захищеність несе вся команда, а перевірки виконуються автоматично на кожній зміні коду [101]. Виконує їх </w:t>
      </w:r>
      <w:r>
        <w:rPr>
          <w:i/>
          <w:iCs/>
        </w:rPr>
        <w:t xml:space="preserve">конвеєр неперервної інтеграції та постачання</w:t>
      </w:r>
      <w:r>
        <w:t xml:space="preserve"> (англ. </w:t>
      </w:r>
      <w:r>
        <w:rPr>
          <w:i/>
          <w:iCs/>
        </w:rPr>
        <w:t xml:space="preserve">Continuous Integration / Continuous Delivery</w:t>
      </w:r>
      <w:r>
        <w:t xml:space="preserve">, CI/CD). Її ознаки: перевірку запускає конвеєр, а не людина; результат надходить до злиття; знахідками володіє команда розробки, а служба безпеки — правилами. Це операційна форма зсуву уліво (лекція 4) [17].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15.1. Стадії конвеєра CI/CD та вбудовані в них перевірки захищеності</w:t>
      </w:r>
    </w:p>
    <w:p>
      <w:pPr>
        <w:spacing w:after="80" w:line="360"/>
        <w:ind w:firstLine="708"/>
        <w:jc w:val="both"/>
      </w:pPr>
      <w:r>
        <w:t xml:space="preserve">Розміщення перевірки визначається не її суворістю, а тривалістю та моментом, коли виправлення ще дешеве (рис. 15.1, табл. 15.1).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15.1 – Розміщення перевірок захищеності у стадіях конвеєра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720"/>
        <w:gridCol w:w="1860"/>
        <w:gridCol w:w="1861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Стадія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Перевірка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Тривалість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Режим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Коміт (перехоплювач, англ. </w:t>
            </w:r>
            <w:r>
              <w:rPr>
                <w:i/>
                <w:iCs/>
                <w:sz w:val="24"/>
                <w:szCs w:val="24"/>
              </w:rPr>
              <w:t xml:space="preserve">hook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Сканування на витік секретів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секунди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блокує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Запит на злиття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SAST за зміненими файлами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хвилини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блокує критичні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Складання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SCA, SBOM, підпис артефакта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хвилини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блокує критичні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Тестове середовище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DAST, перевірка образу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десятки хвилин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попереджає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Періодично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Повний SAST, фазинг, SCA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години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створює задачу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Критерій проходження</w:t>
      </w:r>
      <w:r>
        <w:t xml:space="preserve"> (англ. </w:t>
      </w:r>
      <w:r>
        <w:rPr>
          <w:i/>
          <w:iCs/>
        </w:rPr>
        <w:t xml:space="preserve">quality gate</w:t>
      </w:r>
      <w:r>
        <w:t xml:space="preserve">) — набір умов, за невиконання яких складання зупиняється. Обидві крайності безплідні: блокування на будь-якій знахідці породжує винятки, а самі попередження ні до чого не зобов’язують. Робочим є поступове посилення: фіксують базову лінію (лекція 14) і блокують лише нові знахідки високої критичності за CVSS [33].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permissions: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contents: read                    # токен складання лише на читання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steps: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# дію зафіксовано за повним 40-символьним хешем коміту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uses: actions/checkout@8f4b7c3e2a19d05f6b8c4e7a2d31f9c0b5e6a748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run: gitleaks detect --redact --exit-code 1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run: semgrep --config p/security-audit --error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run: cyclonedx-py requirements requirements.txt -o sbom.json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run: zap-baseline.py -t http://localhost:8080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continue-on-error: true         # DAST лише попереджає</w:t>
      </w:r>
    </w:p>
    <w:p>
      <w:pPr>
        <w:spacing w:after="80" w:line="360"/>
        <w:ind w:firstLine="708"/>
        <w:jc w:val="both"/>
      </w:pPr>
      <w:r>
        <w:t xml:space="preserve">Конвеєр є метою атаки, бо зосереджує права, яких не має жоден розробник: читання коду, доступ до секретів і розгортання. </w:t>
      </w:r>
      <w:r>
        <w:rPr>
          <w:i/>
          <w:iCs/>
        </w:rPr>
        <w:t xml:space="preserve">Стороння дія конвеєра</w:t>
      </w:r>
      <w:r>
        <w:t xml:space="preserve"> (англ. </w:t>
      </w:r>
      <w:r>
        <w:rPr>
          <w:i/>
          <w:iCs/>
        </w:rPr>
        <w:t xml:space="preserve">action</w:t>
      </w:r>
      <w:r>
        <w:t xml:space="preserve">) виконується з правами власного коду, тому посилання на неї за рухомою міткою є згодою виконати її майбутній вміст. </w:t>
      </w:r>
      <w:r>
        <w:rPr>
          <w:i/>
          <w:iCs/>
        </w:rPr>
        <w:t xml:space="preserve">Власний виконавець</w:t>
      </w:r>
      <w:r>
        <w:t xml:space="preserve"> (англ. </w:t>
      </w:r>
      <w:r>
        <w:rPr>
          <w:i/>
          <w:iCs/>
        </w:rPr>
        <w:t xml:space="preserve">self-hosted runner</w:t>
      </w:r>
      <w:r>
        <w:t xml:space="preserve">), який не перестворюється між завданнями, зберігає кеш і облікові дані попереднього; токен із правом запису дозволяє змінити код, тому захист гілок є контролем цілісності репозиторію.</w:t>
      </w:r>
    </w:p>
    <w:p>
      <w:pPr>
        <w:spacing w:after="80" w:line="360"/>
        <w:ind w:firstLine="708"/>
        <w:jc w:val="both"/>
      </w:pPr>
      <w:r>
        <w:t xml:space="preserve">Керування секретами спирається на сховище замість файлів репозиторію, короткочасні облікові дані замість довготривалих ключів і сканування історії. Реакція на витік — відкликання: видалення коміта стану не змінює, бо історія розійшлася копіями й кешами.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steps: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# ВРАЗЛИВО: довготривалий секрет передано аргументом і виведено в журнал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run: ./deploy.sh --token ${{ secrets.DEPLOY_TOKEN }} --verbose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permissions: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id-token: write     # дозвіл на випуск OIDC-токена, contents лишається read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steps: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# БЕЗПЕЧНО: облікові дані короткочасні й видані за ідентичністю завдання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uses: azure/login@e3f1c0a94b7d2856f0a1c3d5b8e7f2049c6a3b1d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with: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client-id: ${{ vars.AZURE_CLIENT_ID }}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run: ./deploy.sh</w:t>
      </w:r>
    </w:p>
    <w:p>
      <w:pPr>
        <w:spacing w:after="80" w:line="360"/>
        <w:ind w:firstLine="708"/>
        <w:jc w:val="both"/>
      </w:pPr>
      <w:r>
        <w:t xml:space="preserve">Межа застосовності: маскування секретів у журналі — евристика за збігом рядка, яку оминає кодування в base64; першим рубежем лишається відсутність довготривалого секрету.</w:t>
      </w:r>
    </w:p>
    <w:p>
      <w:pPr>
        <w:spacing w:after="80" w:line="360"/>
        <w:ind w:firstLine="708"/>
        <w:jc w:val="both"/>
      </w:pPr>
      <w:r>
        <w:t xml:space="preserve">Артефактом складання є не лише код, а й образ контейнера та опис середовища [104]. Мінімальний базовий образ зменшує поверхню атаки (лекція 2): без командного інтерпретатора й пакетного менеджера зловмисник лишається без інструментів. Незмінність дає посилання за дайджестом, а не за міткою </w:t>
      </w:r>
      <w:r>
        <w:rPr>
          <w:rFonts w:ascii="Courier New" w:cs="Courier New" w:eastAsia="Courier New" w:hAnsi="Courier New"/>
          <w:sz w:val="24"/>
          <w:szCs w:val="24"/>
        </w:rPr>
        <w:t xml:space="preserve">latest</w:t>
      </w:r>
      <w:r>
        <w:t xml:space="preserve">; секрет із проміжного шару лишається в образі й після видалення файла. Для </w:t>
      </w:r>
      <w:r>
        <w:rPr>
          <w:i/>
          <w:iCs/>
        </w:rPr>
        <w:t xml:space="preserve">інфраструктури як коду</w:t>
      </w:r>
      <w:r>
        <w:t xml:space="preserve"> (англ. </w:t>
      </w:r>
      <w:r>
        <w:rPr>
          <w:i/>
          <w:iCs/>
        </w:rPr>
        <w:t xml:space="preserve">infrastructure as code</w:t>
      </w:r>
      <w:r>
        <w:t xml:space="preserve">, IaC) критичні секрети у файлі стану й дрейф конфігурації, тому маніфести перевіряють політиками як кодом до застосування.</w:t>
      </w:r>
    </w:p>
    <w:p>
      <w:pPr>
        <w:pStyle w:val="Heading2"/>
      </w:pPr>
      <w:r>
        <w:t xml:space="preserve">15.2. Безпека ланцюга постачання програмного забезпечення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Ланцюг постачання програмного забезпечення</w:t>
      </w:r>
      <w:r>
        <w:t xml:space="preserve"> (англ. </w:t>
      </w:r>
      <w:r>
        <w:rPr>
          <w:i/>
          <w:iCs/>
        </w:rPr>
        <w:t xml:space="preserve">software supply chain</w:t>
      </w:r>
      <w:r>
        <w:t xml:space="preserve">) — сукупність людей, репозиторіїв, компонентів, інструментів складання й каналів доставки, від яких залежить артефакт. Зловмисник не долає захист продукту, а уражає те, чому продукт довіряє за конструкцією: одна дія зачіпає всіх споживачів компонента. Два класи атак спираються на іменування пакетів: </w:t>
      </w:r>
      <w:r>
        <w:rPr>
          <w:i/>
          <w:iCs/>
        </w:rPr>
        <w:t xml:space="preserve">підміна за схожим іменем</w:t>
      </w:r>
      <w:r>
        <w:t xml:space="preserve"> (англ. </w:t>
      </w:r>
      <w:r>
        <w:rPr>
          <w:i/>
          <w:iCs/>
        </w:rPr>
        <w:t xml:space="preserve">typosquatting</w:t>
      </w:r>
      <w:r>
        <w:t xml:space="preserve">) — ім’я, схоже на популярне, і </w:t>
      </w:r>
      <w:r>
        <w:rPr>
          <w:i/>
          <w:iCs/>
        </w:rPr>
        <w:t xml:space="preserve">плутанина залежностей</w:t>
      </w:r>
      <w:r>
        <w:t xml:space="preserve"> (англ. </w:t>
      </w:r>
      <w:r>
        <w:rPr>
          <w:i/>
          <w:iCs/>
        </w:rPr>
        <w:t xml:space="preserve">dependency confusion</w:t>
      </w:r>
      <w:r>
        <w:t xml:space="preserve">) — приватне ім’я в публічному реєстрі з вищою версією (табл. 15.2).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15.2 – Класи атак на ланцюг постачання, їхні механізми та контрзаходи (більшість класів за [100])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4085"/>
        <w:gridCol w:w="3502"/>
      </w:tblGrid>
      <w:tr>
        <w:trPr>
          <w:cantSplit/>
          <w:tblHeader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Клас атаки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Механізм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Компрометація супровідника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Викрадення облікових даних, передання прав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MFA, підпис випусків, рецензування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за схожим іменем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Ім’я, схоже на популярне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reqeusts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Дзеркало з дозволеними пакетами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Плутанина залежностей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Вища версія приватного імені в публічному індексі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Єдиний внутрішній індекс, резервування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артефакту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Заміна файла в реєстрі, дзеркалі чи кеші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Фіксація хеш-суми, перевірка підпису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Базовою гігієною є фіксація версій і контрольних сум: інакше склад продукту визначає той, хто останнім опублікував пакет. Фіксація переносить це рішення у зміну файла фіксації, яку рецензують як зміну коду; хеш-сума додає незалежність від реєстру — підміну видно й за скомпрометованого дзеркала.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--index-url https://pypi.org/simple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--extra-index-url https://pypi.internal.example/simple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internal-billing   # ВРАЗЛИВО: pip опитує обидва індекси, бере вищу версію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requests&gt;=2.0      # ВРАЗЛИВО: діапазон версій дозволяє підміну коду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--index-url https://pypi.internal.example/simple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--require-hashes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internal-billing==3.4.1 --hash=sha256:9f2b41ca…  # БЕЗПЕЧНО: точна версія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requests==2.32.3 --hash=sha256:70d1a5c8…        # БЕЗПЕЧНО: і хеш-сума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хеш-суми скорочено; повне значення має 64 шістнадцяткові знаки</w:t>
      </w:r>
    </w:p>
    <w:p>
      <w:pPr>
        <w:spacing w:after="80" w:line="360"/>
        <w:ind w:firstLine="708"/>
        <w:jc w:val="both"/>
      </w:pPr>
      <w:r>
        <w:t xml:space="preserve">Межа застосовності: фіксація робить зміну складу не безпечною, а контрольованою; без планового оновлення (лекція 14) продукт «замерзає» на версіях із відомими вразливостями.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Специфікація складу програмного забезпечення</w:t>
      </w:r>
      <w:r>
        <w:t xml:space="preserve"> (англ. </w:t>
      </w:r>
      <w:r>
        <w:rPr>
          <w:i/>
          <w:iCs/>
        </w:rPr>
        <w:t xml:space="preserve">Software Bill of Materials</w:t>
      </w:r>
      <w:r>
        <w:t xml:space="preserve">, SBOM) — машиночитний перелік компонентів артефакта з назвою, версією, ідентифікатором, ліцензією та хеш-сумою. Форматів два: CycloneDX [38] для задач безпеки і SPDX (англ. </w:t>
      </w:r>
      <w:r>
        <w:rPr>
          <w:i/>
          <w:iCs/>
        </w:rPr>
        <w:t xml:space="preserve">Software Package Data Exchange</w:t>
      </w:r>
      <w:r>
        <w:t xml:space="preserve">) для ліцензійної відповідності. Специфікацію формують під час складання й зберігають з артефактом.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{"bomFormat": "CycloneDX", "specVersion": "1.5", "components": [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{"type": "library", "name": "requests", "version": "2.32.3",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"hashes": [{"alg": "SHA-256", "content": "70d1a5c8…"}]}]}</w:t>
      </w:r>
    </w:p>
    <w:p>
      <w:pPr>
        <w:spacing w:after="80" w:line="360"/>
        <w:ind w:firstLine="708"/>
        <w:jc w:val="both"/>
      </w:pPr>
      <w:r>
        <w:t xml:space="preserve">Цінність специфікації виявляється, коли оприлюднено нову вразливість: без неї відповідь на питання, чи містять продукти організації вразливий компонент, потребує перескладання й перегляду кожного сервісу. Трудомісткість ідентифікації становить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ідент</w:t>
      </w:r>
      <w:r>
        <w:rPr>
          <w:i/>
          <w:iCs/>
        </w:rPr>
        <w:t xml:space="preserve"> = N · (t</w:t>
      </w:r>
      <w:r>
        <w:rPr>
          <w:i/>
          <w:iCs/>
          <w:vertAlign w:val="subscript"/>
        </w:rPr>
        <w:t xml:space="preserve">скл</w:t>
      </w:r>
      <w:r>
        <w:rPr>
          <w:i/>
          <w:iCs/>
        </w:rPr>
        <w:t xml:space="preserve"> + t</w:t>
      </w:r>
      <w:r>
        <w:rPr>
          <w:i/>
          <w:iCs/>
          <w:vertAlign w:val="subscript"/>
        </w:rPr>
        <w:t xml:space="preserve">перег</w:t>
      </w:r>
      <w:r>
        <w:rPr>
          <w:i/>
          <w:iCs/>
        </w:rPr>
        <w:t xml:space="preserve">)</w:t>
      </w:r>
      <w:r>
        <w:t xml:space="preserve">	(15.1)</w:t>
      </w:r>
    </w:p>
    <w:p>
      <w:pPr>
        <w:spacing w:after="80" w:line="360"/>
        <w:ind w:firstLine="708"/>
        <w:jc w:val="both"/>
      </w:pPr>
      <w:r>
        <w:t xml:space="preserve">де N — кількість сервісів, t</w:t>
      </w:r>
      <w:r>
        <w:rPr>
          <w:vertAlign w:val="subscript"/>
        </w:rPr>
        <w:t xml:space="preserve">скл</w:t>
      </w:r>
      <w:r>
        <w:t xml:space="preserve"> — час перескладання одного сервісу, t</w:t>
      </w:r>
      <w:r>
        <w:rPr>
          <w:vertAlign w:val="subscript"/>
        </w:rPr>
        <w:t xml:space="preserve">перег</w:t>
      </w:r>
      <w:r>
        <w:t xml:space="preserve"> — час перегляду його складу. Для N = 40, t</w:t>
      </w:r>
      <w:r>
        <w:rPr>
          <w:vertAlign w:val="subscript"/>
        </w:rPr>
        <w:t xml:space="preserve">скл</w:t>
      </w:r>
      <w:r>
        <w:t xml:space="preserve"> = 0,5 год і t</w:t>
      </w:r>
      <w:r>
        <w:rPr>
          <w:vertAlign w:val="subscript"/>
        </w:rPr>
        <w:t xml:space="preserve">перег</w:t>
      </w:r>
      <w:r>
        <w:t xml:space="preserve"> = 1,5 год формула (15.1) дає T</w:t>
      </w:r>
      <w:r>
        <w:rPr>
          <w:vertAlign w:val="subscript"/>
        </w:rPr>
        <w:t xml:space="preserve">ідент</w:t>
      </w:r>
      <w:r>
        <w:t xml:space="preserve"> = 80 год, тобто два робочі тижні інженера (значення умовні). За наявності SBOM це запит до бази.</w:t>
      </w:r>
    </w:p>
    <w:p>
      <w:pPr>
        <w:spacing w:after="80" w:line="360"/>
        <w:ind w:firstLine="708"/>
        <w:jc w:val="both"/>
      </w:pPr>
      <w:r>
        <w:t xml:space="preserve">Підпис засвідчує походження артефакта і його незмінність. Проєкт Sigstore [99] усуває головну перешкоду до масового підписування — довготривалий приватний ключ: підписувач отримує короткочасний сертифікат за підтвердженою ідентичністю, а факт підпису записують до </w:t>
      </w:r>
      <w:r>
        <w:rPr>
          <w:i/>
          <w:iCs/>
        </w:rPr>
        <w:t xml:space="preserve">прозорого журналу</w:t>
      </w:r>
      <w:r>
        <w:t xml:space="preserve"> (англ. </w:t>
      </w:r>
      <w:r>
        <w:rPr>
          <w:i/>
          <w:iCs/>
        </w:rPr>
        <w:t xml:space="preserve">transparency log</w:t>
      </w:r>
      <w:r>
        <w:t xml:space="preserve">) — журналу лише для додавання на дереві Меркла, яке дає компактний доказ включення запису; ланцюг хешів (лекція 7) є його виродженим випадком без такого доказу. Журнал не заважає підписати шкідливий артефакт, але робить підпис невитираним: публікація від імені проєкту стає публічно спостережуваною.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15.2. Ланцюг постачання артефакта та точки формування й перевірки довіри</w:t>
      </w:r>
    </w:p>
    <w:p>
      <w:pPr>
        <w:spacing w:after="80" w:line="360"/>
        <w:ind w:firstLine="708"/>
        <w:jc w:val="both"/>
      </w:pPr>
      <w:r>
        <w:t xml:space="preserve">Специфікація SLSA (англ. </w:t>
      </w:r>
      <w:r>
        <w:rPr>
          <w:i/>
          <w:iCs/>
        </w:rPr>
        <w:t xml:space="preserve">Supply-chain Levels for Software Artifacts</w:t>
      </w:r>
      <w:r>
        <w:t xml:space="preserve"> — рівні гарантій ланцюга постачання) [37] зводить ці заходи у шкалу рівнів: нижчі вимагають автоматизованого складання з </w:t>
      </w:r>
      <w:r>
        <w:rPr>
          <w:i/>
          <w:iCs/>
        </w:rPr>
        <w:t xml:space="preserve">походженням</w:t>
      </w:r>
      <w:r>
        <w:t xml:space="preserve"> (англ. </w:t>
      </w:r>
      <w:r>
        <w:rPr>
          <w:i/>
          <w:iCs/>
        </w:rPr>
        <w:t xml:space="preserve">provenance</w:t>
      </w:r>
      <w:r>
        <w:t xml:space="preserve">) — засвідченим описом джерела, процесу й входів артефакта, вищі — ізольованого складання з непідробним походженням (рис. 15.2). Рівень описує процес, а не відсутність вразливостей: підписаний артефакт може містити ін’єкцію SQL.</w:t>
      </w:r>
    </w:p>
    <w:p>
      <w:pPr>
        <w:pStyle w:val="Heading2"/>
      </w:pPr>
      <w:r>
        <w:t xml:space="preserve">15.3. Журналювання, моніторинг і реагування на інциденти</w:t>
      </w:r>
    </w:p>
    <w:p>
      <w:pPr>
        <w:spacing w:after="80" w:line="360"/>
        <w:ind w:firstLine="708"/>
        <w:jc w:val="both"/>
      </w:pPr>
      <w:r>
        <w:t xml:space="preserve">Склад реєстраційного журналу, його захист від підробки та критерії якості моніторингу розглянуто в лекції 7; тут ідеться про перетворення цього матеріалу на процес. Розподілена система потребує трьох доповнень. Наскрізний ідентифікатор запиту дозволяє зібрати дії десятка сервісів в один ланцюг. Журнали зберігають поза середовищем, яке вони описують, бо компрометація вузла не повинна знищувати доказ. Події конвеєра зберігають разом із подіями застосунку: без них не відповісти, коли вразлива версія потрапила в експлуатацію. Виявлення вторгнень спирається на відхилення від базової лінії та на зіставлення дій із техніками порушника [35]; сигнал, для якого не визначено процедури реагування, контролем не є.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Реагування на інцидент</w:t>
      </w:r>
      <w:r>
        <w:t xml:space="preserve"> (англ. </w:t>
      </w:r>
      <w:r>
        <w:rPr>
          <w:i/>
          <w:iCs/>
        </w:rPr>
        <w:t xml:space="preserve">incident response</w:t>
      </w:r>
      <w:r>
        <w:t xml:space="preserve">) організовують як цикл із чотирьох фаз [102] (рис. 15.3, табл. 15.3). Опис відповідає редакції Rev. 2: у Rev. 3 (2025) ті самі дії викладено через функції CSF 2.0, проте чотирифазна схема лишається загальновживаною дидактичною моделлю.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15.3. Цикл реагування на інцидент інформаційної безпеки за NIST SP 800-61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15.3 – Фази реагування на інцидент та їхні результати [102]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6"/>
        <w:gridCol w:w="4630"/>
        <w:gridCol w:w="2645"/>
      </w:tblGrid>
      <w:tr>
        <w:trPr>
          <w:cantSplit/>
          <w:tblHeader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Фаза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Ключові дії</w:t>
            </w:r>
          </w:p>
        </w:tc>
        <w:tc>
          <w:tcPr>
            <w:tcW w:type="dxa" w:w="26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Артефакт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Підготовка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Ролі, канали зв’язку, доступи, тренування</w:t>
            </w:r>
          </w:p>
        </w:tc>
        <w:tc>
          <w:tcPr>
            <w:tcW w:type="dxa" w:w="26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План реагування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Виявлення й аналіз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Підтвердження події, визначення обсягу ураження</w:t>
            </w:r>
          </w:p>
        </w:tc>
        <w:tc>
          <w:tcPr>
            <w:tcW w:type="dxa" w:w="26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Хронологія подій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Стримування, усунення, відновлення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Ізоляція, відкликання облікових даних, латка</w:t>
            </w:r>
          </w:p>
        </w:tc>
        <w:tc>
          <w:tcPr>
            <w:tcW w:type="dxa" w:w="26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Записи про зміни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Висновки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Аналіз причини, зміна процесу, регресійний тест</w:t>
            </w:r>
          </w:p>
        </w:tc>
        <w:tc>
          <w:tcPr>
            <w:tcW w:type="dxa" w:w="26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Звіт і план дій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Типова помилка стримування — негайне перевстановлення ураженої системи: воно знищує сліди й не усуває причини, тому спершу фіксують стан (образ пам’яті, копію журналів), а потім ізолюють вузол. Фаза висновків обов’язкова: якщо не змінено процес і не додано перевірку проти повернення дефекту, інцидент повториться.</w:t>
      </w:r>
    </w:p>
    <w:p>
      <w:pPr>
        <w:spacing w:after="80" w:line="360"/>
        <w:ind w:firstLine="708"/>
        <w:jc w:val="both"/>
      </w:pPr>
      <w:r>
        <w:t xml:space="preserve">Кількісно якість реагування описують вікном експозиції — часом від початку інциденту до усунення причини: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експ</w:t>
      </w:r>
      <w:r>
        <w:rPr>
          <w:i/>
          <w:iCs/>
        </w:rPr>
        <w:t xml:space="preserve"> = T</w:t>
      </w:r>
      <w:r>
        <w:rPr>
          <w:i/>
          <w:iCs/>
          <w:vertAlign w:val="subscript"/>
        </w:rPr>
        <w:t xml:space="preserve">вияв</w:t>
      </w:r>
      <w:r>
        <w:rPr>
          <w:i/>
          <w:iCs/>
        </w:rPr>
        <w:t xml:space="preserve"> + T</w:t>
      </w:r>
      <w:r>
        <w:rPr>
          <w:i/>
          <w:iCs/>
          <w:vertAlign w:val="subscript"/>
        </w:rPr>
        <w:t xml:space="preserve">аналіз</w:t>
      </w:r>
      <w:r>
        <w:rPr>
          <w:i/>
          <w:iCs/>
        </w:rPr>
        <w:t xml:space="preserve"> + T</w:t>
      </w:r>
      <w:r>
        <w:rPr>
          <w:i/>
          <w:iCs/>
          <w:vertAlign w:val="subscript"/>
        </w:rPr>
        <w:t xml:space="preserve">усун</w:t>
      </w:r>
      <w:r>
        <w:rPr>
          <w:i/>
          <w:iCs/>
        </w:rPr>
        <w:t xml:space="preserve"> + T</w:t>
      </w:r>
      <w:r>
        <w:rPr>
          <w:i/>
          <w:iCs/>
          <w:vertAlign w:val="subscript"/>
        </w:rPr>
        <w:t xml:space="preserve">розгорт</w:t>
      </w:r>
      <w:r>
        <w:t xml:space="preserve">	(15.2)</w:t>
      </w:r>
    </w:p>
    <w:p>
      <w:pPr>
        <w:spacing w:after="80" w:line="360"/>
        <w:ind w:firstLine="708"/>
        <w:jc w:val="both"/>
      </w:pPr>
      <w:r>
        <w:t xml:space="preserve">Числовий приклад (значення умовні): T</w:t>
      </w:r>
      <w:r>
        <w:rPr>
          <w:vertAlign w:val="subscript"/>
        </w:rPr>
        <w:t xml:space="preserve">вияв</w:t>
      </w:r>
      <w:r>
        <w:t xml:space="preserve"> = 72 год, T</w:t>
      </w:r>
      <w:r>
        <w:rPr>
          <w:vertAlign w:val="subscript"/>
        </w:rPr>
        <w:t xml:space="preserve">аналіз</w:t>
      </w:r>
      <w:r>
        <w:t xml:space="preserve"> = 8 год, T</w:t>
      </w:r>
      <w:r>
        <w:rPr>
          <w:vertAlign w:val="subscript"/>
        </w:rPr>
        <w:t xml:space="preserve">усун</w:t>
      </w:r>
      <w:r>
        <w:t xml:space="preserve"> = 4 год, T</w:t>
      </w:r>
      <w:r>
        <w:rPr>
          <w:vertAlign w:val="subscript"/>
        </w:rPr>
        <w:t xml:space="preserve">розгорт</w:t>
      </w:r>
      <w:r>
        <w:t xml:space="preserve"> = 24 год. Тоді за формулою (15.2) T</w:t>
      </w:r>
      <w:r>
        <w:rPr>
          <w:vertAlign w:val="subscript"/>
        </w:rPr>
        <w:t xml:space="preserve">експ</w:t>
      </w:r>
      <w:r>
        <w:t xml:space="preserve"> = 108 год, причому дві третини припадає на виявлення. Отже, скорочення часу виявлення дає більший ефект, ніж прискорення латки, а автоматизоване розгортання переводить останній доданок із діб у хвилини.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Політика відповідального розкриття</w:t>
      </w:r>
      <w:r>
        <w:t xml:space="preserve"> (англ. </w:t>
      </w:r>
      <w:r>
        <w:rPr>
          <w:i/>
          <w:iCs/>
        </w:rPr>
        <w:t xml:space="preserve">responsible disclosure</w:t>
      </w:r>
      <w:r>
        <w:t xml:space="preserve">) визначає порядок приймання повідомлень про вразливості від зовнішніх дослідників і їх розкриття [103]; внутрішнє опрацювання регламентує суміжний стандарт ISO/IEC 30111. Її складники: опублікований канал приймання (файл </w:t>
      </w:r>
      <w:r>
        <w:rPr>
          <w:rFonts w:ascii="Courier New" w:cs="Courier New" w:eastAsia="Courier New" w:hAnsi="Courier New"/>
          <w:sz w:val="24"/>
          <w:szCs w:val="24"/>
        </w:rPr>
        <w:t xml:space="preserve">security.txt</w:t>
      </w:r>
      <w:r>
        <w:t xml:space="preserve">); підтвердження отримання в оголошений строк; узгоджені строки оприлюднення; ідентифікатор CVE через уповноважену організацію (CNA); бюлетень із переліком уражених версій. Мета політики — не приховати вразливість, а синхронізувати дії: передчасне оприлюднення дає зловмисникові опис до появи латки, а зволікання позбавляє дослідника стимулу повідомляти виробника, а не третю сторону.</w:t>
      </w:r>
    </w:p>
    <w:p>
      <w:pPr>
        <w:spacing w:after="80" w:line="360"/>
        <w:ind w:firstLine="708"/>
        <w:jc w:val="both"/>
      </w:pPr>
      <w:r>
        <w:t xml:space="preserve">Виправлення безпеки випускають окремо від функційних змін і портують на підтримувані гілки, щоб споживач усував вразливість без ризику регресії. Політика супроводу наперед оголошує, які версії отримують виправлення.</w:t>
      </w:r>
    </w:p>
    <w:p>
      <w:pPr>
        <w:pStyle w:val="Heading2"/>
      </w:pPr>
      <w:r>
        <w:t xml:space="preserve">15.4. Підсумки курсу та подальші напрями</w:t>
      </w:r>
    </w:p>
    <w:p>
      <w:pPr>
        <w:spacing w:after="80" w:line="360"/>
        <w:ind w:firstLine="708"/>
        <w:jc w:val="both"/>
      </w:pPr>
      <w:r>
        <w:t xml:space="preserve">Матеріал курсу побудовано за наскрізною логікою «загрози — процес — механізми — вразливості — верифікація» (рис. 15.4). Розділ 1 дав понятійний апарат і метод: властивості захищеності, модель порушника, класифікатори CWE і CAPEC, реєстр CVE та систему оцінювання CVSS, моделювання загроз за STRIDE. Розділ 2 перетворив разові дії на процес — захищений життєвий цикл і принципи проєктування. Розділи 3 і 4 розглянули механізми, що реалізують політику, — розмежування доступу, ідентифікацію й автентифікацію; розділ 5 — криптографічні примітиви, на які вони спираються. Розділ 6 показав, як реалізація руйнує коректний проєкт, а розділ 7 — як це виявити до випуску та як утримувати досягнутий стан в експлуатації.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15.4. Зв’язки розділів курсу: від моделі загроз до експлуатації та зворотний зв’язок</w:t>
      </w:r>
    </w:p>
    <w:p>
      <w:pPr>
        <w:spacing w:after="80" w:line="360"/>
        <w:ind w:firstLine="708"/>
        <w:jc w:val="both"/>
      </w:pPr>
      <w:r>
        <w:t xml:space="preserve">Зв’язки на схемі двобічні: модель загроз задає вимоги до механізмів, а виявлені в експлуатації інциденти повертаються до неї як нові сценарії; результати верифікації уточнюють і перелік вразливостей, і процес, у якому їх припустилися. Наявність зворотного зв’язку й відрізняє процес від набору окремих заходів.</w:t>
      </w:r>
    </w:p>
    <w:p>
      <w:pPr>
        <w:spacing w:after="80" w:line="360"/>
        <w:ind w:firstLine="708"/>
        <w:jc w:val="both"/>
      </w:pPr>
      <w:r>
        <w:t xml:space="preserve">Курс свідомо не охоплює кількох суміжних областей, і межу проведено за предметом, а не за складністю (табл. 15.4).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15.4 – Області, суміжні з дисципліною, та напрями подальшого опрацювання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720"/>
        <w:gridCol w:w="3101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Область поза курсом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Чому винесено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Напрям опрацювання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Мережева безпека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Предмет дисципліни «Комп’ютерні мережі»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Протоколи IPsec, захищені мережі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Криптоаналіз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Потребує апарату теорії чисел і статистики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Доказова стійкість, вибір параметрів [7]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Безпека вбудованих систем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Інша модель порушника з фізичним доступом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Побічні канали, довірене завантаження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Безпека систем штучного інтелекту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Модель загроз змінюється швидше за цикл видання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Отруєння навчальних даних, ін’єкція в запит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Комп’ютерна криміналістика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Предмет розслідування, а не розробки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Збирання й збереження цифрових доказів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Подальше самонавчання доцільно будувати навколо двох орієнтирів: ASVS [28] дає контрольний список вимог, за яким перевіряють власний продукт, а CWE Top 25 [32] — карту класів дефектів, за якою добирають правила статичного аналізу й теми навчання команди. Обидва документи оновлюють щороку, тому їх беруть у поточній редакції.</w:t>
      </w:r>
    </w:p>
    <w:p>
      <w:pPr>
        <w:spacing w:after="80" w:line="360"/>
        <w:ind w:firstLine="708"/>
        <w:jc w:val="both"/>
      </w:pPr>
      <w:r>
        <w:t xml:space="preserve">Практичним підсумком є критерій, застосовний до будь-якого проєктного рішення: для кожного механізму захисту треба вміти назвати актив, який він захищає, загрозу, від якої захищає, межу — те, від чого не захищає, і спосіб перевірити, що механізм діє. Рішення, для якого не сформульовано всі чотири складники, є припущенням, а не захистом.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DevSecOps не додає нових методів аналізу: він змінює момент і частоту їх застосування, перетворюючи разову перевірку на властивість процесу.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Критерій проходження працює лише за поступового посилення: блокування на будь-якій знахідці породжує винятки, а попередження не змінюють поведінки.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Конвеєр CI/CD є метою атаки, бо зосереджує права, яких не має жоден розробник; витеклий секрет усувають відкликанням, а не редагуванням історії.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Атаки на ланцюг постачання уражають те, чому продукт довіряє за конструкцією; базові заходи — фіксація версій і хеш-сум, специфікація складу та підтверджуване походження.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Журналювання й моніторинг мають сенс лише разом із процесом реагування, а вікно експозиції визначає переважно час виявлення, а не час написання латки.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DAST зазвичай не роблять блокувальною перевіркою в запиті на злиття, а сканування на секрети — роблять?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станеться з критерієм проходження, якщо ввімкнути блокування за всіма наявними знахідками одразу?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видалення коміта із секретом не є реакцією на витік і які дії змінюють стан системи?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підміну за схожим іменем і плутанину залежностей: різниця механізму та контрзаходів.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фіксація хеш-суми захищає навіть за компрометації реєстру і від чого вона не захищає?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Оцініть за формулою (15.1) виграш від упровадження SBOM для 60 сервісів.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У чому полягає внесок прозорого журналу, якщо підпис артефакта вже перевіряють криптографічно?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рівень гарантій за SLSA не є твердженням про відсутність вразливостей у продукті?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посилання на образ за міткою </w:t>
      </w:r>
      <w:r>
        <w:rPr>
          <w:rFonts w:ascii="Courier New" w:cs="Courier New" w:eastAsia="Courier New" w:hAnsi="Courier New"/>
          <w:sz w:val="24"/>
          <w:szCs w:val="24"/>
        </w:rPr>
        <w:t xml:space="preserve">latest</w:t>
      </w:r>
      <w:r>
        <w:t xml:space="preserve"> суперечить вимозі незмінності розгортання?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Які дії виконують до ізоляції ураженого вузла і чому порядок саме такий?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узгоджені строки розкриття потрібні обом сторонам — виробникові й дослідникові?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Які події конвеєра зберігають разом із подіями застосунку і навіщо?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Сторонню дію конвеєра фіксують за повним хешем коміту, а не за міткою, тому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мітка збільшує тривалість складання;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вміст мітки може бути змінено пізніше, а дія виконується з правами завдання;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хеш коміту коротший за назву мітки;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реєстр дій не підтримує рухомих міток.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Атака «плутанина залежностей» полягає в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два пакети мають однакову хеш-суму;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пакет із приватним іменем публікують у публічному реєстрі з вищою версією;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супровідник передає права на пакет іншій особі;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у назві пакета навмисно припущено друкарську помилку.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Специфікація складу ПЗ потрібна насамперед, щоб: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замінити ліцензійну угоду з користувачем;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прискорити складання проєкту;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швидко визначити, які продукти містять вразливий компонент;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підтвердити авторство вихідного коду.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Прозорий журнал у схемі підписування артефактів забезпечує: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шифрування артефакта під час передавання;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публічно спостережуваний і невитираний запис про факт підпису;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автоматичне відкликання скомпрометованих ключів;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перевірку відсутності вразливостей у підписаному коді.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За фазами реагування, перед ізоляцією ураженого вузла слід: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перевстановити операційну систему;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оприлюднити бюлетень безпеки;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зафіксувати стан системи та копію журналів;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відкликати сертифікат кореневого центру.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б; 3 – в; 4 – б; 5 – в.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Формат SPDX і його співвіднесення з CycloneDX: моделі даних та ідентифікатори компонентів.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Політики допуску в оркестраторі контейнерів: перевірка підпису та походження образу як умова розгортання.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Практики NIST SSDF щодо ланцюга постачання та їх зіставлення з рівнями SLSA.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Kim G. The DevOps Handbook: How to Create World-Class Agility, Reliability, and Security in Technology Organizations / G. Kim, J. Humble, P. Debois, J. Willis. – 2nd ed. – Portland : IT Revolution Press, 2021. – 480 p. – Розд. 22–23 [101].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Ohm M. Backstabber’s Knife Collection: A Review of Open Source Software Supply Chain Attacks / M. Ohm, H. Plate, A. Sykosch, M. Meier // Detection of Intrusions and Malware, and Vulnerability Assessment (DIMVA). – 2020. – P. 23–43 [100].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NIST SP 800-61 Rev. 2. Computer Security Incident Handling Guide / P. Cichonski [et al.]. – Gaithersburg : NIST, 2012. – Розд. 3 [102].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NIST SP 800-190. Application Container Security Guide / M. Souppaya, J. Morello, K. Scarfone. – Gaithersburg : NIST, 2017. – Розд. 3–4 [104].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ISO/IEC 29147:2018. Information technology – Security techniques – Vulnerability disclosure [103].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15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3427ebef4db6a39873577651df5edfb969c854f.png"/><Relationship Id="rId10" Type="http://schemas.openxmlformats.org/officeDocument/2006/relationships/image" Target="media/4800dcd93ea365b1fb2da225042031d09202d4a9.png"/><Relationship Id="rId11" Type="http://schemas.openxmlformats.org/officeDocument/2006/relationships/image" Target="media/67e5f05edd034c3d2b1a54b7717cefd6eef6fb33.png"/><Relationship Id="rId12" Type="http://schemas.openxmlformats.org/officeDocument/2006/relationships/image" Target="media/159154532b385ebf885381d4425788c4fcebcad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2026-10-06T23:42:50.136Z</dcterms:created>
  <dcterms:modified xsi:type="dcterms:W3CDTF">2026-10-06T23:42:50.137Z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