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Center"/>
        <w:spacing w:after="60"/>
      </w:pPr>
      <w:r>
        <w:rPr>
          <w:sz w:val="26"/>
          <w:szCs w:val="26"/>
        </w:rPr>
        <w:t xml:space="preserve">Кафедра інформатики та програмної інженерії</w:t>
      </w:r>
    </w:p>
    <w:p>
      <w:pPr>
        <w:pStyle w:val="Center"/>
        <w:spacing w:after="120" w:before="240"/>
      </w:pPr>
      <w:r>
        <w:rPr>
          <w:b/>
          <w:bCs/>
          <w:sz w:val="36"/>
          <w:szCs w:val="36"/>
        </w:rPr>
        <w:t xml:space="preserve">БЕЗПЕКА ПРОГРАМНОГО ЗАБЕЗПЕЧЕННЯ</w:t>
      </w:r>
    </w:p>
    <w:p>
      <w:pPr>
        <w:pStyle w:val="Center"/>
        <w:spacing w:after="360"/>
      </w:pPr>
      <w:r>
        <w:rPr>
          <w:sz w:val="28"/>
          <w:szCs w:val="28"/>
        </w:rPr>
        <w:t xml:space="preserve">Робоча програма навчальної дисципліни (Силабус)</w:t>
      </w:r>
    </w:p>
    <w:p>
      <w:pPr>
        <w:pStyle w:val="Heading1"/>
      </w:pPr>
      <w:r>
        <w:t xml:space="preserve">Реквізити навчальної дисципліни</w:t>
      </w:r>
    </w:p>
    <w:tbl>
      <w:tblPr>
        <w:tblW w:type="dxa" w:w="9921"/>
        <w:tblBorders>
          <w:top w:val="single" w:color="auto" w:sz="4"/>
          <w:left w:val="single" w:color="auto" w:sz="4"/>
          <w:bottom w:val="single" w:color="auto" w:sz="4"/>
          <w:right w:val="single" w:color="auto" w:sz="4"/>
          <w:insideH w:val="single" w:color="auto" w:sz="4"/>
          <w:insideV w:val="single" w:color="auto" w:sz="4"/>
        </w:tblBorders>
      </w:tblPr>
      <w:tblGrid>
        <w:gridCol w:w="3118"/>
        <w:gridCol w:w="6803"/>
      </w:tblGrid>
      <w:tr>
        <w:trPr>
          <w:cantSplit/>
          <w:tblHeader w:val="false"/>
        </w:trPr>
        <w:tc>
          <w:tcPr>
            <w:tcW w:type="dxa" w:w="3118"/>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Рівень вищої освіти</w:t>
            </w:r>
          </w:p>
        </w:tc>
        <w:tc>
          <w:tcPr>
            <w:tcW w:type="dxa" w:w="6803"/>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Перший (бакалаврський)</w:t>
            </w:r>
          </w:p>
        </w:tc>
      </w:tr>
      <w:tr>
        <w:trPr>
          <w:cantSplit/>
          <w:tblHeader w:val="false"/>
        </w:trPr>
        <w:tc>
          <w:tcPr>
            <w:tcW w:type="dxa" w:w="3118"/>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Галузь знань</w:t>
            </w:r>
          </w:p>
        </w:tc>
        <w:tc>
          <w:tcPr>
            <w:tcW w:type="dxa" w:w="6803"/>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12 Інформаційні технології</w:t>
            </w:r>
          </w:p>
        </w:tc>
      </w:tr>
      <w:tr>
        <w:trPr>
          <w:cantSplit/>
          <w:tblHeader w:val="false"/>
        </w:trPr>
        <w:tc>
          <w:tcPr>
            <w:tcW w:type="dxa" w:w="3118"/>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Спеціальність</w:t>
            </w:r>
          </w:p>
        </w:tc>
        <w:tc>
          <w:tcPr>
            <w:tcW w:type="dxa" w:w="6803"/>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121 Інженерія програмного забезпечення</w:t>
            </w:r>
          </w:p>
        </w:tc>
      </w:tr>
      <w:tr>
        <w:trPr>
          <w:cantSplit/>
          <w:tblHeader w:val="false"/>
        </w:trPr>
        <w:tc>
          <w:tcPr>
            <w:tcW w:type="dxa" w:w="3118"/>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Освітня програма</w:t>
            </w:r>
          </w:p>
        </w:tc>
        <w:tc>
          <w:tcPr>
            <w:tcW w:type="dxa" w:w="6803"/>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Інженерія програмного забезпечення комп’ютерних систем</w:t>
            </w:r>
          </w:p>
        </w:tc>
      </w:tr>
      <w:tr>
        <w:trPr>
          <w:cantSplit/>
          <w:tblHeader w:val="false"/>
        </w:trPr>
        <w:tc>
          <w:tcPr>
            <w:tcW w:type="dxa" w:w="3118"/>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Статус дисципліни</w:t>
            </w:r>
          </w:p>
        </w:tc>
        <w:tc>
          <w:tcPr>
            <w:tcW w:type="dxa" w:w="6803"/>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Нормативна (цикл професійної підготовки)</w:t>
            </w:r>
          </w:p>
        </w:tc>
      </w:tr>
      <w:tr>
        <w:trPr>
          <w:cantSplit/>
          <w:tblHeader w:val="false"/>
        </w:trPr>
        <w:tc>
          <w:tcPr>
            <w:tcW w:type="dxa" w:w="3118"/>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Форма навчання</w:t>
            </w:r>
          </w:p>
        </w:tc>
        <w:tc>
          <w:tcPr>
            <w:tcW w:type="dxa" w:w="6803"/>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Очна (денна)</w:t>
            </w:r>
          </w:p>
        </w:tc>
      </w:tr>
      <w:tr>
        <w:trPr>
          <w:cantSplit/>
          <w:tblHeader w:val="false"/>
        </w:trPr>
        <w:tc>
          <w:tcPr>
            <w:tcW w:type="dxa" w:w="3118"/>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Рік підготовки, семестр</w:t>
            </w:r>
          </w:p>
        </w:tc>
        <w:tc>
          <w:tcPr>
            <w:tcW w:type="dxa" w:w="6803"/>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4 курс, осінній семестр</w:t>
            </w:r>
          </w:p>
        </w:tc>
      </w:tr>
      <w:tr>
        <w:trPr>
          <w:cantSplit/>
          <w:tblHeader w:val="false"/>
        </w:trPr>
        <w:tc>
          <w:tcPr>
            <w:tcW w:type="dxa" w:w="3118"/>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Обсяг дисципліни</w:t>
            </w:r>
          </w:p>
        </w:tc>
        <w:tc>
          <w:tcPr>
            <w:tcW w:type="dxa" w:w="6803"/>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4 кредити ЄКТС / 120 годин, з них: лекції — 30 год, лабораторні роботи — 30 год, самостійна робота — 60 год</w:t>
            </w:r>
          </w:p>
        </w:tc>
      </w:tr>
      <w:tr>
        <w:trPr>
          <w:cantSplit/>
          <w:tblHeader w:val="false"/>
        </w:trPr>
        <w:tc>
          <w:tcPr>
            <w:tcW w:type="dxa" w:w="3118"/>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Семестровий контроль / контрольні заходи</w:t>
            </w:r>
          </w:p>
        </w:tc>
        <w:tc>
          <w:tcPr>
            <w:tcW w:type="dxa" w:w="6803"/>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Екзамен; модульні контрольні роботи МКР-1 і МКР-2; розрахунково-графічна робота; захист шести лабораторних робіт</w:t>
            </w:r>
          </w:p>
        </w:tc>
      </w:tr>
      <w:tr>
        <w:trPr>
          <w:cantSplit/>
          <w:tblHeader w:val="false"/>
        </w:trPr>
        <w:tc>
          <w:tcPr>
            <w:tcW w:type="dxa" w:w="3118"/>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Розклад занять</w:t>
            </w:r>
          </w:p>
        </w:tc>
        <w:tc>
          <w:tcPr>
            <w:tcW w:type="dxa" w:w="6803"/>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https://schedule.kpi.ua</w:t>
            </w:r>
          </w:p>
        </w:tc>
      </w:tr>
      <w:tr>
        <w:trPr>
          <w:cantSplit/>
          <w:tblHeader w:val="false"/>
        </w:trPr>
        <w:tc>
          <w:tcPr>
            <w:tcW w:type="dxa" w:w="3118"/>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Мова викладання</w:t>
            </w:r>
          </w:p>
        </w:tc>
        <w:tc>
          <w:tcPr>
            <w:tcW w:type="dxa" w:w="6803"/>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Українська</w:t>
            </w:r>
          </w:p>
        </w:tc>
      </w:tr>
      <w:tr>
        <w:trPr>
          <w:cantSplit/>
          <w:tblHeader w:val="false"/>
        </w:trPr>
        <w:tc>
          <w:tcPr>
            <w:tcW w:type="dxa" w:w="3118"/>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Інформація про керівника курсу / викладачів</w:t>
            </w:r>
          </w:p>
        </w:tc>
        <w:tc>
          <w:tcPr>
            <w:tcW w:type="dxa" w:w="6803"/>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rPr>
                <w:b w:val="false"/>
                <w:bCs w:val="false"/>
              </w:rPr>
              <w:t xml:space="preserve">Лектор: д-р філософії, ст. викл. кафедри інформатики та програмної інженерії Соколовський Владислав Володимирович</w:t>
            </w:r>
          </w:p>
          <w:p>
            <w:pPr>
              <w:pStyle w:val="TableText"/>
            </w:pPr>
            <w:r>
              <w:rPr>
                <w:b w:val="false"/>
                <w:bCs w:val="false"/>
              </w:rPr>
              <w:t xml:space="preserve">Лабораторні роботи: той самий викладач</w:t>
            </w:r>
          </w:p>
          <w:p>
            <w:pPr>
              <w:pStyle w:val="TableText"/>
            </w:pPr>
            <w:r>
              <w:rPr>
                <w:b w:val="false"/>
                <w:bCs w:val="false"/>
              </w:rPr>
              <w:t xml:space="preserve">Контактні дані: [електронна пошта], [месенджер для консультацій]</w:t>
            </w:r>
          </w:p>
        </w:tc>
      </w:tr>
      <w:tr>
        <w:trPr>
          <w:cantSplit/>
          <w:tblHeader w:val="false"/>
        </w:trPr>
        <w:tc>
          <w:tcPr>
            <w:tcW w:type="dxa" w:w="3118"/>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Розміщення курсу</w:t>
            </w:r>
          </w:p>
        </w:tc>
        <w:tc>
          <w:tcPr>
            <w:tcW w:type="dxa" w:w="6803"/>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https://campus.kpi.ua</w:t>
            </w:r>
          </w:p>
        </w:tc>
      </w:tr>
    </w:tbl>
    <w:p>
      <w:r>
        <w:br w:type="page"/>
      </w:r>
    </w:p>
    <w:p>
      <w:pPr>
        <w:pStyle w:val="Heading1"/>
      </w:pPr>
      <w:r>
        <w:t xml:space="preserve">Програма навчальної дисципліни</w:t>
      </w:r>
    </w:p>
    <w:p>
      <w:pPr>
        <w:pStyle w:val="Heading2"/>
      </w:pPr>
      <w:r>
        <w:t xml:space="preserve">1. Опис навчальної дисципліни, її мета, предмет вивчення та результати навчання</w:t>
      </w:r>
    </w:p>
    <w:p>
      <w:pPr>
        <w:spacing w:after="80"/>
        <w:ind w:firstLine="708"/>
      </w:pPr>
      <w:r>
        <w:t xml:space="preserve">Силабус освітнього компонента «Безпека програмного забезпечення» складено відповідно до освітньої програми підготовки бакалаврів «Інженерія програмного забезпечення комп’ютерних систем» за спеціальністю 121 «Інженерія програмного забезпечення» першого (бакалаврського) рівня вищої освіти галузі знань 12 «Інформаційні технології».</w:t>
      </w:r>
    </w:p>
    <w:p>
      <w:pPr>
        <w:pStyle w:val="Heading3"/>
      </w:pPr>
      <w:r>
        <w:t xml:space="preserve">Чому майбутньому фахівцю варто вивчати саме цю дисципліну</w:t>
      </w:r>
    </w:p>
    <w:p>
      <w:pPr>
        <w:spacing w:after="80"/>
        <w:ind w:firstLine="708"/>
      </w:pPr>
      <w:r>
        <w:t xml:space="preserve">Переважна більшість інцидентів інформаційної безпеки спричинена не подоланням криптографічних алгоритмів, а дефектами, внесеними на етапах формування вимог, проєктування та кодування програмного забезпечення. Вартість усунення такого дефекту зростає на порядок із кожною наступною фазою життєвого циклу, а після виходу продукту в експлуатацію до неї додаються репутаційні та правові наслідки. Тому здатність передбачати дії порушника, проєктувати механізми захисту й перевіряти їхню дієвість є не спеціалізацією окремого фахівця з кібербезпеки, а базовою складовою кваліфікації інженера програмного забезпечення.</w:t>
      </w:r>
    </w:p>
    <w:p>
      <w:pPr>
        <w:spacing w:after="80"/>
        <w:ind w:firstLine="708"/>
      </w:pPr>
      <w:r>
        <w:t xml:space="preserve">Дисципліна формує саме таку компетентність: від побудови моделі загроз і вибору механізмів розмежування доступу — до безпечного застосування криптографічних примітивів, виявлення вразливостей у власному коді та вбудовування автоматизованого контролю захищеності в конвеєр складання. Отримані навички безпосередньо використовуються під час переддипломної практики й дипломного проєктування, а також є вимогою більшості сучасних процесів розробки програмного забезпечення.</w:t>
      </w:r>
    </w:p>
    <w:p>
      <w:pPr>
        <w:pStyle w:val="Heading3"/>
      </w:pPr>
      <w:r>
        <w:t xml:space="preserve">Мета навчальної дисципліни</w:t>
      </w:r>
    </w:p>
    <w:p>
      <w:pPr>
        <w:spacing w:after="80"/>
        <w:ind w:firstLine="708"/>
      </w:pPr>
      <w:r>
        <w:t xml:space="preserve">Метою навчальної дисципліни є формування у здобувачів здатності проєктувати, реалізовувати та перевіряти механізми захисту програмного забезпечення на всіх етапах його життєвого циклу, а також таких фахових компетентностей:</w:t>
      </w:r>
    </w:p>
    <w:p>
      <w:pPr>
        <w:pStyle w:val="ListParagraph"/>
        <w:numPr>
          <w:ilvl w:val="0"/>
          <w:numId w:val="2"/>
        </w:numPr>
        <w:spacing w:after="40"/>
      </w:pPr>
      <w:r>
        <w:rPr>
          <w:b/>
          <w:bCs/>
        </w:rPr>
        <w:t xml:space="preserve">ФК01</w:t>
      </w:r>
      <w:r>
        <w:t xml:space="preserve"> — здатність ідентифікувати, класифікувати та формулювати вимоги до програмного забезпечення;</w:t>
      </w:r>
    </w:p>
    <w:p>
      <w:pPr>
        <w:pStyle w:val="ListParagraph"/>
        <w:numPr>
          <w:ilvl w:val="0"/>
          <w:numId w:val="2"/>
        </w:numPr>
        <w:spacing w:after="40"/>
      </w:pPr>
      <w:r>
        <w:rPr>
          <w:b/>
          <w:bCs/>
        </w:rPr>
        <w:t xml:space="preserve">ФК03</w:t>
      </w:r>
      <w:r>
        <w:t xml:space="preserve"> — здатність розробляти архітектури, модулі та компоненти програмних систем;</w:t>
      </w:r>
    </w:p>
    <w:p>
      <w:pPr>
        <w:pStyle w:val="ListParagraph"/>
        <w:numPr>
          <w:ilvl w:val="0"/>
          <w:numId w:val="2"/>
        </w:numPr>
        <w:spacing w:after="40"/>
      </w:pPr>
      <w:r>
        <w:rPr>
          <w:b/>
          <w:bCs/>
        </w:rPr>
        <w:t xml:space="preserve">ФК06</w:t>
      </w:r>
      <w:r>
        <w:t xml:space="preserve"> — здатність аналізувати, вибирати і застосовувати методи і засоби для забезпечення інформаційної безпеки (у тому числі кібербезпеки);</w:t>
      </w:r>
    </w:p>
    <w:p>
      <w:pPr>
        <w:pStyle w:val="ListParagraph"/>
        <w:numPr>
          <w:ilvl w:val="0"/>
          <w:numId w:val="2"/>
        </w:numPr>
        <w:spacing w:after="40"/>
      </w:pPr>
      <w:r>
        <w:rPr>
          <w:b/>
          <w:bCs/>
        </w:rPr>
        <w:t xml:space="preserve">ФК07</w:t>
      </w:r>
      <w:r>
        <w:t xml:space="preserve"> — володіння знаннями про інформаційні моделі даних, здатність створювати програмне забезпечення для зберігання, видобування та опрацювання даних;</w:t>
      </w:r>
    </w:p>
    <w:p>
      <w:pPr>
        <w:pStyle w:val="ListParagraph"/>
        <w:numPr>
          <w:ilvl w:val="0"/>
          <w:numId w:val="2"/>
        </w:numPr>
        <w:spacing w:after="40"/>
      </w:pPr>
      <w:r>
        <w:rPr>
          <w:b/>
          <w:bCs/>
        </w:rPr>
        <w:t xml:space="preserve">ФК14</w:t>
      </w:r>
      <w:r>
        <w:t xml:space="preserve"> — здатність до алгоритмічного та логічного мислення.</w:t>
      </w:r>
    </w:p>
    <w:p>
      <w:pPr>
        <w:pStyle w:val="Heading3"/>
      </w:pPr>
      <w:r>
        <w:t xml:space="preserve">Предмет навчальної дисципліни</w:t>
      </w:r>
    </w:p>
    <w:p>
      <w:pPr>
        <w:spacing w:after="80"/>
        <w:ind w:firstLine="708"/>
      </w:pPr>
      <w:r>
        <w:t xml:space="preserve">Предметом вивчення є методи, моделі та засоби забезпечення захищеності програмного забезпечення: моделі розмежування доступу, механізми ідентифікації й автентифікації, криптографічні примітиви та практика їх застосування, класи вразливостей програмного коду, а також процеси й інструменти захищеного життєвого циклу розробки — від моделювання загроз до автоматизованого контролю захищеності у конвеєрі неперервної інтеграції.</w:t>
      </w:r>
    </w:p>
    <w:p>
      <w:pPr>
        <w:pStyle w:val="Heading3"/>
      </w:pPr>
      <w:r>
        <w:t xml:space="preserve">Програмні результати навчання</w:t>
      </w:r>
    </w:p>
    <w:p>
      <w:pPr>
        <w:pStyle w:val="ListParagraph"/>
        <w:numPr>
          <w:ilvl w:val="0"/>
          <w:numId w:val="2"/>
        </w:numPr>
        <w:spacing w:after="40"/>
      </w:pPr>
      <w:r>
        <w:rPr>
          <w:b/>
          <w:bCs/>
        </w:rPr>
        <w:t xml:space="preserve">ПРН01</w:t>
      </w:r>
      <w:r>
        <w:t xml:space="preserve"> — аналізувати, цілеспрямовано шукати і вибирати необхідні для вирішення професійних завдань інформаційно-довідникові ресурси і знання з урахуванням сучасних досягнень науки і техніки;</w:t>
      </w:r>
    </w:p>
    <w:p>
      <w:pPr>
        <w:pStyle w:val="ListParagraph"/>
        <w:numPr>
          <w:ilvl w:val="0"/>
          <w:numId w:val="2"/>
        </w:numPr>
        <w:spacing w:after="40"/>
      </w:pPr>
      <w:r>
        <w:rPr>
          <w:b/>
          <w:bCs/>
        </w:rPr>
        <w:t xml:space="preserve">ПРН18</w:t>
      </w:r>
      <w:r>
        <w:t xml:space="preserve"> — знати та вміти застосовувати інформаційні технології обробки, зберігання та передачі даних;</w:t>
      </w:r>
    </w:p>
    <w:p>
      <w:pPr>
        <w:pStyle w:val="ListParagraph"/>
        <w:numPr>
          <w:ilvl w:val="0"/>
          <w:numId w:val="2"/>
        </w:numPr>
        <w:spacing w:after="40"/>
      </w:pPr>
      <w:r>
        <w:rPr>
          <w:b/>
          <w:bCs/>
        </w:rPr>
        <w:t xml:space="preserve">ПРН21</w:t>
      </w:r>
      <w:r>
        <w:t xml:space="preserve"> — знати, аналізувати, вибирати, кваліфіковано застосовувати засоби забезпечення інформаційної безпеки (у тому числі кібербезпеки) і цілісності даних відповідно до розв’язуваних прикладних завдань та створюваних програмних систем.</w:t>
      </w:r>
    </w:p>
    <w:p>
      <w:pPr>
        <w:spacing w:after="60" w:before="160"/>
      </w:pPr>
      <w:r>
        <w:rPr>
          <w:b/>
          <w:bCs/>
        </w:rPr>
        <w:t xml:space="preserve">Після засвоєння дисципліни здобувач має знати:</w:t>
      </w:r>
    </w:p>
    <w:p>
      <w:pPr>
        <w:pStyle w:val="ListParagraph"/>
        <w:numPr>
          <w:ilvl w:val="0"/>
          <w:numId w:val="2"/>
        </w:numPr>
        <w:spacing w:after="40"/>
      </w:pPr>
      <w:r>
        <w:t xml:space="preserve">термінологію та базові поняття безпеки програмного забезпечення, класифікації вразливостей і атак (CWE, CVE, CVSS, CAPEC, MITRE ATT&amp;CK);</w:t>
      </w:r>
    </w:p>
    <w:p>
      <w:pPr>
        <w:pStyle w:val="ListParagraph"/>
        <w:numPr>
          <w:ilvl w:val="0"/>
          <w:numId w:val="2"/>
        </w:numPr>
        <w:spacing w:after="40"/>
      </w:pPr>
      <w:r>
        <w:t xml:space="preserve">методики моделювання загроз (STRIDE, дерева атак) та оцінювання ризиків;</w:t>
      </w:r>
    </w:p>
    <w:p>
      <w:pPr>
        <w:pStyle w:val="ListParagraph"/>
        <w:numPr>
          <w:ilvl w:val="0"/>
          <w:numId w:val="2"/>
        </w:numPr>
        <w:spacing w:after="40"/>
      </w:pPr>
      <w:r>
        <w:t xml:space="preserve">складові захищеного життєвого циклу розробки та принципи безпечного проєктування;</w:t>
      </w:r>
    </w:p>
    <w:p>
      <w:pPr>
        <w:pStyle w:val="ListParagraph"/>
        <w:numPr>
          <w:ilvl w:val="0"/>
          <w:numId w:val="2"/>
        </w:numPr>
        <w:spacing w:after="40"/>
      </w:pPr>
      <w:r>
        <w:t xml:space="preserve">формальні моделі розмежування доступу (HRU, Adept-50, Белла–ЛаПадули, Біби, Деннінг, Кларка–Вілсона) та механізми їх реалізації в операційних системах і застосунках;</w:t>
      </w:r>
    </w:p>
    <w:p>
      <w:pPr>
        <w:pStyle w:val="ListParagraph"/>
        <w:numPr>
          <w:ilvl w:val="0"/>
          <w:numId w:val="2"/>
        </w:numPr>
        <w:spacing w:after="40"/>
      </w:pPr>
      <w:r>
        <w:t xml:space="preserve">вимоги до парольних систем, схеми зберігання й перевірки паролів, протоколи автентифікації та авторизації;</w:t>
      </w:r>
    </w:p>
    <w:p>
      <w:pPr>
        <w:pStyle w:val="ListParagraph"/>
        <w:numPr>
          <w:ilvl w:val="0"/>
          <w:numId w:val="2"/>
        </w:numPr>
        <w:spacing w:after="40"/>
      </w:pPr>
      <w:r>
        <w:t xml:space="preserve">стандарти, алгоритми та режими симетричного й асиметричного шифрування, механізми електронного підпису та інфраструктуру відкритих ключів;</w:t>
      </w:r>
    </w:p>
    <w:p>
      <w:pPr>
        <w:pStyle w:val="ListParagraph"/>
        <w:numPr>
          <w:ilvl w:val="0"/>
          <w:numId w:val="2"/>
        </w:numPr>
        <w:spacing w:after="40"/>
      </w:pPr>
      <w:r>
        <w:t xml:space="preserve">основні класи вразливостей програмного коду та відповідні захисні практики;</w:t>
      </w:r>
    </w:p>
    <w:p>
      <w:pPr>
        <w:pStyle w:val="ListParagraph"/>
        <w:numPr>
          <w:ilvl w:val="0"/>
          <w:numId w:val="2"/>
        </w:numPr>
        <w:spacing w:after="40"/>
      </w:pPr>
      <w:r>
        <w:t xml:space="preserve">методи й засоби аналізу захищеності програмного забезпечення та захисту програм від несанкціонованого дослідження.</w:t>
      </w:r>
    </w:p>
    <w:p>
      <w:pPr>
        <w:spacing w:after="60" w:before="160"/>
      </w:pPr>
      <w:r>
        <w:rPr>
          <w:b/>
          <w:bCs/>
        </w:rPr>
        <w:t xml:space="preserve">Після засвоєння дисципліни здобувач має вміти:</w:t>
      </w:r>
    </w:p>
    <w:p>
      <w:pPr>
        <w:pStyle w:val="ListParagraph"/>
        <w:numPr>
          <w:ilvl w:val="0"/>
          <w:numId w:val="2"/>
        </w:numPr>
        <w:spacing w:after="40"/>
      </w:pPr>
      <w:r>
        <w:t xml:space="preserve">будувати модель порушника та модель загроз програмної системи, ранжувати ризики й обґрунтовувати вибір контрзаходів;</w:t>
      </w:r>
    </w:p>
    <w:p>
      <w:pPr>
        <w:pStyle w:val="ListParagraph"/>
        <w:numPr>
          <w:ilvl w:val="0"/>
          <w:numId w:val="2"/>
        </w:numPr>
        <w:spacing w:after="40"/>
      </w:pPr>
      <w:r>
        <w:t xml:space="preserve">формулювати вимоги безпеки до програмного продукту та перевіряти їх виконання;</w:t>
      </w:r>
    </w:p>
    <w:p>
      <w:pPr>
        <w:pStyle w:val="ListParagraph"/>
        <w:numPr>
          <w:ilvl w:val="0"/>
          <w:numId w:val="2"/>
        </w:numPr>
        <w:spacing w:after="40"/>
      </w:pPr>
      <w:r>
        <w:t xml:space="preserve">проєктувати й реалізовувати підсистеми розмежування доступу, ідентифікації, автентифікації та журналювання;</w:t>
      </w:r>
    </w:p>
    <w:p>
      <w:pPr>
        <w:pStyle w:val="ListParagraph"/>
        <w:numPr>
          <w:ilvl w:val="0"/>
          <w:numId w:val="2"/>
        </w:numPr>
        <w:spacing w:after="40"/>
      </w:pPr>
      <w:r>
        <w:t xml:space="preserve">оцінювати характеристики систем парольного захисту, зокрема за формулою Андерсона;</w:t>
      </w:r>
    </w:p>
    <w:p>
      <w:pPr>
        <w:pStyle w:val="ListParagraph"/>
        <w:numPr>
          <w:ilvl w:val="0"/>
          <w:numId w:val="2"/>
        </w:numPr>
        <w:spacing w:after="40"/>
      </w:pPr>
      <w:r>
        <w:t xml:space="preserve">коректно застосовувати криптографічні бібліотеки, реалізовувати та верифікувати алгоритми генерації великих простих чисел, розрахунку ключів, шифрування й формування електронного підпису, оцінювати криптостійкість;</w:t>
      </w:r>
    </w:p>
    <w:p>
      <w:pPr>
        <w:pStyle w:val="ListParagraph"/>
        <w:numPr>
          <w:ilvl w:val="0"/>
          <w:numId w:val="2"/>
        </w:numPr>
        <w:spacing w:after="40"/>
      </w:pPr>
      <w:r>
        <w:t xml:space="preserve">виявляти у програмному коді вразливості, підтверджувати їх експлуатованість у контрольованому середовищі та розробляти виправлення з регресійними тестами;</w:t>
      </w:r>
    </w:p>
    <w:p>
      <w:pPr>
        <w:pStyle w:val="ListParagraph"/>
        <w:numPr>
          <w:ilvl w:val="0"/>
          <w:numId w:val="2"/>
        </w:numPr>
        <w:spacing w:after="40"/>
      </w:pPr>
      <w:r>
        <w:t xml:space="preserve">налаштовувати та інтерпретувати результати роботи засобів статичного й динамічного аналізу, аналізу складу програмного забезпечення, вбудовувати їх у конвеєр CI/CD;</w:t>
      </w:r>
    </w:p>
    <w:p>
      <w:pPr>
        <w:pStyle w:val="ListParagraph"/>
        <w:numPr>
          <w:ilvl w:val="0"/>
          <w:numId w:val="2"/>
        </w:numPr>
        <w:spacing w:after="40"/>
      </w:pPr>
      <w:r>
        <w:t xml:space="preserve">оформлювати результати аналізу захищеності у вигляді професійного звіту з обґрунтованими рекомендаціями.</w:t>
      </w:r>
    </w:p>
    <w:p>
      <w:pPr>
        <w:pStyle w:val="Heading2"/>
      </w:pPr>
      <w:r>
        <w:t xml:space="preserve">2. Пререквізити та постреквізити дисципліни</w:t>
      </w:r>
    </w:p>
    <w:p>
      <w:pPr>
        <w:spacing w:after="80"/>
        <w:ind w:firstLine="708"/>
      </w:pPr>
      <w:r>
        <w:t xml:space="preserve">Для успішного засвоєння дисципліни здобувачеві потрібні результати навчання з освітніх компонентів: «Основи програмування», «Дискретна математика», «Структури даних та алгоритми», «Системне програмування», «Операційні системи», «Комп’ютерні мережі», «Бази даних», «Компоненти інженерії програмного забезпечення». Необхідні практичні навички: володіння щонайменше однією мовою програмування високого рівня, робота в командному рядку операційної системи, використання системи контролю версій Git, базове розуміння протоколу HTTP та реляційних баз даних.</w:t>
      </w:r>
    </w:p>
    <w:p>
      <w:pPr>
        <w:spacing w:after="80"/>
        <w:ind w:firstLine="708"/>
      </w:pPr>
      <w:r>
        <w:t xml:space="preserve">Компетентності, знання та вміння, здобуті під час вивчення дисципліни, використовуються під час опанування освітніх компонентів «Переддипломна практика» та «Дипломне проєктування», а також у подальшій професійній діяльності під час розроблення та супроводження програмних систем.</w:t>
      </w:r>
    </w:p>
    <w:p>
      <w:pPr>
        <w:pStyle w:val="Heading2"/>
      </w:pPr>
      <w:r>
        <w:t xml:space="preserve">3. Зміст навчальної дисципліни</w:t>
      </w:r>
    </w:p>
    <w:p>
      <w:pPr>
        <w:spacing w:after="60" w:before="140"/>
      </w:pPr>
      <w:r>
        <w:rPr>
          <w:b/>
          <w:bCs/>
        </w:rPr>
        <w:t xml:space="preserve">Розділ 1. Основи безпеки програмного забезпечення</w:t>
      </w:r>
    </w:p>
    <w:p>
      <w:pPr>
        <w:spacing w:after="60"/>
        <w:ind w:left="340"/>
        <w:jc w:val="both"/>
      </w:pPr>
      <w:r>
        <w:rPr>
          <w:b/>
          <w:bCs/>
        </w:rPr>
        <w:t xml:space="preserve">Тема 1. Безпека програмного забезпечення як інженерна дисципліна. </w:t>
      </w:r>
      <w:r>
        <w:t xml:space="preserve">Предмет, мета і місце дисципліни. Тріада конфіденційність–цілісність–доступність; автентичність, невідмовність, підзвітність. Актив, загроза, вразливість, ризик, атака, експлойт. Вартість усунення дефекту безпеки за фазами життєвого циклу. Нормативно-правова база: НД ТЗІ 2.5-004-99, ДСТУ ISO/IEC 27001:2015, ISO/IEC 27034, вимоги GDPR до захисту персональних даних.</w:t>
      </w:r>
    </w:p>
    <w:p>
      <w:pPr>
        <w:spacing w:after="60"/>
        <w:ind w:left="340"/>
        <w:jc w:val="both"/>
      </w:pPr>
      <w:r>
        <w:rPr>
          <w:b/>
          <w:bCs/>
        </w:rPr>
        <w:t xml:space="preserve">Тема 2. Загрози, вразливості та модель порушника. </w:t>
      </w:r>
      <w:r>
        <w:t xml:space="preserve">Основні напрямки загроз несанкціонованого доступу та канали витоку інформації. Пасивні й активні вторгнення: цілі, суб’єкти, схеми. Побудова моделі порушника: мотивація, кваліфікація, ресурси, рівень доступу. Таксономії вразливостей і атак: CWE, CWE Top 25, CVE, CVSS v4.0, CAPEC, MITRE ATT&amp;CK. Поверхня атаки та її оцінювання.</w:t>
      </w:r>
    </w:p>
    <w:p>
      <w:pPr>
        <w:spacing w:after="60"/>
        <w:ind w:left="340"/>
        <w:jc w:val="both"/>
      </w:pPr>
      <w:r>
        <w:rPr>
          <w:b/>
          <w:bCs/>
        </w:rPr>
        <w:t xml:space="preserve">Тема 3. Моделювання загроз програмної системи. </w:t>
      </w:r>
      <w:r>
        <w:t xml:space="preserve">Діаграми потоків даних (DFD) та межі довіри. Методика STRIDE: спуфінг, підміна даних, відмова від авторства, розкриття інформації, відмова в обслуговуванні, підвищення привілеїв. Дерева атак. Abuse cases і misuse cases. Оцінювання та ранжування ризиків: DREAD, CVSS, матриця ризику. Документування моделі загроз і реєстр ризиків.</w:t>
      </w:r>
    </w:p>
    <w:p>
      <w:pPr>
        <w:spacing w:after="60" w:before="140"/>
      </w:pPr>
      <w:r>
        <w:rPr>
          <w:b/>
          <w:bCs/>
        </w:rPr>
        <w:t xml:space="preserve">Розділ 2. Захищений життєвий цикл розробки</w:t>
      </w:r>
    </w:p>
    <w:p>
      <w:pPr>
        <w:spacing w:after="60"/>
        <w:ind w:left="340"/>
        <w:jc w:val="both"/>
      </w:pPr>
      <w:r>
        <w:rPr>
          <w:b/>
          <w:bCs/>
        </w:rPr>
        <w:t xml:space="preserve">Тема 4. Захищений життєвий цикл розробки програмного забезпечення. </w:t>
      </w:r>
      <w:r>
        <w:t xml:space="preserve">Поняття SSDLC. Microsoft SDL, OWASP SAMM, BSIMM, NIST SSDF (SP 800-218). Вимоги безпеки до програмного продукту: OWASP ASVS, security user stories, критерії приймання. Розподіл ролей і відповідальності, security champion. Метрики зрілості процесу безпечної розробки.</w:t>
      </w:r>
    </w:p>
    <w:p>
      <w:pPr>
        <w:spacing w:after="60"/>
        <w:ind w:left="340"/>
        <w:jc w:val="both"/>
      </w:pPr>
      <w:r>
        <w:rPr>
          <w:b/>
          <w:bCs/>
        </w:rPr>
        <w:t xml:space="preserve">Тема 5. Принципи безпечного проєктування програмних систем. </w:t>
      </w:r>
      <w:r>
        <w:t xml:space="preserve">Принципи Зальцера–Шредера: економія механізму, безпечні значення за замовчуванням, повне посередництво, відкритий проєкт, розділення привілеїв, мінімум привілеїв, мінімізація спільних механізмів, психологічна прийнятність. Глибокий захист, безпечна відмова, нульова довіра. Механізми ізоляції: процеси, пісочниці, контейнери, WebAssembly. Архітектурні антипатерни безпеки.</w:t>
      </w:r>
    </w:p>
    <w:p>
      <w:pPr>
        <w:spacing w:after="60" w:before="140"/>
      </w:pPr>
      <w:r>
        <w:rPr>
          <w:b/>
          <w:bCs/>
        </w:rPr>
        <w:t xml:space="preserve">Розділ 3. Моделі та механізми розмежування доступу</w:t>
      </w:r>
    </w:p>
    <w:p>
      <w:pPr>
        <w:spacing w:after="60"/>
        <w:ind w:left="340"/>
        <w:jc w:val="both"/>
      </w:pPr>
      <w:r>
        <w:rPr>
          <w:b/>
          <w:bCs/>
        </w:rPr>
        <w:t xml:space="preserve">Тема 6. Формальні моделі розмежування доступу. </w:t>
      </w:r>
      <w:r>
        <w:t xml:space="preserve">Матрична модель HRU: суб’єкт, об’єкт, вектор прав, диспетчер доступу. Проблема безпеки HRU. Концептуальна модель Adept-50. Мандатна модель Белла–ЛаПадули: властивості «не читати вище» та «не писати нижче». Модель Біби для цілісності. Ґраткова модель потоків інформації Деннінг. Модель Кларка–Вілсона. Модель Лендвера для систем військового призначення. Розширення прав доступу.</w:t>
      </w:r>
    </w:p>
    <w:p>
      <w:pPr>
        <w:spacing w:after="60"/>
        <w:ind w:left="340"/>
        <w:jc w:val="both"/>
      </w:pPr>
      <w:r>
        <w:rPr>
          <w:b/>
          <w:bCs/>
        </w:rPr>
        <w:t xml:space="preserve">Тема 7. Реалізація розмежування доступу та моніторинг безпеки. </w:t>
      </w:r>
      <w:r>
        <w:t xml:space="preserve">Дискреційне керування доступом: списки доступу (ACL), успадкування прав, замки, ключі та умови доступу. Мандатні списки і повноваження (capabilities). Мандатне керування доступом у сучасних ОС: SELinux, AppArmor. Рольова (RBAC) та атрибутна (ABAC) моделі. Реалізація принципу мінімальних привілеїв у Unix, Windows та контейнерних середовищах. Реєстраційний і операційний журнали; моніторинг безпеки, фактор загрози та статистична аномалія.</w:t>
      </w:r>
    </w:p>
    <w:p>
      <w:pPr>
        <w:spacing w:after="60" w:before="140"/>
      </w:pPr>
      <w:r>
        <w:rPr>
          <w:b/>
          <w:bCs/>
        </w:rPr>
        <w:t xml:space="preserve">Розділ 4. Ідентифікація, автентифікація та авторизація</w:t>
      </w:r>
    </w:p>
    <w:p>
      <w:pPr>
        <w:spacing w:after="60"/>
        <w:ind w:left="340"/>
        <w:jc w:val="both"/>
      </w:pPr>
      <w:r>
        <w:rPr>
          <w:b/>
          <w:bCs/>
        </w:rPr>
        <w:t xml:space="preserve">Тема 8. Парольні системи та багатофакторна автентифікація. </w:t>
      </w:r>
      <w:r>
        <w:t xml:space="preserve">Ідентифікація й автентифікація користувачів. Вимоги до паролів за NIST SP 800-63B. Схема зберігання паролів в ОС Unix; сучасне зберігання: сіль, «перець», bcrypt, scrypt, Argon2id. Аналіз характеристик системи простих паролів, формула Андерсона, ентропія пароля. Атаки: повний перебір, словникові, райдужні таблиці, credential stuffing. Процедури одно- та двобічного «рукостискання», схема «питання–відповідь» і таємні функції. Багатофакторна автентифікація: TOTP, U2F, WebAuthn, passkeys, passwordless.</w:t>
      </w:r>
    </w:p>
    <w:p>
      <w:pPr>
        <w:spacing w:after="60"/>
        <w:ind w:left="340"/>
        <w:jc w:val="both"/>
      </w:pPr>
      <w:r>
        <w:rPr>
          <w:b/>
          <w:bCs/>
        </w:rPr>
        <w:t xml:space="preserve">Тема 9. Автентифікація та авторизація в розподілених застосунках. </w:t>
      </w:r>
      <w:r>
        <w:t xml:space="preserve">Керування сесіями: ідентифікатор сесії, атрибути cookie (HttpOnly, Secure, SameSite), фіксація та викрадення сесії. Токени доступу: JWT, структура, типові помилки реалізації (alg=none, слабкий ключ, відсутність перевірки терміну дії). Протоколи OAuth 2.0 та OpenID Connect, потоки авторизації. Єдиний вхід (SSO), Kerberos. Порушення контролю доступу: вертикальне та горизонтальне підвищення привілеїв, IDOR.</w:t>
      </w:r>
    </w:p>
    <w:p>
      <w:pPr>
        <w:spacing w:after="60" w:before="140"/>
      </w:pPr>
      <w:r>
        <w:rPr>
          <w:b/>
          <w:bCs/>
        </w:rPr>
        <w:t xml:space="preserve">Розділ 5. Прикладна криптографія для розробника</w:t>
      </w:r>
    </w:p>
    <w:p>
      <w:pPr>
        <w:spacing w:after="60"/>
        <w:ind w:left="340"/>
        <w:jc w:val="both"/>
      </w:pPr>
      <w:r>
        <w:rPr>
          <w:b/>
          <w:bCs/>
        </w:rPr>
        <w:t xml:space="preserve">Тема 10. Симетрична криптографія та контроль цілісності. </w:t>
      </w:r>
      <w:r>
        <w:t xml:space="preserve">Класичні підходи: одно- та багатоалфавітні підстановки, шифр Цезаря, шифр Віженера, перестановки, біграмні шифри, гамування. Секретні системи за Шенноном, ентропія та надмірність. Блокові шифри: DES, 3-DES, AES. Режими роботи: ECB, CBC, CTR, GCM; автентифіковане шифрування (AEAD). Хеш-функції SHA-2, SHA-3; коди автентифікації повідомлень HMAC; функції формування ключа (PBKDF2, HKDF). Типові помилки застосування криптографії у програмному коді.</w:t>
      </w:r>
    </w:p>
    <w:p>
      <w:pPr>
        <w:spacing w:after="60"/>
        <w:ind w:left="340"/>
        <w:jc w:val="both"/>
      </w:pPr>
      <w:r>
        <w:rPr>
          <w:b/>
          <w:bCs/>
        </w:rPr>
        <w:t xml:space="preserve">Тема 11. Асиметрична криптографія, електронний підпис та PKI. </w:t>
      </w:r>
      <w:r>
        <w:t xml:space="preserve">Новий напрям у криптографії за Діффі й Геллманом; незворотні функції. Система RSA: модулярна арифметика, алгоритм швидкого дискретного піднесення до степеня. Генерація великих простих чисел, мала теорема Ферма, тест Міллера–Рабіна. Розрахунок ключів: класичний та розширений алгоритми Евкліда. Оцінювання криптостійкості RSA. Система Ель-Гамаля. Криптографія на еліптичних кривих. Електронний підпис: RSA-PSS, ECDSA, EdDSA. Сертифікати X.509, інфраструктура відкритих ключів, TLS 1.3. Керування ключами та секретами: KMS, сховища секретів, ротація.</w:t>
      </w:r>
    </w:p>
    <w:p>
      <w:pPr>
        <w:spacing w:after="60" w:before="140"/>
      </w:pPr>
      <w:r>
        <w:rPr>
          <w:b/>
          <w:bCs/>
        </w:rPr>
        <w:t xml:space="preserve">Розділ 6. Вразливості програмного коду</w:t>
      </w:r>
    </w:p>
    <w:p>
      <w:pPr>
        <w:spacing w:after="60"/>
        <w:ind w:left="340"/>
        <w:jc w:val="both"/>
      </w:pPr>
      <w:r>
        <w:rPr>
          <w:b/>
          <w:bCs/>
        </w:rPr>
        <w:t xml:space="preserve">Тема 12. Вразливості низького рівня та безпека пам’яті. </w:t>
      </w:r>
      <w:r>
        <w:t xml:space="preserve">Модель пам’яті процесу: стек, купа, сегменти. Переповнення буфера в стеку: перезапис адреси повернення, shellcode. Переповнення в купі, використання після звільнення, подвійне звільнення. Вразливості форматного рядка. Цілочисельні переповнення та помилки знаку. Техніки експлуатації: return-oriented programming. Контрзаходи: захисний маркер стека, DEP/NX, ASLR, RELRO, контроль потоку керування (CFI), санітайзери ASan/UBSan. Мови з гарантованою безпекою пам’яті як стратегічна відповідь.</w:t>
      </w:r>
    </w:p>
    <w:p>
      <w:pPr>
        <w:spacing w:after="60"/>
        <w:ind w:left="340"/>
        <w:jc w:val="both"/>
      </w:pPr>
      <w:r>
        <w:rPr>
          <w:b/>
          <w:bCs/>
        </w:rPr>
        <w:t xml:space="preserve">Тема 13. Вразливості програмних застосунків: OWASP Top 10. </w:t>
      </w:r>
      <w:r>
        <w:t xml:space="preserve">Ін’єкції: SQL, NoSQL, ін’єкція команд ОС, LDAP, XXE. Міжсайтове виконання сценаріїв (XSS): відображене, збережене, DOM-based; політика безпеки вмісту (CSP). Міжсайтова підробка запиту (CSRF). Підробка запитів на боці сервера (SSRF). Небезпечна десеріалізація. Обхід каталогів і небезпечне завантаження файлів. Помилки конфігурації безпеки, розкриття чутливих даних, вразливі та застарілі компоненти. Захисні практики: валідація вводу за білим списком, параметризовані запити, контекстне кодування виводу, безпечні HTTP-заголовки.</w:t>
      </w:r>
    </w:p>
    <w:p>
      <w:pPr>
        <w:spacing w:after="60" w:before="140"/>
      </w:pPr>
      <w:r>
        <w:rPr>
          <w:b/>
          <w:bCs/>
        </w:rPr>
        <w:t xml:space="preserve">Розділ 7. Верифікація захищеності та захист програмного продукту</w:t>
      </w:r>
    </w:p>
    <w:p>
      <w:pPr>
        <w:spacing w:after="60"/>
        <w:ind w:left="340"/>
        <w:jc w:val="both"/>
      </w:pPr>
      <w:r>
        <w:rPr>
          <w:b/>
          <w:bCs/>
        </w:rPr>
        <w:t xml:space="preserve">Тема 14. Аналіз захищеності та захист програм від дослідження. </w:t>
      </w:r>
      <w:r>
        <w:t xml:space="preserve">Статичний аналіз коду (SAST): принципи, аналіз забруднених даних, хибнопозитивні спрацювання; інструменти Semgrep, Bandit, CodeQL. Динамічний аналіз (DAST) та інтерактивний аналіз (IAST). Фазинг: AFL++, libFuzzer, property-based testing. Аналіз складу програмного забезпечення (SCA). Тестування на проникнення, програми виявлення вразливостей. Зворотний бік: дизасемблювання та налагодження як інструменти зловмисника. Захист програм від несанкціонованого дослідження: обфускація, антивідлагоджувальні прийоми, перевірка цілісності коду, ліцензійні механізми; межі застосовності цих засобів.</w:t>
      </w:r>
    </w:p>
    <w:p>
      <w:pPr>
        <w:spacing w:after="60"/>
        <w:ind w:left="340"/>
        <w:jc w:val="both"/>
      </w:pPr>
      <w:r>
        <w:rPr>
          <w:b/>
          <w:bCs/>
        </w:rPr>
        <w:t xml:space="preserve">Тема 15. DevSecOps та безпека ланцюга постачання програмного забезпечення. </w:t>
      </w:r>
      <w:r>
        <w:t xml:space="preserve">Вбудовування контролю безпеки в CI/CD: керування секретами в конвеєрі, ізоляція виконавців, quality gate. Підпис артефактів (Sigstore), рівні гарантій SLSA. Специфікація складу ПЗ (SBOM): CycloneDX, SPDX. Керування залежностями та вразливостями; typosquatting, dependency confusion, компрометація супровідника. Безпека контейнерів та інфраструктури як коду. Журналювання, моніторинг і виявлення вторгнень. Процес реагування на інциденти, політика відповідального розкриття, випуск виправлень. Підсумки курсу.</w:t>
      </w:r>
    </w:p>
    <w:p>
      <w:pPr>
        <w:pStyle w:val="Heading2"/>
      </w:pPr>
      <w:r>
        <w:t xml:space="preserve">4. Навчальні матеріали та ресурси</w:t>
      </w:r>
    </w:p>
    <w:p>
      <w:pPr>
        <w:spacing w:after="80"/>
        <w:ind w:firstLine="708"/>
      </w:pPr>
      <w:r>
        <w:t xml:space="preserve">Основні навчальні матеріали розміщено на платформі Campus KPI (https://campus.kpi.ua) — презентації лекцій, тексти завдань, теоретичні відомості до лабораторних робіт, посилання на документацію програмних засобів та матеріали для самостійної роботи. Програмне середовище лабораторного практикуму розгортається з репозиторію курсу засобами Docker Compose.</w:t>
      </w:r>
    </w:p>
    <w:p>
      <w:pPr>
        <w:spacing w:after="60" w:before="160"/>
      </w:pPr>
      <w:r>
        <w:rPr>
          <w:b/>
          <w:bCs/>
        </w:rPr>
        <w:t xml:space="preserve">Базова література (обов’язкова для опрацювання)</w:t>
      </w:r>
    </w:p>
    <w:p>
      <w:pPr>
        <w:pStyle w:val="ListParagraph"/>
        <w:numPr>
          <w:ilvl w:val="0"/>
          <w:numId w:val="3"/>
        </w:numPr>
        <w:spacing w:after="40"/>
      </w:pPr>
      <w:r>
        <w:t xml:space="preserve">Соколовський В. В. Безпека програмного забезпечення [Електронний ресурс] : курс лекцій : навч. посіб. для здобувачів ступеня бакалавра за освітньою програмою «Інженерія програмного забезпечення комп’ютерних систем» спеціальності 121 Інженерія програмного забезпечення / В. В. Соколовський ; КПІ ім. Ігоря Сікорського. – Київ : КПІ ім. Ігоря Сікорського, 2026.</w:t>
      </w:r>
    </w:p>
    <w:p>
      <w:pPr>
        <w:pStyle w:val="ListParagraph"/>
        <w:numPr>
          <w:ilvl w:val="0"/>
          <w:numId w:val="3"/>
        </w:numPr>
        <w:spacing w:after="40"/>
      </w:pPr>
      <w:r>
        <w:t xml:space="preserve">Соколовський В. В. Безпека програмного забезпечення [Електронний ресурс] : лабораторний практикум : навч. посіб. для здобувачів ступеня бакалавра за освітньою програмою «Інженерія програмного забезпечення комп’ютерних систем» спеціальності 121 Інженерія програмного забезпечення / В. В. Соколовський ; КПІ ім. Ігоря Сікорського. – Київ : КПІ ім. Ігоря Сікорського, 2026.</w:t>
      </w:r>
    </w:p>
    <w:p>
      <w:pPr>
        <w:pStyle w:val="ListParagraph"/>
        <w:numPr>
          <w:ilvl w:val="0"/>
          <w:numId w:val="3"/>
        </w:numPr>
        <w:spacing w:after="40"/>
      </w:pPr>
      <w:r>
        <w:t xml:space="preserve">Волокита А. М. Безпека програм і даних: теорія та практикум : навч. посіб. / А. М. Волокита, Б. В. Іваніщев ; КПІ ім. Ігоря Сікорського. – Київ, 2022. – Режим доступу: https://comsys.kpi.ua/metodichni-vkazannya-po-disciplinam</w:t>
      </w:r>
    </w:p>
    <w:p>
      <w:pPr>
        <w:pStyle w:val="ListParagraph"/>
        <w:numPr>
          <w:ilvl w:val="0"/>
          <w:numId w:val="3"/>
        </w:numPr>
        <w:spacing w:after="40"/>
      </w:pPr>
      <w:r>
        <w:t xml:space="preserve">Сенів М. М. Безпека програм та даних : навч. посіб. / М. М. Сенів, В. С. Яковина. – Львів : Вид-во Львівської політехніки, 2018. – 256 с.</w:t>
      </w:r>
    </w:p>
    <w:p>
      <w:pPr>
        <w:pStyle w:val="ListParagraph"/>
        <w:numPr>
          <w:ilvl w:val="0"/>
          <w:numId w:val="3"/>
        </w:numPr>
        <w:spacing w:after="40"/>
      </w:pPr>
      <w:r>
        <w:t xml:space="preserve">OWASP Top 10:2021. The Ten Most Critical Web Application Security Risks [Електронний ресурс] / OWASP Foundation. – Режим доступу: https://owasp.org/Top10/</w:t>
      </w:r>
    </w:p>
    <w:p>
      <w:pPr>
        <w:spacing w:after="80" w:before="80"/>
        <w:ind w:firstLine="708"/>
      </w:pPr>
      <w:r>
        <w:t xml:space="preserve">Джерела 1 і 2 є основними: вони повністю покривають лекційний курс і практикум. Джерела 3 і 4 рекомендовано для поглибленого опрацювання розділів 3–5. Джерело 5 опрацьовується перед лекцією 13 і лабораторною роботою 5 та є обов’язковим.</w:t>
      </w:r>
    </w:p>
    <w:p>
      <w:pPr>
        <w:spacing w:after="60" w:before="160"/>
      </w:pPr>
      <w:r>
        <w:rPr>
          <w:b/>
          <w:bCs/>
        </w:rPr>
        <w:t xml:space="preserve">Додаткова література</w:t>
      </w:r>
    </w:p>
    <w:p>
      <w:pPr>
        <w:pStyle w:val="ListParagraph"/>
        <w:numPr>
          <w:ilvl w:val="0"/>
          <w:numId w:val="4"/>
        </w:numPr>
        <w:spacing w:after="40"/>
      </w:pPr>
      <w:r>
        <w:t xml:space="preserve">OWASP Application Security Verification Standard (ASVS) 4.0.3 [Електронний ресурс]. – Режим доступу: https://owasp.org/www-project-application-security-verification-standard/</w:t>
      </w:r>
    </w:p>
    <w:p>
      <w:pPr>
        <w:pStyle w:val="ListParagraph"/>
        <w:numPr>
          <w:ilvl w:val="0"/>
          <w:numId w:val="4"/>
        </w:numPr>
        <w:spacing w:after="40"/>
      </w:pPr>
      <w:r>
        <w:t xml:space="preserve">OWASP Cheat Sheet Series [Електронний ресурс]. – Режим доступу: https://cheatsheetseries.owasp.org/</w:t>
      </w:r>
    </w:p>
    <w:p>
      <w:pPr>
        <w:pStyle w:val="ListParagraph"/>
        <w:numPr>
          <w:ilvl w:val="0"/>
          <w:numId w:val="4"/>
        </w:numPr>
        <w:spacing w:after="40"/>
      </w:pPr>
      <w:r>
        <w:t xml:space="preserve">OWASP Software Assurance Maturity Model (SAMM) [Електронний ресурс]. – Режим доступу: https://owaspsamm.org/</w:t>
      </w:r>
    </w:p>
    <w:p>
      <w:pPr>
        <w:pStyle w:val="ListParagraph"/>
        <w:numPr>
          <w:ilvl w:val="0"/>
          <w:numId w:val="4"/>
        </w:numPr>
        <w:spacing w:after="40"/>
      </w:pPr>
      <w:r>
        <w:t xml:space="preserve">NIST SP 800-218. Secure Software Development Framework (SSDF) Version 1.1 / National Institute of Standards and Technology. – 2022.</w:t>
      </w:r>
    </w:p>
    <w:p>
      <w:pPr>
        <w:pStyle w:val="ListParagraph"/>
        <w:numPr>
          <w:ilvl w:val="0"/>
          <w:numId w:val="4"/>
        </w:numPr>
        <w:spacing w:after="40"/>
      </w:pPr>
      <w:r>
        <w:t xml:space="preserve">NIST SP 800-63B. Digital Identity Guidelines: Authentication and Lifecycle Management / National Institute of Standards and Technology. – 2017 (rev. 2020).</w:t>
      </w:r>
    </w:p>
    <w:p>
      <w:pPr>
        <w:pStyle w:val="ListParagraph"/>
        <w:numPr>
          <w:ilvl w:val="0"/>
          <w:numId w:val="4"/>
        </w:numPr>
        <w:spacing w:after="40"/>
      </w:pPr>
      <w:r>
        <w:t xml:space="preserve">CWE Top 25 Most Dangerous Software Weaknesses [Електронний ресурс] / MITRE. – Режим доступу: https://cwe.mitre.org/top25/</w:t>
      </w:r>
    </w:p>
    <w:p>
      <w:pPr>
        <w:pStyle w:val="ListParagraph"/>
        <w:numPr>
          <w:ilvl w:val="0"/>
          <w:numId w:val="4"/>
        </w:numPr>
        <w:spacing w:after="40"/>
      </w:pPr>
      <w:r>
        <w:t xml:space="preserve">Common Vulnerability Scoring System v4.0: Specification Document [Електронний ресурс] / FIRST. – Режим доступу: https://www.first.org/cvss/</w:t>
      </w:r>
    </w:p>
    <w:p>
      <w:pPr>
        <w:pStyle w:val="ListParagraph"/>
        <w:numPr>
          <w:ilvl w:val="0"/>
          <w:numId w:val="4"/>
        </w:numPr>
        <w:spacing w:after="40"/>
      </w:pPr>
      <w:r>
        <w:t xml:space="preserve">MITRE ATT&amp;CK Enterprise Matrix [Електронний ресурс]. – Режим доступу: https://attack.mitre.org/</w:t>
      </w:r>
    </w:p>
    <w:p>
      <w:pPr>
        <w:pStyle w:val="ListParagraph"/>
        <w:numPr>
          <w:ilvl w:val="0"/>
          <w:numId w:val="4"/>
        </w:numPr>
        <w:spacing w:after="40"/>
      </w:pPr>
      <w:r>
        <w:t xml:space="preserve">ДСТУ ISO/IEC 27001:2015. Інформаційні технології. Методи захисту. Системи управління інформаційною безпекою. Вимоги.</w:t>
      </w:r>
    </w:p>
    <w:p>
      <w:pPr>
        <w:pStyle w:val="ListParagraph"/>
        <w:numPr>
          <w:ilvl w:val="0"/>
          <w:numId w:val="4"/>
        </w:numPr>
        <w:spacing w:after="40"/>
      </w:pPr>
      <w:r>
        <w:t xml:space="preserve">ДСТУ ISO/IEC TS 27008:2019. Інформаційні технології. Методи захисту. Настанова щодо оцінювання захисту інформаційної безпеки.</w:t>
      </w:r>
    </w:p>
    <w:p>
      <w:pPr>
        <w:pStyle w:val="ListParagraph"/>
        <w:numPr>
          <w:ilvl w:val="0"/>
          <w:numId w:val="4"/>
        </w:numPr>
        <w:spacing w:after="40"/>
      </w:pPr>
      <w:r>
        <w:t xml:space="preserve">НД ТЗІ 2.5-004-99. Критерії оцінки захищеності інформації в комп’ютерних системах від несанкціонованого доступу. – Чинний від 01.07.1999.</w:t>
      </w:r>
    </w:p>
    <w:p>
      <w:pPr>
        <w:pStyle w:val="ListParagraph"/>
        <w:numPr>
          <w:ilvl w:val="0"/>
          <w:numId w:val="4"/>
        </w:numPr>
        <w:spacing w:after="40"/>
      </w:pPr>
      <w:r>
        <w:t xml:space="preserve">НД ТЗІ 2.5-005-99. Класифікація автоматизованих систем і стандартні функціональні профілі захищеності оброблюваної інформації від несанкціонованого доступу. – Чинний від 01.07.1999.</w:t>
      </w:r>
    </w:p>
    <w:p>
      <w:pPr>
        <w:pStyle w:val="ListParagraph"/>
        <w:numPr>
          <w:ilvl w:val="0"/>
          <w:numId w:val="4"/>
        </w:numPr>
        <w:spacing w:after="40"/>
      </w:pPr>
      <w:r>
        <w:t xml:space="preserve">Shostack A. Threat Modeling: Designing for Security / A. Shostack. – Indianapolis : Wiley, 2014. – 624 p.</w:t>
      </w:r>
    </w:p>
    <w:p>
      <w:pPr>
        <w:pStyle w:val="ListParagraph"/>
        <w:numPr>
          <w:ilvl w:val="0"/>
          <w:numId w:val="4"/>
        </w:numPr>
        <w:spacing w:after="40"/>
      </w:pPr>
      <w:r>
        <w:t xml:space="preserve">Anderson R. Security Engineering: A Guide to Building Dependable Distributed Systems / R. Anderson. – 3rd ed. – Wiley, 2020. – 1232 p.</w:t>
      </w:r>
    </w:p>
    <w:p>
      <w:pPr>
        <w:pStyle w:val="ListParagraph"/>
        <w:numPr>
          <w:ilvl w:val="0"/>
          <w:numId w:val="4"/>
        </w:numPr>
        <w:spacing w:after="40"/>
      </w:pPr>
      <w:r>
        <w:t xml:space="preserve">Ferguson N. Cryptography Engineering: Design Principles and Practical Applications / N. Ferguson, B. Schneier, T. Kohno. – Wiley, 2010. – 384 p.</w:t>
      </w:r>
    </w:p>
    <w:p>
      <w:pPr>
        <w:pStyle w:val="ListParagraph"/>
        <w:numPr>
          <w:ilvl w:val="0"/>
          <w:numId w:val="4"/>
        </w:numPr>
        <w:spacing w:after="40"/>
      </w:pPr>
      <w:r>
        <w:t xml:space="preserve">Katz J. Introduction to Modern Cryptography / J. Katz, Y. Lindell. – 3rd ed. – CRC Press, 2020. – 648 p.</w:t>
      </w:r>
    </w:p>
    <w:p>
      <w:pPr>
        <w:pStyle w:val="ListParagraph"/>
        <w:numPr>
          <w:ilvl w:val="0"/>
          <w:numId w:val="4"/>
        </w:numPr>
        <w:spacing w:after="40"/>
      </w:pPr>
      <w:r>
        <w:t xml:space="preserve">Howard M. Writing Secure Code / M. Howard, D. LeBlanc. – 2nd ed. – Microsoft Press, 2003. – 768 p.</w:t>
      </w:r>
    </w:p>
    <w:p>
      <w:pPr>
        <w:pStyle w:val="ListParagraph"/>
        <w:numPr>
          <w:ilvl w:val="0"/>
          <w:numId w:val="4"/>
        </w:numPr>
        <w:spacing w:after="40"/>
      </w:pPr>
      <w:r>
        <w:t xml:space="preserve">Saltzer J. H. The Protection of Information in Computer Systems / J. H. Saltzer, M. D. Schroeder // Proceedings of the IEEE. – 1975. – Vol. 63, № 9. – P. 1278–1308.</w:t>
      </w:r>
    </w:p>
    <w:p>
      <w:pPr>
        <w:pStyle w:val="ListParagraph"/>
        <w:numPr>
          <w:ilvl w:val="0"/>
          <w:numId w:val="4"/>
        </w:numPr>
        <w:spacing w:after="40"/>
      </w:pPr>
      <w:r>
        <w:t xml:space="preserve">Bell D. E. Secure Computer Systems: Mathematical Foundations and Model / D. E. Bell, L. J. LaPadula. – MITRE Corp., 1973. – Report M74-244.</w:t>
      </w:r>
    </w:p>
    <w:p>
      <w:pPr>
        <w:pStyle w:val="ListParagraph"/>
        <w:numPr>
          <w:ilvl w:val="0"/>
          <w:numId w:val="4"/>
        </w:numPr>
        <w:spacing w:after="40"/>
      </w:pPr>
      <w:r>
        <w:t xml:space="preserve">RFC 8446. The Transport Layer Security (TLS) Protocol Version 1.3 [Електронний ресурс] / IETF. – Режим доступу: https://www.rfc-editor.org/rfc/rfc8446</w:t>
      </w:r>
    </w:p>
    <w:p>
      <w:pPr>
        <w:spacing w:before="80"/>
        <w:ind w:firstLine="708"/>
      </w:pPr>
      <w:r>
        <w:t xml:space="preserve">Стандарти й нормативні документи (позиції 9–12) опрацьовуються оглядово — у частині, що стосується конкретної теми. Монографії (позиції 13–17) є факультативними й рекомендуються для підготовки розрахунково-графічної роботи та дипломного проєктування.</w:t>
      </w:r>
    </w:p>
    <w:p>
      <w:r>
        <w:br w:type="page"/>
      </w:r>
    </w:p>
    <w:p>
      <w:pPr>
        <w:pStyle w:val="Heading1"/>
      </w:pPr>
      <w:r>
        <w:t xml:space="preserve">Навчальний контент</w:t>
      </w:r>
    </w:p>
    <w:p>
      <w:pPr>
        <w:pStyle w:val="Heading2"/>
      </w:pPr>
      <w:r>
        <w:t xml:space="preserve">5. Методика опанування навчальної дисципліни (освітнього компонента)</w:t>
      </w:r>
    </w:p>
    <w:p>
      <w:pPr>
        <w:spacing w:after="80"/>
        <w:ind w:firstLine="708"/>
      </w:pPr>
      <w:r>
        <w:t xml:space="preserve">Дисципліна вивчається протягом одного семестру. Лекційні заняття проводяться щотижня (2 год), лабораторні — відповідно до розкладу. Кожна лекція супроводжується презентацією та переліком контрольних запитань для самоперевірки; матеріал для самостійного опрацювання зазначено у Частині 1 навчального посібника.</w:t>
      </w:r>
    </w:p>
    <w:p>
      <w:pPr>
        <w:spacing w:after="60" w:before="160"/>
      </w:pPr>
      <w:r>
        <w:rPr>
          <w:b/>
          <w:bCs/>
        </w:rPr>
        <w:t xml:space="preserve">Календарний план лекційних занять</w:t>
      </w:r>
    </w:p>
    <w:tbl>
      <w:tblPr>
        <w:tblW w:type="dxa" w:w="9919"/>
        <w:tblBorders>
          <w:top w:val="single" w:color="auto" w:sz="4"/>
          <w:left w:val="single" w:color="auto" w:sz="4"/>
          <w:bottom w:val="single" w:color="auto" w:sz="4"/>
          <w:right w:val="single" w:color="auto" w:sz="4"/>
          <w:insideH w:val="single" w:color="auto" w:sz="4"/>
          <w:insideV w:val="single" w:color="auto" w:sz="4"/>
        </w:tblBorders>
      </w:tblPr>
      <w:tblGrid>
        <w:gridCol w:w="907"/>
        <w:gridCol w:w="1303"/>
        <w:gridCol w:w="6292"/>
        <w:gridCol w:w="1417"/>
      </w:tblGrid>
      <w:tr>
        <w:trPr>
          <w:cantSplit/>
          <w:tblHeader/>
        </w:trPr>
        <w:tc>
          <w:tcPr>
            <w:tcW w:type="dxa" w:w="907"/>
            <w:tcBorders>
              <w:top w:val="single" w:color="000000" w:sz="4"/>
              <w:left w:val="single" w:color="000000" w:sz="4"/>
              <w:bottom w:val="single" w:color="000000" w:sz="4"/>
              <w:right w:val="single" w:color="000000" w:sz="4"/>
            </w:tcBorders>
            <w:shd w:fill="E8E8E8" w:color="auto" w:val="clear"/>
            <w:tcMar>
              <w:top w:type="dxa" w:w="40"/>
              <w:left w:type="dxa" w:w="80"/>
              <w:bottom w:type="dxa" w:w="40"/>
              <w:right w:type="dxa" w:w="80"/>
            </w:tcMar>
          </w:tcPr>
          <w:p>
            <w:pPr>
              <w:pStyle w:val="TableHead"/>
            </w:pPr>
            <w:r>
              <w:t xml:space="preserve">Тиж.</w:t>
            </w:r>
          </w:p>
        </w:tc>
        <w:tc>
          <w:tcPr>
            <w:tcW w:type="dxa" w:w="1303"/>
            <w:tcBorders>
              <w:top w:val="single" w:color="000000" w:sz="4"/>
              <w:left w:val="single" w:color="000000" w:sz="4"/>
              <w:bottom w:val="single" w:color="000000" w:sz="4"/>
              <w:right w:val="single" w:color="000000" w:sz="4"/>
            </w:tcBorders>
            <w:shd w:fill="E8E8E8" w:color="auto" w:val="clear"/>
            <w:tcMar>
              <w:top w:type="dxa" w:w="40"/>
              <w:left w:type="dxa" w:w="80"/>
              <w:bottom w:type="dxa" w:w="40"/>
              <w:right w:type="dxa" w:w="80"/>
            </w:tcMar>
          </w:tcPr>
          <w:p>
            <w:pPr>
              <w:pStyle w:val="TableHead"/>
            </w:pPr>
            <w:r>
              <w:t xml:space="preserve">№ лекції</w:t>
            </w:r>
          </w:p>
        </w:tc>
        <w:tc>
          <w:tcPr>
            <w:tcW w:type="dxa" w:w="6292"/>
            <w:tcBorders>
              <w:top w:val="single" w:color="000000" w:sz="4"/>
              <w:left w:val="single" w:color="000000" w:sz="4"/>
              <w:bottom w:val="single" w:color="000000" w:sz="4"/>
              <w:right w:val="single" w:color="000000" w:sz="4"/>
            </w:tcBorders>
            <w:shd w:fill="E8E8E8" w:color="auto" w:val="clear"/>
            <w:tcMar>
              <w:top w:type="dxa" w:w="40"/>
              <w:left w:type="dxa" w:w="80"/>
              <w:bottom w:type="dxa" w:w="40"/>
              <w:right w:type="dxa" w:w="80"/>
            </w:tcMar>
          </w:tcPr>
          <w:p>
            <w:pPr>
              <w:pStyle w:val="TableHead"/>
            </w:pPr>
            <w:r>
              <w:t xml:space="preserve">Тема заняття</w:t>
            </w:r>
          </w:p>
        </w:tc>
        <w:tc>
          <w:tcPr>
            <w:tcW w:type="dxa" w:w="1417"/>
            <w:tcBorders>
              <w:top w:val="single" w:color="000000" w:sz="4"/>
              <w:left w:val="single" w:color="000000" w:sz="4"/>
              <w:bottom w:val="single" w:color="000000" w:sz="4"/>
              <w:right w:val="single" w:color="000000" w:sz="4"/>
            </w:tcBorders>
            <w:shd w:fill="E8E8E8" w:color="auto" w:val="clear"/>
            <w:tcMar>
              <w:top w:type="dxa" w:w="40"/>
              <w:left w:type="dxa" w:w="80"/>
              <w:bottom w:type="dxa" w:w="40"/>
              <w:right w:type="dxa" w:w="80"/>
            </w:tcMar>
          </w:tcPr>
          <w:p>
            <w:pPr>
              <w:pStyle w:val="TableHead"/>
            </w:pPr>
            <w:r>
              <w:t xml:space="preserve">Годин</w:t>
            </w:r>
          </w:p>
        </w:tc>
      </w:tr>
      <w:tr>
        <w:trPr>
          <w:cantSplit/>
          <w:tblHeader w:val="false"/>
        </w:trPr>
        <w:tc>
          <w:tcPr>
            <w:tcW w:type="dxa" w:w="907"/>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jc w:val="center"/>
            </w:pPr>
            <w:r>
              <w:rPr>
                <w:b w:val="false"/>
                <w:bCs w:val="false"/>
              </w:rPr>
              <w:t xml:space="preserve">1</w:t>
            </w:r>
          </w:p>
        </w:tc>
        <w:tc>
          <w:tcPr>
            <w:tcW w:type="dxa" w:w="1303"/>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jc w:val="center"/>
            </w:pPr>
            <w:r>
              <w:rPr>
                <w:b w:val="false"/>
                <w:bCs w:val="false"/>
              </w:rPr>
              <w:t xml:space="preserve">1</w:t>
            </w:r>
          </w:p>
        </w:tc>
        <w:tc>
          <w:tcPr>
            <w:tcW w:type="dxa" w:w="6292"/>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Безпека програмного забезпечення як інженерна дисципліна</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jc w:val="center"/>
            </w:pPr>
            <w:r>
              <w:rPr>
                <w:b w:val="false"/>
                <w:bCs w:val="false"/>
              </w:rPr>
              <w:t xml:space="preserve">2</w:t>
            </w:r>
          </w:p>
        </w:tc>
      </w:tr>
      <w:tr>
        <w:trPr>
          <w:cantSplit/>
          <w:tblHeader w:val="false"/>
        </w:trPr>
        <w:tc>
          <w:tcPr>
            <w:tcW w:type="dxa" w:w="907"/>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jc w:val="center"/>
            </w:pPr>
            <w:r>
              <w:rPr>
                <w:b w:val="false"/>
                <w:bCs w:val="false"/>
              </w:rPr>
              <w:t xml:space="preserve">2</w:t>
            </w:r>
          </w:p>
        </w:tc>
        <w:tc>
          <w:tcPr>
            <w:tcW w:type="dxa" w:w="1303"/>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jc w:val="center"/>
            </w:pPr>
            <w:r>
              <w:rPr>
                <w:b w:val="false"/>
                <w:bCs w:val="false"/>
              </w:rPr>
              <w:t xml:space="preserve">2</w:t>
            </w:r>
          </w:p>
        </w:tc>
        <w:tc>
          <w:tcPr>
            <w:tcW w:type="dxa" w:w="6292"/>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Загрози, вразливості та модель порушника</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jc w:val="center"/>
            </w:pPr>
            <w:r>
              <w:rPr>
                <w:b w:val="false"/>
                <w:bCs w:val="false"/>
              </w:rPr>
              <w:t xml:space="preserve">2</w:t>
            </w:r>
          </w:p>
        </w:tc>
      </w:tr>
      <w:tr>
        <w:trPr>
          <w:cantSplit/>
          <w:tblHeader w:val="false"/>
        </w:trPr>
        <w:tc>
          <w:tcPr>
            <w:tcW w:type="dxa" w:w="907"/>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jc w:val="center"/>
            </w:pPr>
            <w:r>
              <w:rPr>
                <w:b w:val="false"/>
                <w:bCs w:val="false"/>
              </w:rPr>
              <w:t xml:space="preserve">3</w:t>
            </w:r>
          </w:p>
        </w:tc>
        <w:tc>
          <w:tcPr>
            <w:tcW w:type="dxa" w:w="1303"/>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jc w:val="center"/>
            </w:pPr>
            <w:r>
              <w:rPr>
                <w:b w:val="false"/>
                <w:bCs w:val="false"/>
              </w:rPr>
              <w:t xml:space="preserve">3</w:t>
            </w:r>
          </w:p>
        </w:tc>
        <w:tc>
          <w:tcPr>
            <w:tcW w:type="dxa" w:w="6292"/>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Моделювання загроз програмної системи</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jc w:val="center"/>
            </w:pPr>
            <w:r>
              <w:rPr>
                <w:b w:val="false"/>
                <w:bCs w:val="false"/>
              </w:rPr>
              <w:t xml:space="preserve">2</w:t>
            </w:r>
          </w:p>
        </w:tc>
      </w:tr>
      <w:tr>
        <w:trPr>
          <w:cantSplit/>
          <w:tblHeader w:val="false"/>
        </w:trPr>
        <w:tc>
          <w:tcPr>
            <w:tcW w:type="dxa" w:w="907"/>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jc w:val="center"/>
            </w:pPr>
            <w:r>
              <w:rPr>
                <w:b w:val="false"/>
                <w:bCs w:val="false"/>
              </w:rPr>
              <w:t xml:space="preserve">4</w:t>
            </w:r>
          </w:p>
        </w:tc>
        <w:tc>
          <w:tcPr>
            <w:tcW w:type="dxa" w:w="1303"/>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jc w:val="center"/>
            </w:pPr>
            <w:r>
              <w:rPr>
                <w:b w:val="false"/>
                <w:bCs w:val="false"/>
              </w:rPr>
              <w:t xml:space="preserve">4</w:t>
            </w:r>
          </w:p>
        </w:tc>
        <w:tc>
          <w:tcPr>
            <w:tcW w:type="dxa" w:w="6292"/>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Захищений життєвий цикл розробки програмного забезпечення</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jc w:val="center"/>
            </w:pPr>
            <w:r>
              <w:rPr>
                <w:b w:val="false"/>
                <w:bCs w:val="false"/>
              </w:rPr>
              <w:t xml:space="preserve">2</w:t>
            </w:r>
          </w:p>
        </w:tc>
      </w:tr>
      <w:tr>
        <w:trPr>
          <w:cantSplit/>
          <w:tblHeader w:val="false"/>
        </w:trPr>
        <w:tc>
          <w:tcPr>
            <w:tcW w:type="dxa" w:w="907"/>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jc w:val="center"/>
            </w:pPr>
            <w:r>
              <w:rPr>
                <w:b w:val="false"/>
                <w:bCs w:val="false"/>
              </w:rPr>
              <w:t xml:space="preserve">5</w:t>
            </w:r>
          </w:p>
        </w:tc>
        <w:tc>
          <w:tcPr>
            <w:tcW w:type="dxa" w:w="1303"/>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jc w:val="center"/>
            </w:pPr>
            <w:r>
              <w:rPr>
                <w:b w:val="false"/>
                <w:bCs w:val="false"/>
              </w:rPr>
              <w:t xml:space="preserve">5</w:t>
            </w:r>
          </w:p>
        </w:tc>
        <w:tc>
          <w:tcPr>
            <w:tcW w:type="dxa" w:w="6292"/>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Принципи безпечного проєктування програмних систем</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jc w:val="center"/>
            </w:pPr>
            <w:r>
              <w:rPr>
                <w:b w:val="false"/>
                <w:bCs w:val="false"/>
              </w:rPr>
              <w:t xml:space="preserve">2</w:t>
            </w:r>
          </w:p>
        </w:tc>
      </w:tr>
      <w:tr>
        <w:trPr>
          <w:cantSplit/>
          <w:tblHeader w:val="false"/>
        </w:trPr>
        <w:tc>
          <w:tcPr>
            <w:tcW w:type="dxa" w:w="907"/>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jc w:val="center"/>
            </w:pPr>
            <w:r>
              <w:rPr>
                <w:b w:val="false"/>
                <w:bCs w:val="false"/>
              </w:rPr>
              <w:t xml:space="preserve">6</w:t>
            </w:r>
          </w:p>
        </w:tc>
        <w:tc>
          <w:tcPr>
            <w:tcW w:type="dxa" w:w="1303"/>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jc w:val="center"/>
            </w:pPr>
            <w:r>
              <w:rPr>
                <w:b w:val="false"/>
                <w:bCs w:val="false"/>
              </w:rPr>
              <w:t xml:space="preserve">6</w:t>
            </w:r>
          </w:p>
        </w:tc>
        <w:tc>
          <w:tcPr>
            <w:tcW w:type="dxa" w:w="6292"/>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Формальні моделі розмежування доступу</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jc w:val="center"/>
            </w:pPr>
            <w:r>
              <w:rPr>
                <w:b w:val="false"/>
                <w:bCs w:val="false"/>
              </w:rPr>
              <w:t xml:space="preserve">2</w:t>
            </w:r>
          </w:p>
        </w:tc>
      </w:tr>
      <w:tr>
        <w:trPr>
          <w:cantSplit/>
          <w:tblHeader w:val="false"/>
        </w:trPr>
        <w:tc>
          <w:tcPr>
            <w:tcW w:type="dxa" w:w="907"/>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jc w:val="center"/>
            </w:pPr>
            <w:r>
              <w:rPr>
                <w:b w:val="false"/>
                <w:bCs w:val="false"/>
              </w:rPr>
              <w:t xml:space="preserve">7</w:t>
            </w:r>
          </w:p>
        </w:tc>
        <w:tc>
          <w:tcPr>
            <w:tcW w:type="dxa" w:w="1303"/>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jc w:val="center"/>
            </w:pPr>
            <w:r>
              <w:rPr>
                <w:b w:val="false"/>
                <w:bCs w:val="false"/>
              </w:rPr>
              <w:t xml:space="preserve">7</w:t>
            </w:r>
          </w:p>
        </w:tc>
        <w:tc>
          <w:tcPr>
            <w:tcW w:type="dxa" w:w="6292"/>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Реалізація розмежування доступу та моніторинг безпеки</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jc w:val="center"/>
            </w:pPr>
            <w:r>
              <w:rPr>
                <w:b w:val="false"/>
                <w:bCs w:val="false"/>
              </w:rPr>
              <w:t xml:space="preserve">2</w:t>
            </w:r>
          </w:p>
        </w:tc>
      </w:tr>
      <w:tr>
        <w:trPr>
          <w:cantSplit/>
          <w:tblHeader w:val="false"/>
        </w:trPr>
        <w:tc>
          <w:tcPr>
            <w:tcW w:type="dxa" w:w="907"/>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jc w:val="center"/>
            </w:pPr>
            <w:r>
              <w:rPr>
                <w:b w:val="false"/>
                <w:bCs w:val="false"/>
              </w:rPr>
              <w:t xml:space="preserve">8</w:t>
            </w:r>
          </w:p>
        </w:tc>
        <w:tc>
          <w:tcPr>
            <w:tcW w:type="dxa" w:w="1303"/>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jc w:val="center"/>
            </w:pPr>
            <w:r>
              <w:rPr>
                <w:b w:val="false"/>
                <w:bCs w:val="false"/>
              </w:rPr>
              <w:t xml:space="preserve">8</w:t>
            </w:r>
          </w:p>
        </w:tc>
        <w:tc>
          <w:tcPr>
            <w:tcW w:type="dxa" w:w="6292"/>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Парольні системи та багатофакторна автентифікація</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jc w:val="center"/>
            </w:pPr>
            <w:r>
              <w:rPr>
                <w:b w:val="false"/>
                <w:bCs w:val="false"/>
              </w:rPr>
              <w:t xml:space="preserve">2</w:t>
            </w:r>
          </w:p>
        </w:tc>
      </w:tr>
      <w:tr>
        <w:trPr>
          <w:cantSplit/>
          <w:tblHeader w:val="false"/>
        </w:trPr>
        <w:tc>
          <w:tcPr>
            <w:tcW w:type="dxa" w:w="907"/>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jc w:val="center"/>
            </w:pPr>
            <w:r>
              <w:rPr>
                <w:b w:val="false"/>
                <w:bCs w:val="false"/>
              </w:rPr>
              <w:t xml:space="preserve">9</w:t>
            </w:r>
          </w:p>
        </w:tc>
        <w:tc>
          <w:tcPr>
            <w:tcW w:type="dxa" w:w="1303"/>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jc w:val="center"/>
            </w:pPr>
            <w:r>
              <w:rPr>
                <w:b w:val="false"/>
                <w:bCs w:val="false"/>
              </w:rPr>
              <w:t xml:space="preserve">9</w:t>
            </w:r>
          </w:p>
        </w:tc>
        <w:tc>
          <w:tcPr>
            <w:tcW w:type="dxa" w:w="6292"/>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Автентифікація та авторизація в розподілених застосунках</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jc w:val="center"/>
            </w:pPr>
            <w:r>
              <w:rPr>
                <w:b w:val="false"/>
                <w:bCs w:val="false"/>
              </w:rPr>
              <w:t xml:space="preserve">2</w:t>
            </w:r>
          </w:p>
        </w:tc>
      </w:tr>
      <w:tr>
        <w:trPr>
          <w:cantSplit/>
          <w:tblHeader w:val="false"/>
        </w:trPr>
        <w:tc>
          <w:tcPr>
            <w:tcW w:type="dxa" w:w="907"/>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jc w:val="center"/>
            </w:pPr>
            <w:r>
              <w:rPr>
                <w:b w:val="false"/>
                <w:bCs w:val="false"/>
              </w:rPr>
              <w:t xml:space="preserve">10</w:t>
            </w:r>
          </w:p>
        </w:tc>
        <w:tc>
          <w:tcPr>
            <w:tcW w:type="dxa" w:w="1303"/>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jc w:val="center"/>
            </w:pPr>
            <w:r>
              <w:rPr>
                <w:b w:val="false"/>
                <w:bCs w:val="false"/>
              </w:rPr>
              <w:t xml:space="preserve">10</w:t>
            </w:r>
          </w:p>
        </w:tc>
        <w:tc>
          <w:tcPr>
            <w:tcW w:type="dxa" w:w="6292"/>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Симетрична криптографія та контроль цілісності</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jc w:val="center"/>
            </w:pPr>
            <w:r>
              <w:rPr>
                <w:b w:val="false"/>
                <w:bCs w:val="false"/>
              </w:rPr>
              <w:t xml:space="preserve">2</w:t>
            </w:r>
          </w:p>
        </w:tc>
      </w:tr>
      <w:tr>
        <w:trPr>
          <w:cantSplit/>
          <w:tblHeader w:val="false"/>
        </w:trPr>
        <w:tc>
          <w:tcPr>
            <w:tcW w:type="dxa" w:w="907"/>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jc w:val="center"/>
            </w:pPr>
            <w:r>
              <w:rPr>
                <w:b w:val="false"/>
                <w:bCs w:val="false"/>
              </w:rPr>
              <w:t xml:space="preserve">11</w:t>
            </w:r>
          </w:p>
        </w:tc>
        <w:tc>
          <w:tcPr>
            <w:tcW w:type="dxa" w:w="1303"/>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jc w:val="center"/>
            </w:pPr>
            <w:r>
              <w:rPr>
                <w:b w:val="false"/>
                <w:bCs w:val="false"/>
              </w:rPr>
              <w:t xml:space="preserve">11</w:t>
            </w:r>
          </w:p>
        </w:tc>
        <w:tc>
          <w:tcPr>
            <w:tcW w:type="dxa" w:w="6292"/>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Асиметрична криптографія, електронний підпис та PKI</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jc w:val="center"/>
            </w:pPr>
            <w:r>
              <w:rPr>
                <w:b w:val="false"/>
                <w:bCs w:val="false"/>
              </w:rPr>
              <w:t xml:space="preserve">2</w:t>
            </w:r>
          </w:p>
        </w:tc>
      </w:tr>
      <w:tr>
        <w:trPr>
          <w:cantSplit/>
          <w:tblHeader w:val="false"/>
        </w:trPr>
        <w:tc>
          <w:tcPr>
            <w:tcW w:type="dxa" w:w="907"/>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jc w:val="center"/>
            </w:pPr>
            <w:r>
              <w:rPr>
                <w:b w:val="false"/>
                <w:bCs w:val="false"/>
              </w:rPr>
              <w:t xml:space="preserve">12</w:t>
            </w:r>
          </w:p>
        </w:tc>
        <w:tc>
          <w:tcPr>
            <w:tcW w:type="dxa" w:w="1303"/>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jc w:val="center"/>
            </w:pPr>
            <w:r>
              <w:rPr>
                <w:b w:val="false"/>
                <w:bCs w:val="false"/>
              </w:rPr>
              <w:t xml:space="preserve">12</w:t>
            </w:r>
          </w:p>
        </w:tc>
        <w:tc>
          <w:tcPr>
            <w:tcW w:type="dxa" w:w="6292"/>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Вразливості низького рівня та безпека пам’яті</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jc w:val="center"/>
            </w:pPr>
            <w:r>
              <w:rPr>
                <w:b w:val="false"/>
                <w:bCs w:val="false"/>
              </w:rPr>
              <w:t xml:space="preserve">2</w:t>
            </w:r>
          </w:p>
        </w:tc>
      </w:tr>
      <w:tr>
        <w:trPr>
          <w:cantSplit/>
          <w:tblHeader w:val="false"/>
        </w:trPr>
        <w:tc>
          <w:tcPr>
            <w:tcW w:type="dxa" w:w="907"/>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jc w:val="center"/>
            </w:pPr>
            <w:r>
              <w:rPr>
                <w:b w:val="false"/>
                <w:bCs w:val="false"/>
              </w:rPr>
              <w:t xml:space="preserve">13</w:t>
            </w:r>
          </w:p>
        </w:tc>
        <w:tc>
          <w:tcPr>
            <w:tcW w:type="dxa" w:w="1303"/>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jc w:val="center"/>
            </w:pPr>
            <w:r>
              <w:rPr>
                <w:b w:val="false"/>
                <w:bCs w:val="false"/>
              </w:rPr>
              <w:t xml:space="preserve">13</w:t>
            </w:r>
          </w:p>
        </w:tc>
        <w:tc>
          <w:tcPr>
            <w:tcW w:type="dxa" w:w="6292"/>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Вразливості програмних застосунків: OWASP Top 10</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jc w:val="center"/>
            </w:pPr>
            <w:r>
              <w:rPr>
                <w:b w:val="false"/>
                <w:bCs w:val="false"/>
              </w:rPr>
              <w:t xml:space="preserve">2</w:t>
            </w:r>
          </w:p>
        </w:tc>
      </w:tr>
      <w:tr>
        <w:trPr>
          <w:cantSplit/>
          <w:tblHeader w:val="false"/>
        </w:trPr>
        <w:tc>
          <w:tcPr>
            <w:tcW w:type="dxa" w:w="907"/>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jc w:val="center"/>
            </w:pPr>
            <w:r>
              <w:rPr>
                <w:b w:val="false"/>
                <w:bCs w:val="false"/>
              </w:rPr>
              <w:t xml:space="preserve">14</w:t>
            </w:r>
          </w:p>
        </w:tc>
        <w:tc>
          <w:tcPr>
            <w:tcW w:type="dxa" w:w="1303"/>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jc w:val="center"/>
            </w:pPr>
            <w:r>
              <w:rPr>
                <w:b w:val="false"/>
                <w:bCs w:val="false"/>
              </w:rPr>
              <w:t xml:space="preserve">14</w:t>
            </w:r>
          </w:p>
        </w:tc>
        <w:tc>
          <w:tcPr>
            <w:tcW w:type="dxa" w:w="6292"/>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Аналіз захищеності та захист програм від дослідження</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jc w:val="center"/>
            </w:pPr>
            <w:r>
              <w:rPr>
                <w:b w:val="false"/>
                <w:bCs w:val="false"/>
              </w:rPr>
              <w:t xml:space="preserve">2</w:t>
            </w:r>
          </w:p>
        </w:tc>
      </w:tr>
      <w:tr>
        <w:trPr>
          <w:cantSplit/>
          <w:tblHeader w:val="false"/>
        </w:trPr>
        <w:tc>
          <w:tcPr>
            <w:tcW w:type="dxa" w:w="907"/>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jc w:val="center"/>
            </w:pPr>
            <w:r>
              <w:rPr>
                <w:b w:val="false"/>
                <w:bCs w:val="false"/>
              </w:rPr>
              <w:t xml:space="preserve">15</w:t>
            </w:r>
          </w:p>
        </w:tc>
        <w:tc>
          <w:tcPr>
            <w:tcW w:type="dxa" w:w="1303"/>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jc w:val="center"/>
            </w:pPr>
            <w:r>
              <w:rPr>
                <w:b w:val="false"/>
                <w:bCs w:val="false"/>
              </w:rPr>
              <w:t xml:space="preserve">15</w:t>
            </w:r>
          </w:p>
        </w:tc>
        <w:tc>
          <w:tcPr>
            <w:tcW w:type="dxa" w:w="6292"/>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DevSecOps та безпека ланцюга постачання програмного забезпечення</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jc w:val="center"/>
            </w:pPr>
            <w:r>
              <w:rPr>
                <w:b w:val="false"/>
                <w:bCs w:val="false"/>
              </w:rPr>
              <w:t xml:space="preserve">2</w:t>
            </w:r>
          </w:p>
        </w:tc>
      </w:tr>
    </w:tbl>
    <w:p>
      <w:pPr>
        <w:spacing w:after="60" w:before="200"/>
      </w:pPr>
      <w:r>
        <w:rPr>
          <w:b/>
          <w:bCs/>
        </w:rPr>
        <w:t xml:space="preserve">Календарний план лабораторних занять</w:t>
      </w:r>
    </w:p>
    <w:tbl>
      <w:tblPr>
        <w:tblW w:type="dxa" w:w="9919"/>
        <w:tblBorders>
          <w:top w:val="single" w:color="auto" w:sz="4"/>
          <w:left w:val="single" w:color="auto" w:sz="4"/>
          <w:bottom w:val="single" w:color="auto" w:sz="4"/>
          <w:right w:val="single" w:color="auto" w:sz="4"/>
          <w:insideH w:val="single" w:color="auto" w:sz="4"/>
          <w:insideV w:val="single" w:color="auto" w:sz="4"/>
        </w:tblBorders>
      </w:tblPr>
      <w:tblGrid>
        <w:gridCol w:w="793"/>
        <w:gridCol w:w="6292"/>
        <w:gridCol w:w="1417"/>
        <w:gridCol w:w="1417"/>
      </w:tblGrid>
      <w:tr>
        <w:trPr>
          <w:cantSplit/>
          <w:tblHeader/>
        </w:trPr>
        <w:tc>
          <w:tcPr>
            <w:tcW w:type="dxa" w:w="793"/>
            <w:tcBorders>
              <w:top w:val="single" w:color="000000" w:sz="4"/>
              <w:left w:val="single" w:color="000000" w:sz="4"/>
              <w:bottom w:val="single" w:color="000000" w:sz="4"/>
              <w:right w:val="single" w:color="000000" w:sz="4"/>
            </w:tcBorders>
            <w:shd w:fill="E8E8E8" w:color="auto" w:val="clear"/>
            <w:tcMar>
              <w:top w:type="dxa" w:w="40"/>
              <w:left w:type="dxa" w:w="80"/>
              <w:bottom w:type="dxa" w:w="40"/>
              <w:right w:type="dxa" w:w="80"/>
            </w:tcMar>
          </w:tcPr>
          <w:p>
            <w:pPr>
              <w:pStyle w:val="TableHead"/>
            </w:pPr>
            <w:r>
              <w:t xml:space="preserve">№</w:t>
            </w:r>
          </w:p>
        </w:tc>
        <w:tc>
          <w:tcPr>
            <w:tcW w:type="dxa" w:w="6292"/>
            <w:tcBorders>
              <w:top w:val="single" w:color="000000" w:sz="4"/>
              <w:left w:val="single" w:color="000000" w:sz="4"/>
              <w:bottom w:val="single" w:color="000000" w:sz="4"/>
              <w:right w:val="single" w:color="000000" w:sz="4"/>
            </w:tcBorders>
            <w:shd w:fill="E8E8E8" w:color="auto" w:val="clear"/>
            <w:tcMar>
              <w:top w:type="dxa" w:w="40"/>
              <w:left w:type="dxa" w:w="80"/>
              <w:bottom w:type="dxa" w:w="40"/>
              <w:right w:type="dxa" w:w="80"/>
            </w:tcMar>
          </w:tcPr>
          <w:p>
            <w:pPr>
              <w:pStyle w:val="TableHead"/>
            </w:pPr>
            <w:r>
              <w:t xml:space="preserve">Тема лабораторної роботи</w:t>
            </w:r>
          </w:p>
        </w:tc>
        <w:tc>
          <w:tcPr>
            <w:tcW w:type="dxa" w:w="1417"/>
            <w:tcBorders>
              <w:top w:val="single" w:color="000000" w:sz="4"/>
              <w:left w:val="single" w:color="000000" w:sz="4"/>
              <w:bottom w:val="single" w:color="000000" w:sz="4"/>
              <w:right w:val="single" w:color="000000" w:sz="4"/>
            </w:tcBorders>
            <w:shd w:fill="E8E8E8" w:color="auto" w:val="clear"/>
            <w:tcMar>
              <w:top w:type="dxa" w:w="40"/>
              <w:left w:type="dxa" w:w="80"/>
              <w:bottom w:type="dxa" w:w="40"/>
              <w:right w:type="dxa" w:w="80"/>
            </w:tcMar>
          </w:tcPr>
          <w:p>
            <w:pPr>
              <w:pStyle w:val="TableHead"/>
            </w:pPr>
            <w:r>
              <w:t xml:space="preserve">Тиждень</w:t>
            </w:r>
          </w:p>
        </w:tc>
        <w:tc>
          <w:tcPr>
            <w:tcW w:type="dxa" w:w="1417"/>
            <w:tcBorders>
              <w:top w:val="single" w:color="000000" w:sz="4"/>
              <w:left w:val="single" w:color="000000" w:sz="4"/>
              <w:bottom w:val="single" w:color="000000" w:sz="4"/>
              <w:right w:val="single" w:color="000000" w:sz="4"/>
            </w:tcBorders>
            <w:shd w:fill="E8E8E8" w:color="auto" w:val="clear"/>
            <w:tcMar>
              <w:top w:type="dxa" w:w="40"/>
              <w:left w:type="dxa" w:w="80"/>
              <w:bottom w:type="dxa" w:w="40"/>
              <w:right w:type="dxa" w:w="80"/>
            </w:tcMar>
          </w:tcPr>
          <w:p>
            <w:pPr>
              <w:pStyle w:val="TableHead"/>
            </w:pPr>
            <w:r>
              <w:t xml:space="preserve">Годин</w:t>
            </w:r>
          </w:p>
        </w:tc>
      </w:tr>
      <w:tr>
        <w:trPr>
          <w:cantSplit/>
          <w:tblHeader w:val="false"/>
        </w:trPr>
        <w:tc>
          <w:tcPr>
            <w:tcW w:type="dxa" w:w="793"/>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jc w:val="center"/>
            </w:pPr>
            <w:r>
              <w:rPr>
                <w:b w:val="false"/>
                <w:bCs w:val="false"/>
              </w:rPr>
              <w:t xml:space="preserve">1</w:t>
            </w:r>
          </w:p>
        </w:tc>
        <w:tc>
          <w:tcPr>
            <w:tcW w:type="dxa" w:w="6292"/>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Побудова моделі загроз програмного застосунку</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jc w:val="center"/>
            </w:pPr>
            <w:r>
              <w:rPr>
                <w:b w:val="false"/>
                <w:bCs w:val="false"/>
              </w:rPr>
              <w:t xml:space="preserve">2–3</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jc w:val="center"/>
            </w:pPr>
            <w:r>
              <w:rPr>
                <w:b w:val="false"/>
                <w:bCs w:val="false"/>
              </w:rPr>
              <w:t xml:space="preserve">4</w:t>
            </w:r>
          </w:p>
        </w:tc>
      </w:tr>
      <w:tr>
        <w:trPr>
          <w:cantSplit/>
          <w:tblHeader w:val="false"/>
        </w:trPr>
        <w:tc>
          <w:tcPr>
            <w:tcW w:type="dxa" w:w="793"/>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jc w:val="center"/>
            </w:pPr>
            <w:r>
              <w:rPr>
                <w:b w:val="false"/>
                <w:bCs w:val="false"/>
              </w:rPr>
              <w:t xml:space="preserve">2</w:t>
            </w:r>
          </w:p>
        </w:tc>
        <w:tc>
          <w:tcPr>
            <w:tcW w:type="dxa" w:w="6292"/>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Розроблення підсистеми розмежування доступу</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jc w:val="center"/>
            </w:pPr>
            <w:r>
              <w:rPr>
                <w:b w:val="false"/>
                <w:bCs w:val="false"/>
              </w:rPr>
              <w:t xml:space="preserve">4–6</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jc w:val="center"/>
            </w:pPr>
            <w:r>
              <w:rPr>
                <w:b w:val="false"/>
                <w:bCs w:val="false"/>
              </w:rPr>
              <w:t xml:space="preserve">6</w:t>
            </w:r>
          </w:p>
        </w:tc>
      </w:tr>
      <w:tr>
        <w:trPr>
          <w:cantSplit/>
          <w:tblHeader w:val="false"/>
        </w:trPr>
        <w:tc>
          <w:tcPr>
            <w:tcW w:type="dxa" w:w="793"/>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jc w:val="center"/>
            </w:pPr>
            <w:r>
              <w:rPr>
                <w:b w:val="false"/>
                <w:bCs w:val="false"/>
              </w:rPr>
              <w:t xml:space="preserve">3</w:t>
            </w:r>
          </w:p>
        </w:tc>
        <w:tc>
          <w:tcPr>
            <w:tcW w:type="dxa" w:w="6292"/>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Розроблення підсистеми ідентифікації та автентифікації</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jc w:val="center"/>
            </w:pPr>
            <w:r>
              <w:rPr>
                <w:b w:val="false"/>
                <w:bCs w:val="false"/>
              </w:rPr>
              <w:t xml:space="preserve">7–9</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jc w:val="center"/>
            </w:pPr>
            <w:r>
              <w:rPr>
                <w:b w:val="false"/>
                <w:bCs w:val="false"/>
              </w:rPr>
              <w:t xml:space="preserve">6</w:t>
            </w:r>
          </w:p>
        </w:tc>
      </w:tr>
      <w:tr>
        <w:trPr>
          <w:cantSplit/>
          <w:tblHeader w:val="false"/>
        </w:trPr>
        <w:tc>
          <w:tcPr>
            <w:tcW w:type="dxa" w:w="793"/>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jc w:val="center"/>
            </w:pPr>
            <w:r>
              <w:rPr>
                <w:b w:val="false"/>
                <w:bCs w:val="false"/>
              </w:rPr>
              <w:t xml:space="preserve">4</w:t>
            </w:r>
          </w:p>
        </w:tc>
        <w:tc>
          <w:tcPr>
            <w:tcW w:type="dxa" w:w="6292"/>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Дослідження та реалізація криптографічних механізмів</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jc w:val="center"/>
            </w:pPr>
            <w:r>
              <w:rPr>
                <w:b w:val="false"/>
                <w:bCs w:val="false"/>
              </w:rPr>
              <w:t xml:space="preserve">10–12</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jc w:val="center"/>
            </w:pPr>
            <w:r>
              <w:rPr>
                <w:b w:val="false"/>
                <w:bCs w:val="false"/>
              </w:rPr>
              <w:t xml:space="preserve">6</w:t>
            </w:r>
          </w:p>
        </w:tc>
      </w:tr>
      <w:tr>
        <w:trPr>
          <w:cantSplit/>
          <w:tblHeader w:val="false"/>
        </w:trPr>
        <w:tc>
          <w:tcPr>
            <w:tcW w:type="dxa" w:w="793"/>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jc w:val="center"/>
            </w:pPr>
            <w:r>
              <w:rPr>
                <w:b w:val="false"/>
                <w:bCs w:val="false"/>
              </w:rPr>
              <w:t xml:space="preserve">5</w:t>
            </w:r>
          </w:p>
        </w:tc>
        <w:tc>
          <w:tcPr>
            <w:tcW w:type="dxa" w:w="6292"/>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Виявлення та усунення вразливостей за OWASP Top 10</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jc w:val="center"/>
            </w:pPr>
            <w:r>
              <w:rPr>
                <w:b w:val="false"/>
                <w:bCs w:val="false"/>
              </w:rPr>
              <w:t xml:space="preserve">13–15</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jc w:val="center"/>
            </w:pPr>
            <w:r>
              <w:rPr>
                <w:b w:val="false"/>
                <w:bCs w:val="false"/>
              </w:rPr>
              <w:t xml:space="preserve">6</w:t>
            </w:r>
          </w:p>
        </w:tc>
      </w:tr>
      <w:tr>
        <w:trPr>
          <w:cantSplit/>
          <w:tblHeader w:val="false"/>
        </w:trPr>
        <w:tc>
          <w:tcPr>
            <w:tcW w:type="dxa" w:w="793"/>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jc w:val="center"/>
            </w:pPr>
            <w:r>
              <w:rPr>
                <w:b w:val="false"/>
                <w:bCs w:val="false"/>
              </w:rPr>
              <w:t xml:space="preserve">6</w:t>
            </w:r>
          </w:p>
        </w:tc>
        <w:tc>
          <w:tcPr>
            <w:tcW w:type="dxa" w:w="6292"/>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Автоматизований контроль захищеності у конвеєрі CI/CD</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jc w:val="center"/>
            </w:pPr>
            <w:r>
              <w:rPr>
                <w:b w:val="false"/>
                <w:bCs w:val="false"/>
              </w:rPr>
              <w:t xml:space="preserve">16</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jc w:val="center"/>
            </w:pPr>
            <w:r>
              <w:rPr>
                <w:b w:val="false"/>
                <w:bCs w:val="false"/>
              </w:rPr>
              <w:t xml:space="preserve">2</w:t>
            </w:r>
          </w:p>
        </w:tc>
      </w:tr>
    </w:tbl>
    <w:p>
      <w:pPr>
        <w:spacing w:before="120"/>
        <w:ind w:firstLine="708"/>
      </w:pPr>
      <w:r>
        <w:t xml:space="preserve">Модульна контрольна робота МКР-1 проводиться на 9-му тижні за матеріалом розділів 1–4, МКР-2 — на 17-му тижні за матеріалом розділів 5–7. Розрахунково-графічна робота видається на 3-му тижні та захищається не пізніше 16-го тижня.</w:t>
      </w:r>
    </w:p>
    <w:p>
      <w:pPr>
        <w:pStyle w:val="Heading2"/>
      </w:pPr>
      <w:r>
        <w:t xml:space="preserve">6. Самостійна робота здобувача вищої освіти</w:t>
      </w:r>
    </w:p>
    <w:p>
      <w:pPr>
        <w:spacing w:after="80"/>
        <w:ind w:firstLine="708"/>
      </w:pPr>
      <w:r>
        <w:t xml:space="preserve">Загальний обсяг самостійної роботи — 60 год. Розподіл за видами робіт наведено в таблиці.</w:t>
      </w:r>
    </w:p>
    <w:tbl>
      <w:tblPr>
        <w:tblW w:type="dxa" w:w="9920"/>
        <w:tblBorders>
          <w:top w:val="single" w:color="auto" w:sz="4"/>
          <w:left w:val="single" w:color="auto" w:sz="4"/>
          <w:bottom w:val="single" w:color="auto" w:sz="4"/>
          <w:right w:val="single" w:color="auto" w:sz="4"/>
          <w:insideH w:val="single" w:color="auto" w:sz="4"/>
          <w:insideV w:val="single" w:color="auto" w:sz="4"/>
        </w:tblBorders>
      </w:tblPr>
      <w:tblGrid>
        <w:gridCol w:w="6803"/>
        <w:gridCol w:w="1417"/>
        <w:gridCol w:w="1700"/>
      </w:tblGrid>
      <w:tr>
        <w:trPr>
          <w:cantSplit/>
          <w:tblHeader/>
        </w:trPr>
        <w:tc>
          <w:tcPr>
            <w:tcW w:type="dxa" w:w="6803"/>
            <w:tcBorders>
              <w:top w:val="single" w:color="000000" w:sz="4"/>
              <w:left w:val="single" w:color="000000" w:sz="4"/>
              <w:bottom w:val="single" w:color="000000" w:sz="4"/>
              <w:right w:val="single" w:color="000000" w:sz="4"/>
            </w:tcBorders>
            <w:shd w:fill="E8E8E8" w:color="auto" w:val="clear"/>
            <w:tcMar>
              <w:top w:type="dxa" w:w="40"/>
              <w:left w:type="dxa" w:w="80"/>
              <w:bottom w:type="dxa" w:w="40"/>
              <w:right w:type="dxa" w:w="80"/>
            </w:tcMar>
          </w:tcPr>
          <w:p>
            <w:pPr>
              <w:pStyle w:val="TableHead"/>
            </w:pPr>
            <w:r>
              <w:t xml:space="preserve">Вид самостійної роботи</w:t>
            </w:r>
          </w:p>
        </w:tc>
        <w:tc>
          <w:tcPr>
            <w:tcW w:type="dxa" w:w="1417"/>
            <w:tcBorders>
              <w:top w:val="single" w:color="000000" w:sz="4"/>
              <w:left w:val="single" w:color="000000" w:sz="4"/>
              <w:bottom w:val="single" w:color="000000" w:sz="4"/>
              <w:right w:val="single" w:color="000000" w:sz="4"/>
            </w:tcBorders>
            <w:shd w:fill="E8E8E8" w:color="auto" w:val="clear"/>
            <w:tcMar>
              <w:top w:type="dxa" w:w="40"/>
              <w:left w:type="dxa" w:w="80"/>
              <w:bottom w:type="dxa" w:w="40"/>
              <w:right w:type="dxa" w:w="80"/>
            </w:tcMar>
          </w:tcPr>
          <w:p>
            <w:pPr>
              <w:pStyle w:val="TableHead"/>
            </w:pPr>
            <w:r>
              <w:t xml:space="preserve">Годин</w:t>
            </w:r>
          </w:p>
        </w:tc>
        <w:tc>
          <w:tcPr>
            <w:tcW w:type="dxa" w:w="1700"/>
            <w:tcBorders>
              <w:top w:val="single" w:color="000000" w:sz="4"/>
              <w:left w:val="single" w:color="000000" w:sz="4"/>
              <w:bottom w:val="single" w:color="000000" w:sz="4"/>
              <w:right w:val="single" w:color="000000" w:sz="4"/>
            </w:tcBorders>
            <w:shd w:fill="E8E8E8" w:color="auto" w:val="clear"/>
            <w:tcMar>
              <w:top w:type="dxa" w:w="40"/>
              <w:left w:type="dxa" w:w="80"/>
              <w:bottom w:type="dxa" w:w="40"/>
              <w:right w:type="dxa" w:w="80"/>
            </w:tcMar>
          </w:tcPr>
          <w:p>
            <w:pPr>
              <w:pStyle w:val="TableHead"/>
            </w:pPr>
            <w:r>
              <w:t xml:space="preserve">Термін</w:t>
            </w:r>
          </w:p>
        </w:tc>
      </w:tr>
      <w:tr>
        <w:trPr>
          <w:cantSplit/>
          <w:tblHeader w:val="false"/>
        </w:trPr>
        <w:tc>
          <w:tcPr>
            <w:tcW w:type="dxa" w:w="6803"/>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Підготовка до лекційних занять, опрацювання питань, винесених на самостійне вивчення</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15</w:t>
            </w:r>
          </w:p>
        </w:tc>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протягом семестру</w:t>
            </w:r>
          </w:p>
        </w:tc>
      </w:tr>
      <w:tr>
        <w:trPr>
          <w:cantSplit/>
          <w:tblHeader w:val="false"/>
        </w:trPr>
        <w:tc>
          <w:tcPr>
            <w:tcW w:type="dxa" w:w="6803"/>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Підготовка до лабораторних робіт, доопрацювання та оформлення звітів</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12</w:t>
            </w:r>
          </w:p>
        </w:tc>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протягом семестру</w:t>
            </w:r>
          </w:p>
        </w:tc>
      </w:tr>
      <w:tr>
        <w:trPr>
          <w:cantSplit/>
          <w:tblHeader w:val="false"/>
        </w:trPr>
        <w:tc>
          <w:tcPr>
            <w:tcW w:type="dxa" w:w="6803"/>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Виконання розрахунково-графічної роботи</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18</w:t>
            </w:r>
          </w:p>
        </w:tc>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3–16 тижні</w:t>
            </w:r>
          </w:p>
        </w:tc>
      </w:tr>
      <w:tr>
        <w:trPr>
          <w:cantSplit/>
          <w:tblHeader w:val="false"/>
        </w:trPr>
        <w:tc>
          <w:tcPr>
            <w:tcW w:type="dxa" w:w="6803"/>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Підготовка до модульних контрольних робіт</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5</w:t>
            </w:r>
          </w:p>
        </w:tc>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8-й і 16-й тижні</w:t>
            </w:r>
          </w:p>
        </w:tc>
      </w:tr>
      <w:tr>
        <w:trPr>
          <w:cantSplit/>
          <w:tblHeader w:val="false"/>
        </w:trPr>
        <w:tc>
          <w:tcPr>
            <w:tcW w:type="dxa" w:w="6803"/>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Підготовка до екзамену</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10</w:t>
            </w:r>
          </w:p>
        </w:tc>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сесія</w:t>
            </w:r>
          </w:p>
        </w:tc>
      </w:tr>
      <w:tr>
        <w:trPr>
          <w:cantSplit/>
          <w:tblHeader w:val="false"/>
        </w:trPr>
        <w:tc>
          <w:tcPr>
            <w:tcW w:type="dxa" w:w="6803"/>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rPr>
                <w:b/>
                <w:bCs/>
              </w:rPr>
              <w:t xml:space="preserve">Разом</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rPr>
                <w:b/>
                <w:bCs/>
              </w:rPr>
              <w:t xml:space="preserve">60</w:t>
            </w:r>
          </w:p>
        </w:tc>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
            </w:r>
          </w:p>
        </w:tc>
      </w:tr>
    </w:tbl>
    <w:p>
      <w:pPr>
        <w:spacing w:before="120"/>
        <w:ind w:firstLine="708"/>
      </w:pPr>
      <w:r>
        <w:t xml:space="preserve">Питання, винесені на самостійне опрацювання, наведено наприкінці кожної теми Частини 1 навчального посібника. Контроль самостійної роботи здійснюється під час захисту лабораторних робіт, виконання контрольних заходів та захисту розрахунково-графічної роботи.</w:t>
      </w:r>
    </w:p>
    <w:p>
      <w:r>
        <w:br w:type="page"/>
      </w:r>
    </w:p>
    <w:p>
      <w:pPr>
        <w:pStyle w:val="Heading1"/>
      </w:pPr>
      <w:r>
        <w:t xml:space="preserve">Політика та контроль</w:t>
      </w:r>
    </w:p>
    <w:p>
      <w:pPr>
        <w:pStyle w:val="Heading2"/>
      </w:pPr>
      <w:r>
        <w:t xml:space="preserve">7. Політика навчальної дисципліни (освітнього компонента)</w:t>
      </w:r>
    </w:p>
    <w:p>
      <w:pPr>
        <w:pStyle w:val="Heading3"/>
      </w:pPr>
      <w:r>
        <w:t xml:space="preserve">Відвідування занять та поведінка на заняттях</w:t>
      </w:r>
    </w:p>
    <w:p>
      <w:pPr>
        <w:spacing w:after="80"/>
        <w:ind w:firstLine="708"/>
      </w:pPr>
      <w:r>
        <w:t xml:space="preserve">Відвідування лекцій не є обов’язковим елементом оцінювання, проте матеріал лекцій є основою для виконання контрольних заходів. Відвідування лабораторних занять обов’язкове: захист лабораторної роботи можливий лише за умови її виконання у передбаченому середовищі. Пропущену з поважної причини лабораторну роботу здобувач виконує самостійно та захищає під час консультації.</w:t>
      </w:r>
    </w:p>
    <w:p>
      <w:pPr>
        <w:spacing w:after="80"/>
        <w:ind w:firstLine="708"/>
      </w:pPr>
      <w:r>
        <w:t xml:space="preserve">На заняттях заохочується активність: запитання, участь в обговоренні, короткі доповіді за темою. Використання ноутбуків і мобільних пристроїв для пошуку технічної інформації, роботи з документацією та середовищем курсу дозволено; використання їх для сторонньої діяльності — ні.</w:t>
      </w:r>
    </w:p>
    <w:p>
      <w:pPr>
        <w:pStyle w:val="Heading3"/>
      </w:pPr>
      <w:r>
        <w:t xml:space="preserve">Правила захисту лабораторних робіт та індивідуальних завдань</w:t>
      </w:r>
    </w:p>
    <w:p>
      <w:pPr>
        <w:spacing w:after="80"/>
        <w:ind w:firstLine="708"/>
      </w:pPr>
      <w:r>
        <w:t xml:space="preserve">Лабораторна робота вважається зарахованою після подання звіту та усного захисту. Під час захисту здобувач демонструє працездатність розробленого програмного забезпечення, пояснює прийняті рішення та відповідає на контрольні запитання за темою роботи. Звіт оформлюється відповідно до вимог, наведених у Частині 2 навчального посібника, і подається в електронному вигляді через платформу Campus KPI разом із посиланням на репозиторій із програмним кодом.</w:t>
      </w:r>
    </w:p>
    <w:p>
      <w:pPr>
        <w:spacing w:after="80"/>
        <w:ind w:firstLine="708"/>
      </w:pPr>
      <w:r>
        <w:t xml:space="preserve">Розрахунково-графічна робота захищається у формі короткої доповіді (до 7 хв) з демонстрацією ключових результатів аудиту та відповідями на запитання. Робота, що не містить самостійно підтверджених вразливостей і розроблених виправлень, до захисту не приймається.</w:t>
      </w:r>
    </w:p>
    <w:p>
      <w:pPr>
        <w:pStyle w:val="Heading3"/>
      </w:pPr>
      <w:r>
        <w:t xml:space="preserve">Політика дедлайнів та перескладань</w:t>
      </w:r>
    </w:p>
    <w:p>
      <w:pPr>
        <w:spacing w:after="80"/>
        <w:ind w:firstLine="708"/>
      </w:pPr>
      <w:r>
        <w:t xml:space="preserve">Для кожної лабораторної роботи встановлюється кінцевий термін подання звіту (два тижні від завершення відповідного циклу занять). За подання після встановленого терміну нараховуються штрафні бали: −1 бал за кожен повний тиждень запізнення, але не більше −2 балів за одну роботу. Роботи, подані після 17-го тижня семестру, не оцінюються, а здобувач не допускається до семестрового контролю.</w:t>
      </w:r>
    </w:p>
    <w:p>
      <w:pPr>
        <w:spacing w:after="80"/>
        <w:ind w:firstLine="708"/>
      </w:pPr>
      <w:r>
        <w:t xml:space="preserve">Пропущена з поважної причини модульна контрольна робота виконується під час консультації протягом двох тижнів після повернення до занять. Незадовільно виконану модульну контрольну роботу дозволяється переписати один раз; при цьому враховується результат повторного написання.</w:t>
      </w:r>
    </w:p>
    <w:p>
      <w:pPr>
        <w:pStyle w:val="Heading3"/>
      </w:pPr>
      <w:r>
        <w:t xml:space="preserve">Заохочувальні та штрафні бали</w:t>
      </w:r>
    </w:p>
    <w:tbl>
      <w:tblPr>
        <w:tblW w:type="dxa" w:w="9920"/>
        <w:tblBorders>
          <w:top w:val="single" w:color="auto" w:sz="4"/>
          <w:left w:val="single" w:color="auto" w:sz="4"/>
          <w:bottom w:val="single" w:color="auto" w:sz="4"/>
          <w:right w:val="single" w:color="auto" w:sz="4"/>
          <w:insideH w:val="single" w:color="auto" w:sz="4"/>
          <w:insideV w:val="single" w:color="auto" w:sz="4"/>
        </w:tblBorders>
      </w:tblPr>
      <w:tblGrid>
        <w:gridCol w:w="6803"/>
        <w:gridCol w:w="1417"/>
        <w:gridCol w:w="1700"/>
      </w:tblGrid>
      <w:tr>
        <w:trPr>
          <w:cantSplit/>
          <w:tblHeader/>
        </w:trPr>
        <w:tc>
          <w:tcPr>
            <w:tcW w:type="dxa" w:w="6803"/>
            <w:tcBorders>
              <w:top w:val="single" w:color="000000" w:sz="4"/>
              <w:left w:val="single" w:color="000000" w:sz="4"/>
              <w:bottom w:val="single" w:color="000000" w:sz="4"/>
              <w:right w:val="single" w:color="000000" w:sz="4"/>
            </w:tcBorders>
            <w:shd w:fill="E8E8E8" w:color="auto" w:val="clear"/>
            <w:tcMar>
              <w:top w:type="dxa" w:w="40"/>
              <w:left w:type="dxa" w:w="80"/>
              <w:bottom w:type="dxa" w:w="40"/>
              <w:right w:type="dxa" w:w="80"/>
            </w:tcMar>
          </w:tcPr>
          <w:p>
            <w:pPr>
              <w:pStyle w:val="TableHead"/>
            </w:pPr>
            <w:r>
              <w:t xml:space="preserve">Підстава</w:t>
            </w:r>
          </w:p>
        </w:tc>
        <w:tc>
          <w:tcPr>
            <w:tcW w:type="dxa" w:w="1417"/>
            <w:tcBorders>
              <w:top w:val="single" w:color="000000" w:sz="4"/>
              <w:left w:val="single" w:color="000000" w:sz="4"/>
              <w:bottom w:val="single" w:color="000000" w:sz="4"/>
              <w:right w:val="single" w:color="000000" w:sz="4"/>
            </w:tcBorders>
            <w:shd w:fill="E8E8E8" w:color="auto" w:val="clear"/>
            <w:tcMar>
              <w:top w:type="dxa" w:w="40"/>
              <w:left w:type="dxa" w:w="80"/>
              <w:bottom w:type="dxa" w:w="40"/>
              <w:right w:type="dxa" w:w="80"/>
            </w:tcMar>
          </w:tcPr>
          <w:p>
            <w:pPr>
              <w:pStyle w:val="TableHead"/>
            </w:pPr>
            <w:r>
              <w:t xml:space="preserve">Бали</w:t>
            </w:r>
          </w:p>
        </w:tc>
        <w:tc>
          <w:tcPr>
            <w:tcW w:type="dxa" w:w="1700"/>
            <w:tcBorders>
              <w:top w:val="single" w:color="000000" w:sz="4"/>
              <w:left w:val="single" w:color="000000" w:sz="4"/>
              <w:bottom w:val="single" w:color="000000" w:sz="4"/>
              <w:right w:val="single" w:color="000000" w:sz="4"/>
            </w:tcBorders>
            <w:shd w:fill="E8E8E8" w:color="auto" w:val="clear"/>
            <w:tcMar>
              <w:top w:type="dxa" w:w="40"/>
              <w:left w:type="dxa" w:w="80"/>
              <w:bottom w:type="dxa" w:w="40"/>
              <w:right w:type="dxa" w:w="80"/>
            </w:tcMar>
          </w:tcPr>
          <w:p>
            <w:pPr>
              <w:pStyle w:val="TableHead"/>
            </w:pPr>
            <w:r>
              <w:t xml:space="preserve">Тип</w:t>
            </w:r>
          </w:p>
        </w:tc>
      </w:tr>
      <w:tr>
        <w:trPr>
          <w:cantSplit/>
          <w:tblHeader w:val="false"/>
        </w:trPr>
        <w:tc>
          <w:tcPr>
            <w:tcW w:type="dxa" w:w="6803"/>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Доповідь на занятті за темою курсу з оглядом сучасного джерела</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+2</w:t>
            </w:r>
          </w:p>
        </w:tc>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заохочувальні</w:t>
            </w:r>
          </w:p>
        </w:tc>
      </w:tr>
      <w:tr>
        <w:trPr>
          <w:cantSplit/>
          <w:tblHeader w:val="false"/>
        </w:trPr>
        <w:tc>
          <w:tcPr>
            <w:tcW w:type="dxa" w:w="6803"/>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Розроблення додаткового навчального прикладу вразливості або тесту до середовища курсу</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+3</w:t>
            </w:r>
          </w:p>
        </w:tc>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заохочувальні</w:t>
            </w:r>
          </w:p>
        </w:tc>
      </w:tr>
      <w:tr>
        <w:trPr>
          <w:cantSplit/>
          <w:tblHeader w:val="false"/>
        </w:trPr>
        <w:tc>
          <w:tcPr>
            <w:tcW w:type="dxa" w:w="6803"/>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Призове місце у фаховій олімпіаді або CTF-змаганні за тематикою курсу</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+5</w:t>
            </w:r>
          </w:p>
        </w:tc>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заохочувальні</w:t>
            </w:r>
          </w:p>
        </w:tc>
      </w:tr>
      <w:tr>
        <w:trPr>
          <w:cantSplit/>
          <w:tblHeader w:val="false"/>
        </w:trPr>
        <w:tc>
          <w:tcPr>
            <w:tcW w:type="dxa" w:w="6803"/>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Виявлення реальної вразливості у відкритому програмному забезпеченні з дотриманням політики відповідального розкриття (підтверджене супровідником)</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+5</w:t>
            </w:r>
          </w:p>
        </w:tc>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заохочувальні</w:t>
            </w:r>
          </w:p>
        </w:tc>
      </w:tr>
      <w:tr>
        <w:trPr>
          <w:cantSplit/>
          <w:tblHeader w:val="false"/>
        </w:trPr>
        <w:tc>
          <w:tcPr>
            <w:tcW w:type="dxa" w:w="6803"/>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Запізнення з поданням звіту про лабораторну роботу (за кожен повний тиждень)</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−1</w:t>
            </w:r>
          </w:p>
        </w:tc>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штрафні</w:t>
            </w:r>
          </w:p>
        </w:tc>
      </w:tr>
      <w:tr>
        <w:trPr>
          <w:cantSplit/>
          <w:tblHeader w:val="false"/>
        </w:trPr>
        <w:tc>
          <w:tcPr>
            <w:tcW w:type="dxa" w:w="6803"/>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Порушення правил роботи в ізольованому середовищі курсу</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−5</w:t>
            </w:r>
          </w:p>
        </w:tc>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штрафні</w:t>
            </w:r>
          </w:p>
        </w:tc>
      </w:tr>
    </w:tbl>
    <w:p>
      <w:pPr>
        <w:spacing w:before="100"/>
        <w:ind w:firstLine="708"/>
      </w:pPr>
      <w:r>
        <w:t xml:space="preserve">Сумарна кількість заохочувальних балів не може перевищувати 10. Стартовий рейтинг із урахуванням заохочувальних балів не може перевищувати 60 балів.</w:t>
      </w:r>
    </w:p>
    <w:p>
      <w:pPr>
        <w:pStyle w:val="Heading3"/>
      </w:pPr>
      <w:r>
        <w:t xml:space="preserve">Політика академічної доброчесності</w:t>
      </w:r>
    </w:p>
    <w:p>
      <w:pPr>
        <w:spacing w:after="80"/>
        <w:ind w:firstLine="708"/>
      </w:pPr>
      <w:r>
        <w:t xml:space="preserve">Здобувачі керуються Кодексом честі КПІ ім. Ігоря Сікорського та Положенням про систему запобігання академічному плагіату в КПІ ім. Ігоря Сікорського. Звіти про лабораторні та розрахунково-графічну роботи мають бути виконані самостійно; запозичені фрагменти тексту, схем і програмного коду підлягають обов’язковому посиланню на джерело. Використання чужого програмного коду без зазначення авторства, а також подання роботи, виконаної іншою особою, є підставою для незарахування роботи.</w:t>
      </w:r>
    </w:p>
    <w:p>
      <w:pPr>
        <w:spacing w:after="80"/>
        <w:ind w:firstLine="708"/>
      </w:pPr>
      <w:r>
        <w:t xml:space="preserve">Використання генеративних інструментів штучного інтелекту дозволяється як допоміжний засіб (пояснення матеріалу, пошук документації, рефакторинг власного коду) за умови обов’язкового зазначення факту та обсягу такого використання у звіті. Здобувач несе повну відповідальність за коректність поданого результату та має бути здатним пояснити будь-який його фрагмент під час захисту.</w:t>
      </w:r>
    </w:p>
    <w:p>
      <w:pPr>
        <w:pStyle w:val="Heading3"/>
      </w:pPr>
      <w:r>
        <w:t xml:space="preserve">Етичні та правові застереження щодо практичної частини курсу</w:t>
      </w:r>
    </w:p>
    <w:p>
      <w:pPr>
        <w:spacing w:after="80"/>
        <w:ind w:firstLine="708"/>
      </w:pPr>
      <w:r>
        <w:t xml:space="preserve">Дисципліна передбачає вивчення технік виявлення та експлуатації вразливостей. Усі без винятку практичні роботи виконуються виключно у наданому ізольованому середовищі або на власних системах здобувача. Категорично забороняється застосовувати вивчені методи до інформаційних систем, вузлів мережі Університету та будь-яких сторонніх ресурсів без попереднього письмового дозволу їхнього власника.</w:t>
      </w:r>
    </w:p>
    <w:p>
      <w:pPr>
        <w:spacing w:after="80"/>
        <w:ind w:firstLine="708"/>
      </w:pPr>
      <w:r>
        <w:t xml:space="preserve">Несанкціоноване втручання в роботу інформаційних (автоматизованих), електронних комунікаційних, інформаційно-комунікаційних систем та електронних комунікаційних мереж є кримінальним правопорушенням відповідно до статей 361–363-1 Кримінального кодексу України. Порушення цієї вимоги є підставою для незарахування дисципліни та розгляду питання щодо відповідальності здобувача в установленому порядку.</w:t>
      </w:r>
    </w:p>
    <w:p>
      <w:pPr>
        <w:pStyle w:val="Heading2"/>
      </w:pPr>
      <w:r>
        <w:t xml:space="preserve">8. Види контролю та рейтингова система оцінювання результатів навчання (РСО)</w:t>
      </w:r>
    </w:p>
    <w:p>
      <w:pPr>
        <w:spacing w:after="80"/>
        <w:ind w:firstLine="708"/>
      </w:pPr>
      <w:r>
        <w:t xml:space="preserve">Рейтинг здобувача з дисципліни складається з балів, що він отримує за поточний контроль (стартовий рейтинг), та балів, отриманих на екзамені.</w:t>
      </w:r>
    </w:p>
    <w:p>
      <w:pPr>
        <w:spacing w:after="60" w:before="160"/>
      </w:pPr>
      <w:r>
        <w:rPr>
          <w:b/>
          <w:bCs/>
        </w:rPr>
        <w:t xml:space="preserve">Поточний контроль</w:t>
      </w:r>
    </w:p>
    <w:tbl>
      <w:tblPr>
        <w:tblW w:type="dxa" w:w="9920"/>
        <w:tblBorders>
          <w:top w:val="single" w:color="auto" w:sz="4"/>
          <w:left w:val="single" w:color="auto" w:sz="4"/>
          <w:bottom w:val="single" w:color="auto" w:sz="4"/>
          <w:right w:val="single" w:color="auto" w:sz="4"/>
          <w:insideH w:val="single" w:color="auto" w:sz="4"/>
          <w:insideV w:val="single" w:color="auto" w:sz="4"/>
        </w:tblBorders>
      </w:tblPr>
      <w:tblGrid>
        <w:gridCol w:w="5102"/>
        <w:gridCol w:w="1247"/>
        <w:gridCol w:w="1247"/>
        <w:gridCol w:w="2324"/>
      </w:tblGrid>
      <w:tr>
        <w:trPr>
          <w:cantSplit/>
          <w:tblHeader/>
        </w:trPr>
        <w:tc>
          <w:tcPr>
            <w:tcW w:type="dxa" w:w="5102"/>
            <w:tcBorders>
              <w:top w:val="single" w:color="000000" w:sz="4"/>
              <w:left w:val="single" w:color="000000" w:sz="4"/>
              <w:bottom w:val="single" w:color="000000" w:sz="4"/>
              <w:right w:val="single" w:color="000000" w:sz="4"/>
            </w:tcBorders>
            <w:shd w:fill="E8E8E8" w:color="auto" w:val="clear"/>
            <w:tcMar>
              <w:top w:type="dxa" w:w="40"/>
              <w:left w:type="dxa" w:w="80"/>
              <w:bottom w:type="dxa" w:w="40"/>
              <w:right w:type="dxa" w:w="80"/>
            </w:tcMar>
          </w:tcPr>
          <w:p>
            <w:pPr>
              <w:pStyle w:val="TableHead"/>
            </w:pPr>
            <w:r>
              <w:t xml:space="preserve">Складова контролю</w:t>
            </w:r>
          </w:p>
        </w:tc>
        <w:tc>
          <w:tcPr>
            <w:tcW w:type="dxa" w:w="1247"/>
            <w:tcBorders>
              <w:top w:val="single" w:color="000000" w:sz="4"/>
              <w:left w:val="single" w:color="000000" w:sz="4"/>
              <w:bottom w:val="single" w:color="000000" w:sz="4"/>
              <w:right w:val="single" w:color="000000" w:sz="4"/>
            </w:tcBorders>
            <w:shd w:fill="E8E8E8" w:color="auto" w:val="clear"/>
            <w:tcMar>
              <w:top w:type="dxa" w:w="40"/>
              <w:left w:type="dxa" w:w="80"/>
              <w:bottom w:type="dxa" w:w="40"/>
              <w:right w:type="dxa" w:w="80"/>
            </w:tcMar>
          </w:tcPr>
          <w:p>
            <w:pPr>
              <w:pStyle w:val="TableHead"/>
            </w:pPr>
            <w:r>
              <w:t xml:space="preserve">Кільк.</w:t>
            </w:r>
          </w:p>
        </w:tc>
        <w:tc>
          <w:tcPr>
            <w:tcW w:type="dxa" w:w="1247"/>
            <w:tcBorders>
              <w:top w:val="single" w:color="000000" w:sz="4"/>
              <w:left w:val="single" w:color="000000" w:sz="4"/>
              <w:bottom w:val="single" w:color="000000" w:sz="4"/>
              <w:right w:val="single" w:color="000000" w:sz="4"/>
            </w:tcBorders>
            <w:shd w:fill="E8E8E8" w:color="auto" w:val="clear"/>
            <w:tcMar>
              <w:top w:type="dxa" w:w="40"/>
              <w:left w:type="dxa" w:w="80"/>
              <w:bottom w:type="dxa" w:w="40"/>
              <w:right w:type="dxa" w:w="80"/>
            </w:tcMar>
          </w:tcPr>
          <w:p>
            <w:pPr>
              <w:pStyle w:val="TableHead"/>
            </w:pPr>
            <w:r>
              <w:t xml:space="preserve">Балів за од.</w:t>
            </w:r>
          </w:p>
        </w:tc>
        <w:tc>
          <w:tcPr>
            <w:tcW w:type="dxa" w:w="2324"/>
            <w:tcBorders>
              <w:top w:val="single" w:color="000000" w:sz="4"/>
              <w:left w:val="single" w:color="000000" w:sz="4"/>
              <w:bottom w:val="single" w:color="000000" w:sz="4"/>
              <w:right w:val="single" w:color="000000" w:sz="4"/>
            </w:tcBorders>
            <w:shd w:fill="E8E8E8" w:color="auto" w:val="clear"/>
            <w:tcMar>
              <w:top w:type="dxa" w:w="40"/>
              <w:left w:type="dxa" w:w="80"/>
              <w:bottom w:type="dxa" w:w="40"/>
              <w:right w:type="dxa" w:w="80"/>
            </w:tcMar>
          </w:tcPr>
          <w:p>
            <w:pPr>
              <w:pStyle w:val="TableHead"/>
            </w:pPr>
            <w:r>
              <w:t xml:space="preserve">Разом</w:t>
            </w:r>
          </w:p>
        </w:tc>
      </w:tr>
      <w:tr>
        <w:trPr>
          <w:cantSplit/>
          <w:tblHeader w:val="false"/>
        </w:trPr>
        <w:tc>
          <w:tcPr>
            <w:tcW w:type="dxa" w:w="5102"/>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Лабораторна робота (виконання та захист)</w:t>
            </w:r>
          </w:p>
        </w:tc>
        <w:tc>
          <w:tcPr>
            <w:tcW w:type="dxa" w:w="1247"/>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6</w:t>
            </w:r>
          </w:p>
        </w:tc>
        <w:tc>
          <w:tcPr>
            <w:tcW w:type="dxa" w:w="1247"/>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5</w:t>
            </w:r>
          </w:p>
        </w:tc>
        <w:tc>
          <w:tcPr>
            <w:tcW w:type="dxa" w:w="2324"/>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30</w:t>
            </w:r>
          </w:p>
        </w:tc>
      </w:tr>
      <w:tr>
        <w:trPr>
          <w:cantSplit/>
          <w:tblHeader w:val="false"/>
        </w:trPr>
        <w:tc>
          <w:tcPr>
            <w:tcW w:type="dxa" w:w="5102"/>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Модульна контрольна робота</w:t>
            </w:r>
          </w:p>
        </w:tc>
        <w:tc>
          <w:tcPr>
            <w:tcW w:type="dxa" w:w="1247"/>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2</w:t>
            </w:r>
          </w:p>
        </w:tc>
        <w:tc>
          <w:tcPr>
            <w:tcW w:type="dxa" w:w="1247"/>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8</w:t>
            </w:r>
          </w:p>
        </w:tc>
        <w:tc>
          <w:tcPr>
            <w:tcW w:type="dxa" w:w="2324"/>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16</w:t>
            </w:r>
          </w:p>
        </w:tc>
      </w:tr>
      <w:tr>
        <w:trPr>
          <w:cantSplit/>
          <w:tblHeader w:val="false"/>
        </w:trPr>
        <w:tc>
          <w:tcPr>
            <w:tcW w:type="dxa" w:w="5102"/>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Розрахунково-графічна робота</w:t>
            </w:r>
          </w:p>
        </w:tc>
        <w:tc>
          <w:tcPr>
            <w:tcW w:type="dxa" w:w="1247"/>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1</w:t>
            </w:r>
          </w:p>
        </w:tc>
        <w:tc>
          <w:tcPr>
            <w:tcW w:type="dxa" w:w="1247"/>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14</w:t>
            </w:r>
          </w:p>
        </w:tc>
        <w:tc>
          <w:tcPr>
            <w:tcW w:type="dxa" w:w="2324"/>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14</w:t>
            </w:r>
          </w:p>
        </w:tc>
      </w:tr>
      <w:tr>
        <w:trPr>
          <w:cantSplit/>
          <w:tblHeader w:val="false"/>
        </w:trPr>
        <w:tc>
          <w:tcPr>
            <w:tcW w:type="dxa" w:w="5102"/>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rPr>
                <w:b/>
                <w:bCs/>
              </w:rPr>
              <w:t xml:space="preserve">Стартовий рейтинг rС</w:t>
            </w:r>
          </w:p>
        </w:tc>
        <w:tc>
          <w:tcPr>
            <w:tcW w:type="dxa" w:w="1247"/>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
            </w:r>
          </w:p>
        </w:tc>
        <w:tc>
          <w:tcPr>
            <w:tcW w:type="dxa" w:w="1247"/>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
            </w:r>
          </w:p>
        </w:tc>
        <w:tc>
          <w:tcPr>
            <w:tcW w:type="dxa" w:w="2324"/>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rPr>
                <w:b/>
                <w:bCs/>
              </w:rPr>
              <w:t xml:space="preserve">60</w:t>
            </w:r>
          </w:p>
        </w:tc>
      </w:tr>
      <w:tr>
        <w:trPr>
          <w:cantSplit/>
          <w:tblHeader w:val="false"/>
        </w:trPr>
        <w:tc>
          <w:tcPr>
            <w:tcW w:type="dxa" w:w="5102"/>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rPr>
                <w:b/>
                <w:bCs/>
              </w:rPr>
              <w:t xml:space="preserve">Екзамен</w:t>
            </w:r>
          </w:p>
        </w:tc>
        <w:tc>
          <w:tcPr>
            <w:tcW w:type="dxa" w:w="1247"/>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1</w:t>
            </w:r>
          </w:p>
        </w:tc>
        <w:tc>
          <w:tcPr>
            <w:tcW w:type="dxa" w:w="1247"/>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40</w:t>
            </w:r>
          </w:p>
        </w:tc>
        <w:tc>
          <w:tcPr>
            <w:tcW w:type="dxa" w:w="2324"/>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rPr>
                <w:b/>
                <w:bCs/>
              </w:rPr>
              <w:t xml:space="preserve">40</w:t>
            </w:r>
          </w:p>
        </w:tc>
      </w:tr>
      <w:tr>
        <w:trPr>
          <w:cantSplit/>
          <w:tblHeader w:val="false"/>
        </w:trPr>
        <w:tc>
          <w:tcPr>
            <w:tcW w:type="dxa" w:w="5102"/>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rPr>
                <w:b/>
                <w:bCs/>
              </w:rPr>
              <w:t xml:space="preserve">Разом</w:t>
            </w:r>
          </w:p>
        </w:tc>
        <w:tc>
          <w:tcPr>
            <w:tcW w:type="dxa" w:w="1247"/>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
            </w:r>
          </w:p>
        </w:tc>
        <w:tc>
          <w:tcPr>
            <w:tcW w:type="dxa" w:w="1247"/>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
            </w:r>
          </w:p>
        </w:tc>
        <w:tc>
          <w:tcPr>
            <w:tcW w:type="dxa" w:w="2324"/>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rPr>
                <w:b/>
                <w:bCs/>
              </w:rPr>
              <w:t xml:space="preserve">100</w:t>
            </w:r>
          </w:p>
        </w:tc>
      </w:tr>
    </w:tbl>
    <w:p>
      <w:pPr>
        <w:spacing w:after="60" w:before="200"/>
      </w:pPr>
      <w:r>
        <w:rPr>
          <w:b/>
          <w:bCs/>
        </w:rPr>
        <w:t xml:space="preserve">Критерії оцінювання лабораторної роботи (максимум 5 балів)</w:t>
      </w:r>
    </w:p>
    <w:tbl>
      <w:tblPr>
        <w:tblW w:type="dxa" w:w="9921"/>
        <w:tblBorders>
          <w:top w:val="single" w:color="auto" w:sz="4"/>
          <w:left w:val="single" w:color="auto" w:sz="4"/>
          <w:bottom w:val="single" w:color="auto" w:sz="4"/>
          <w:right w:val="single" w:color="auto" w:sz="4"/>
          <w:insideH w:val="single" w:color="auto" w:sz="4"/>
          <w:insideV w:val="single" w:color="auto" w:sz="4"/>
        </w:tblBorders>
      </w:tblPr>
      <w:tblGrid>
        <w:gridCol w:w="6803"/>
        <w:gridCol w:w="3118"/>
      </w:tblGrid>
      <w:tr>
        <w:trPr>
          <w:cantSplit/>
          <w:tblHeader/>
        </w:trPr>
        <w:tc>
          <w:tcPr>
            <w:tcW w:type="dxa" w:w="6803"/>
            <w:tcBorders>
              <w:top w:val="single" w:color="000000" w:sz="4"/>
              <w:left w:val="single" w:color="000000" w:sz="4"/>
              <w:bottom w:val="single" w:color="000000" w:sz="4"/>
              <w:right w:val="single" w:color="000000" w:sz="4"/>
            </w:tcBorders>
            <w:shd w:fill="E8E8E8" w:color="auto" w:val="clear"/>
            <w:tcMar>
              <w:top w:type="dxa" w:w="40"/>
              <w:left w:type="dxa" w:w="80"/>
              <w:bottom w:type="dxa" w:w="40"/>
              <w:right w:type="dxa" w:w="80"/>
            </w:tcMar>
          </w:tcPr>
          <w:p>
            <w:pPr>
              <w:pStyle w:val="TableHead"/>
            </w:pPr>
            <w:r>
              <w:t xml:space="preserve">Показник</w:t>
            </w:r>
          </w:p>
        </w:tc>
        <w:tc>
          <w:tcPr>
            <w:tcW w:type="dxa" w:w="3118"/>
            <w:tcBorders>
              <w:top w:val="single" w:color="000000" w:sz="4"/>
              <w:left w:val="single" w:color="000000" w:sz="4"/>
              <w:bottom w:val="single" w:color="000000" w:sz="4"/>
              <w:right w:val="single" w:color="000000" w:sz="4"/>
            </w:tcBorders>
            <w:shd w:fill="E8E8E8" w:color="auto" w:val="clear"/>
            <w:tcMar>
              <w:top w:type="dxa" w:w="40"/>
              <w:left w:type="dxa" w:w="80"/>
              <w:bottom w:type="dxa" w:w="40"/>
              <w:right w:type="dxa" w:w="80"/>
            </w:tcMar>
          </w:tcPr>
          <w:p>
            <w:pPr>
              <w:pStyle w:val="TableHead"/>
            </w:pPr>
            <w:r>
              <w:t xml:space="preserve">Балів</w:t>
            </w:r>
          </w:p>
        </w:tc>
      </w:tr>
      <w:tr>
        <w:trPr>
          <w:cantSplit/>
          <w:tblHeader w:val="false"/>
        </w:trPr>
        <w:tc>
          <w:tcPr>
            <w:tcW w:type="dxa" w:w="6803"/>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Повнота виконання завдання за варіантом, працездатність програмної реалізації</w:t>
            </w:r>
          </w:p>
        </w:tc>
        <w:tc>
          <w:tcPr>
            <w:tcW w:type="dxa" w:w="3118"/>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2</w:t>
            </w:r>
          </w:p>
        </w:tc>
      </w:tr>
      <w:tr>
        <w:trPr>
          <w:cantSplit/>
          <w:tblHeader w:val="false"/>
        </w:trPr>
        <w:tc>
          <w:tcPr>
            <w:tcW w:type="dxa" w:w="6803"/>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Якість звіту: обґрунтованість рішень, аналіз результатів, висновки, оформлення</w:t>
            </w:r>
          </w:p>
        </w:tc>
        <w:tc>
          <w:tcPr>
            <w:tcW w:type="dxa" w:w="3118"/>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1</w:t>
            </w:r>
          </w:p>
        </w:tc>
      </w:tr>
      <w:tr>
        <w:trPr>
          <w:cantSplit/>
          <w:tblHeader w:val="false"/>
        </w:trPr>
        <w:tc>
          <w:tcPr>
            <w:tcW w:type="dxa" w:w="6803"/>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Захист: відповіді на контрольні запитання, пояснення прийнятих рішень</w:t>
            </w:r>
          </w:p>
        </w:tc>
        <w:tc>
          <w:tcPr>
            <w:tcW w:type="dxa" w:w="3118"/>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2</w:t>
            </w:r>
          </w:p>
        </w:tc>
      </w:tr>
    </w:tbl>
    <w:p>
      <w:pPr>
        <w:spacing w:before="80"/>
        <w:ind w:firstLine="708"/>
      </w:pPr>
      <w:r>
        <w:t xml:space="preserve">Робота, у якій завдання виконано частково або звіт не містить аналізу результатів, оцінюється не вище 3 балів. Робота, що не пройшла захист, не зараховується.</w:t>
      </w:r>
    </w:p>
    <w:p>
      <w:pPr>
        <w:spacing w:after="60" w:before="200"/>
      </w:pPr>
      <w:r>
        <w:rPr>
          <w:b/>
          <w:bCs/>
        </w:rPr>
        <w:t xml:space="preserve">Критерії оцінювання модульної контрольної роботи (максимум 8 балів)</w:t>
      </w:r>
    </w:p>
    <w:tbl>
      <w:tblPr>
        <w:tblW w:type="dxa" w:w="9921"/>
        <w:tblBorders>
          <w:top w:val="single" w:color="auto" w:sz="4"/>
          <w:left w:val="single" w:color="auto" w:sz="4"/>
          <w:bottom w:val="single" w:color="auto" w:sz="4"/>
          <w:right w:val="single" w:color="auto" w:sz="4"/>
          <w:insideH w:val="single" w:color="auto" w:sz="4"/>
          <w:insideV w:val="single" w:color="auto" w:sz="4"/>
        </w:tblBorders>
      </w:tblPr>
      <w:tblGrid>
        <w:gridCol w:w="6803"/>
        <w:gridCol w:w="3118"/>
      </w:tblGrid>
      <w:tr>
        <w:trPr>
          <w:cantSplit/>
          <w:tblHeader/>
        </w:trPr>
        <w:tc>
          <w:tcPr>
            <w:tcW w:type="dxa" w:w="6803"/>
            <w:tcBorders>
              <w:top w:val="single" w:color="000000" w:sz="4"/>
              <w:left w:val="single" w:color="000000" w:sz="4"/>
              <w:bottom w:val="single" w:color="000000" w:sz="4"/>
              <w:right w:val="single" w:color="000000" w:sz="4"/>
            </w:tcBorders>
            <w:shd w:fill="E8E8E8" w:color="auto" w:val="clear"/>
            <w:tcMar>
              <w:top w:type="dxa" w:w="40"/>
              <w:left w:type="dxa" w:w="80"/>
              <w:bottom w:type="dxa" w:w="40"/>
              <w:right w:type="dxa" w:w="80"/>
            </w:tcMar>
          </w:tcPr>
          <w:p>
            <w:pPr>
              <w:pStyle w:val="TableHead"/>
            </w:pPr>
            <w:r>
              <w:t xml:space="preserve">Показник</w:t>
            </w:r>
          </w:p>
        </w:tc>
        <w:tc>
          <w:tcPr>
            <w:tcW w:type="dxa" w:w="3118"/>
            <w:tcBorders>
              <w:top w:val="single" w:color="000000" w:sz="4"/>
              <w:left w:val="single" w:color="000000" w:sz="4"/>
              <w:bottom w:val="single" w:color="000000" w:sz="4"/>
              <w:right w:val="single" w:color="000000" w:sz="4"/>
            </w:tcBorders>
            <w:shd w:fill="E8E8E8" w:color="auto" w:val="clear"/>
            <w:tcMar>
              <w:top w:type="dxa" w:w="40"/>
              <w:left w:type="dxa" w:w="80"/>
              <w:bottom w:type="dxa" w:w="40"/>
              <w:right w:type="dxa" w:w="80"/>
            </w:tcMar>
          </w:tcPr>
          <w:p>
            <w:pPr>
              <w:pStyle w:val="TableHead"/>
            </w:pPr>
            <w:r>
              <w:t xml:space="preserve">Балів</w:t>
            </w:r>
          </w:p>
        </w:tc>
      </w:tr>
      <w:tr>
        <w:trPr>
          <w:cantSplit/>
          <w:tblHeader w:val="false"/>
        </w:trPr>
        <w:tc>
          <w:tcPr>
            <w:tcW w:type="dxa" w:w="6803"/>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Тестові завдання (10 завдань × 0,3 бала)</w:t>
            </w:r>
          </w:p>
        </w:tc>
        <w:tc>
          <w:tcPr>
            <w:tcW w:type="dxa" w:w="3118"/>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3</w:t>
            </w:r>
          </w:p>
        </w:tc>
      </w:tr>
      <w:tr>
        <w:trPr>
          <w:cantSplit/>
          <w:tblHeader w:val="false"/>
        </w:trPr>
        <w:tc>
          <w:tcPr>
            <w:tcW w:type="dxa" w:w="6803"/>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Теоретичне питання з розгорнутою відповіддю (2 × 1,5 бала)</w:t>
            </w:r>
          </w:p>
        </w:tc>
        <w:tc>
          <w:tcPr>
            <w:tcW w:type="dxa" w:w="3118"/>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3</w:t>
            </w:r>
          </w:p>
        </w:tc>
      </w:tr>
      <w:tr>
        <w:trPr>
          <w:cantSplit/>
          <w:tblHeader w:val="false"/>
        </w:trPr>
        <w:tc>
          <w:tcPr>
            <w:tcW w:type="dxa" w:w="6803"/>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Розрахункова або аналітична задача</w:t>
            </w:r>
          </w:p>
        </w:tc>
        <w:tc>
          <w:tcPr>
            <w:tcW w:type="dxa" w:w="3118"/>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2</w:t>
            </w:r>
          </w:p>
        </w:tc>
      </w:tr>
    </w:tbl>
    <w:p>
      <w:pPr>
        <w:spacing w:before="80"/>
        <w:ind w:firstLine="708"/>
      </w:pPr>
      <w:r>
        <w:t xml:space="preserve">Тривалість модульної контрольної роботи — 80 хв. Робота виконується за індивідуальним варіантом. Приклади варіантів наведено у Частині 2 навчального посібника.</w:t>
      </w:r>
    </w:p>
    <w:p>
      <w:pPr>
        <w:spacing w:after="60" w:before="200"/>
      </w:pPr>
      <w:r>
        <w:rPr>
          <w:b/>
          <w:bCs/>
        </w:rPr>
        <w:t xml:space="preserve">Критерії оцінювання розрахунково-графічної роботи (максимум 14 балів)</w:t>
      </w:r>
    </w:p>
    <w:tbl>
      <w:tblPr>
        <w:tblW w:type="dxa" w:w="9921"/>
        <w:tblBorders>
          <w:top w:val="single" w:color="auto" w:sz="4"/>
          <w:left w:val="single" w:color="auto" w:sz="4"/>
          <w:bottom w:val="single" w:color="auto" w:sz="4"/>
          <w:right w:val="single" w:color="auto" w:sz="4"/>
          <w:insideH w:val="single" w:color="auto" w:sz="4"/>
          <w:insideV w:val="single" w:color="auto" w:sz="4"/>
        </w:tblBorders>
      </w:tblPr>
      <w:tblGrid>
        <w:gridCol w:w="6803"/>
        <w:gridCol w:w="3118"/>
      </w:tblGrid>
      <w:tr>
        <w:trPr>
          <w:cantSplit/>
          <w:tblHeader/>
        </w:trPr>
        <w:tc>
          <w:tcPr>
            <w:tcW w:type="dxa" w:w="6803"/>
            <w:tcBorders>
              <w:top w:val="single" w:color="000000" w:sz="4"/>
              <w:left w:val="single" w:color="000000" w:sz="4"/>
              <w:bottom w:val="single" w:color="000000" w:sz="4"/>
              <w:right w:val="single" w:color="000000" w:sz="4"/>
            </w:tcBorders>
            <w:shd w:fill="E8E8E8" w:color="auto" w:val="clear"/>
            <w:tcMar>
              <w:top w:type="dxa" w:w="40"/>
              <w:left w:type="dxa" w:w="80"/>
              <w:bottom w:type="dxa" w:w="40"/>
              <w:right w:type="dxa" w:w="80"/>
            </w:tcMar>
          </w:tcPr>
          <w:p>
            <w:pPr>
              <w:pStyle w:val="TableHead"/>
            </w:pPr>
            <w:r>
              <w:t xml:space="preserve">Етап роботи</w:t>
            </w:r>
          </w:p>
        </w:tc>
        <w:tc>
          <w:tcPr>
            <w:tcW w:type="dxa" w:w="3118"/>
            <w:tcBorders>
              <w:top w:val="single" w:color="000000" w:sz="4"/>
              <w:left w:val="single" w:color="000000" w:sz="4"/>
              <w:bottom w:val="single" w:color="000000" w:sz="4"/>
              <w:right w:val="single" w:color="000000" w:sz="4"/>
            </w:tcBorders>
            <w:shd w:fill="E8E8E8" w:color="auto" w:val="clear"/>
            <w:tcMar>
              <w:top w:type="dxa" w:w="40"/>
              <w:left w:type="dxa" w:w="80"/>
              <w:bottom w:type="dxa" w:w="40"/>
              <w:right w:type="dxa" w:w="80"/>
            </w:tcMar>
          </w:tcPr>
          <w:p>
            <w:pPr>
              <w:pStyle w:val="TableHead"/>
            </w:pPr>
            <w:r>
              <w:t xml:space="preserve">Балів</w:t>
            </w:r>
          </w:p>
        </w:tc>
      </w:tr>
      <w:tr>
        <w:trPr>
          <w:cantSplit/>
          <w:tblHeader w:val="false"/>
        </w:trPr>
        <w:tc>
          <w:tcPr>
            <w:tcW w:type="dxa" w:w="6803"/>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Опис системи та побудова моделі загроз (DFD, STRIDE, реєстр ризиків)</w:t>
            </w:r>
          </w:p>
        </w:tc>
        <w:tc>
          <w:tcPr>
            <w:tcW w:type="dxa" w:w="3118"/>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3</w:t>
            </w:r>
          </w:p>
        </w:tc>
      </w:tr>
      <w:tr>
        <w:trPr>
          <w:cantSplit/>
          <w:tblHeader w:val="false"/>
        </w:trPr>
        <w:tc>
          <w:tcPr>
            <w:tcW w:type="dxa" w:w="6803"/>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Автоматизований аналіз (SAST, SCA, сканування секретів) і тріаж знахідок</w:t>
            </w:r>
          </w:p>
        </w:tc>
        <w:tc>
          <w:tcPr>
            <w:tcW w:type="dxa" w:w="3118"/>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3</w:t>
            </w:r>
          </w:p>
        </w:tc>
      </w:tr>
      <w:tr>
        <w:trPr>
          <w:cantSplit/>
          <w:tblHeader w:val="false"/>
        </w:trPr>
        <w:tc>
          <w:tcPr>
            <w:tcW w:type="dxa" w:w="6803"/>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Підтвердження щонайменше п’яти вразливостей із доказом експлуатованості</w:t>
            </w:r>
          </w:p>
        </w:tc>
        <w:tc>
          <w:tcPr>
            <w:tcW w:type="dxa" w:w="3118"/>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3</w:t>
            </w:r>
          </w:p>
        </w:tc>
      </w:tr>
      <w:tr>
        <w:trPr>
          <w:cantSplit/>
          <w:tblHeader w:val="false"/>
        </w:trPr>
        <w:tc>
          <w:tcPr>
            <w:tcW w:type="dxa" w:w="6803"/>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Розроблення виправлень і регресійних тестів, повторний прогін інструментів</w:t>
            </w:r>
          </w:p>
        </w:tc>
        <w:tc>
          <w:tcPr>
            <w:tcW w:type="dxa" w:w="3118"/>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3</w:t>
            </w:r>
          </w:p>
        </w:tc>
      </w:tr>
      <w:tr>
        <w:trPr>
          <w:cantSplit/>
          <w:tblHeader w:val="false"/>
        </w:trPr>
        <w:tc>
          <w:tcPr>
            <w:tcW w:type="dxa" w:w="6803"/>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Якість звіту та захист</w:t>
            </w:r>
          </w:p>
        </w:tc>
        <w:tc>
          <w:tcPr>
            <w:tcW w:type="dxa" w:w="3118"/>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2</w:t>
            </w:r>
          </w:p>
        </w:tc>
      </w:tr>
    </w:tbl>
    <w:p>
      <w:pPr>
        <w:spacing w:after="60" w:before="200"/>
      </w:pPr>
      <w:r>
        <w:rPr>
          <w:b/>
          <w:bCs/>
        </w:rPr>
        <w:t xml:space="preserve">Календарний контроль</w:t>
      </w:r>
    </w:p>
    <w:p>
      <w:pPr>
        <w:spacing w:after="80"/>
        <w:ind w:firstLine="708"/>
      </w:pPr>
      <w:r>
        <w:t xml:space="preserve">Проводиться двічі на семестр як моніторинг поточного стану виконання вимог силабусу. Умовою позитивної атестації є значення поточного рейтингу не менше 50 % від максимально можливого на момент атестації.</w:t>
      </w:r>
    </w:p>
    <w:tbl>
      <w:tblPr>
        <w:tblW w:type="dxa" w:w="9920"/>
        <w:tblBorders>
          <w:top w:val="single" w:color="auto" w:sz="4"/>
          <w:left w:val="single" w:color="auto" w:sz="4"/>
          <w:bottom w:val="single" w:color="auto" w:sz="4"/>
          <w:right w:val="single" w:color="auto" w:sz="4"/>
          <w:insideH w:val="single" w:color="auto" w:sz="4"/>
          <w:insideV w:val="single" w:color="auto" w:sz="4"/>
        </w:tblBorders>
      </w:tblPr>
      <w:tblGrid>
        <w:gridCol w:w="3401"/>
        <w:gridCol w:w="3118"/>
        <w:gridCol w:w="3401"/>
      </w:tblGrid>
      <w:tr>
        <w:trPr>
          <w:cantSplit/>
          <w:tblHeader/>
        </w:trPr>
        <w:tc>
          <w:tcPr>
            <w:tcW w:type="dxa" w:w="3401"/>
            <w:tcBorders>
              <w:top w:val="single" w:color="000000" w:sz="4"/>
              <w:left w:val="single" w:color="000000" w:sz="4"/>
              <w:bottom w:val="single" w:color="000000" w:sz="4"/>
              <w:right w:val="single" w:color="000000" w:sz="4"/>
            </w:tcBorders>
            <w:shd w:fill="E8E8E8" w:color="auto" w:val="clear"/>
            <w:tcMar>
              <w:top w:type="dxa" w:w="40"/>
              <w:left w:type="dxa" w:w="80"/>
              <w:bottom w:type="dxa" w:w="40"/>
              <w:right w:type="dxa" w:w="80"/>
            </w:tcMar>
          </w:tcPr>
          <w:p>
            <w:pPr>
              <w:pStyle w:val="TableHead"/>
            </w:pPr>
            <w:r>
              <w:t xml:space="preserve">Атестація</w:t>
            </w:r>
          </w:p>
        </w:tc>
        <w:tc>
          <w:tcPr>
            <w:tcW w:type="dxa" w:w="3118"/>
            <w:tcBorders>
              <w:top w:val="single" w:color="000000" w:sz="4"/>
              <w:left w:val="single" w:color="000000" w:sz="4"/>
              <w:bottom w:val="single" w:color="000000" w:sz="4"/>
              <w:right w:val="single" w:color="000000" w:sz="4"/>
            </w:tcBorders>
            <w:shd w:fill="E8E8E8" w:color="auto" w:val="clear"/>
            <w:tcMar>
              <w:top w:type="dxa" w:w="40"/>
              <w:left w:type="dxa" w:w="80"/>
              <w:bottom w:type="dxa" w:w="40"/>
              <w:right w:type="dxa" w:w="80"/>
            </w:tcMar>
          </w:tcPr>
          <w:p>
            <w:pPr>
              <w:pStyle w:val="TableHead"/>
            </w:pPr>
            <w:r>
              <w:t xml:space="preserve">Тиждень</w:t>
            </w:r>
          </w:p>
        </w:tc>
        <w:tc>
          <w:tcPr>
            <w:tcW w:type="dxa" w:w="3401"/>
            <w:tcBorders>
              <w:top w:val="single" w:color="000000" w:sz="4"/>
              <w:left w:val="single" w:color="000000" w:sz="4"/>
              <w:bottom w:val="single" w:color="000000" w:sz="4"/>
              <w:right w:val="single" w:color="000000" w:sz="4"/>
            </w:tcBorders>
            <w:shd w:fill="E8E8E8" w:color="auto" w:val="clear"/>
            <w:tcMar>
              <w:top w:type="dxa" w:w="40"/>
              <w:left w:type="dxa" w:w="80"/>
              <w:bottom w:type="dxa" w:w="40"/>
              <w:right w:type="dxa" w:w="80"/>
            </w:tcMar>
          </w:tcPr>
          <w:p>
            <w:pPr>
              <w:pStyle w:val="TableHead"/>
            </w:pPr>
            <w:r>
              <w:t xml:space="preserve">Умова позитивної атестації</w:t>
            </w:r>
          </w:p>
        </w:tc>
      </w:tr>
      <w:tr>
        <w:trPr>
          <w:cantSplit/>
          <w:tblHeader w:val="false"/>
        </w:trPr>
        <w:tc>
          <w:tcPr>
            <w:tcW w:type="dxa" w:w="3401"/>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Перша</w:t>
            </w:r>
          </w:p>
        </w:tc>
        <w:tc>
          <w:tcPr>
            <w:tcW w:type="dxa" w:w="3118"/>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8-й</w:t>
            </w:r>
          </w:p>
        </w:tc>
        <w:tc>
          <w:tcPr>
            <w:tcW w:type="dxa" w:w="3401"/>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rП ≥ 17 балів</w:t>
            </w:r>
          </w:p>
        </w:tc>
      </w:tr>
      <w:tr>
        <w:trPr>
          <w:cantSplit/>
          <w:tblHeader w:val="false"/>
        </w:trPr>
        <w:tc>
          <w:tcPr>
            <w:tcW w:type="dxa" w:w="3401"/>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Друга</w:t>
            </w:r>
          </w:p>
        </w:tc>
        <w:tc>
          <w:tcPr>
            <w:tcW w:type="dxa" w:w="3118"/>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14-й</w:t>
            </w:r>
          </w:p>
        </w:tc>
        <w:tc>
          <w:tcPr>
            <w:tcW w:type="dxa" w:w="3401"/>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rП ≥ 36 балів</w:t>
            </w:r>
          </w:p>
        </w:tc>
      </w:tr>
    </w:tbl>
    <w:p>
      <w:pPr>
        <w:spacing w:after="60" w:before="200"/>
      </w:pPr>
      <w:r>
        <w:rPr>
          <w:b/>
          <w:bCs/>
        </w:rPr>
        <w:t xml:space="preserve">Семестровий контроль: екзамен</w:t>
      </w:r>
    </w:p>
    <w:p>
      <w:pPr>
        <w:spacing w:after="80"/>
        <w:ind w:firstLine="708"/>
      </w:pPr>
      <w:r>
        <w:t xml:space="preserve">Екзаменаційний білет містить два теоретичні питання (по 12 балів) та одну задачу (16 балів). Перелік питань, що виносяться на семестровий контроль, наведено у Частині 2 навчального посібника та розміщено на платформі Campus KPI не пізніше ніж за місяць до початку сесії.</w:t>
      </w:r>
    </w:p>
    <w:tbl>
      <w:tblPr>
        <w:tblW w:type="dxa" w:w="9921"/>
        <w:tblBorders>
          <w:top w:val="single" w:color="auto" w:sz="4"/>
          <w:left w:val="single" w:color="auto" w:sz="4"/>
          <w:bottom w:val="single" w:color="auto" w:sz="4"/>
          <w:right w:val="single" w:color="auto" w:sz="4"/>
          <w:insideH w:val="single" w:color="auto" w:sz="4"/>
          <w:insideV w:val="single" w:color="auto" w:sz="4"/>
        </w:tblBorders>
      </w:tblPr>
      <w:tblGrid>
        <w:gridCol w:w="6803"/>
        <w:gridCol w:w="3118"/>
      </w:tblGrid>
      <w:tr>
        <w:trPr>
          <w:cantSplit/>
          <w:tblHeader/>
        </w:trPr>
        <w:tc>
          <w:tcPr>
            <w:tcW w:type="dxa" w:w="6803"/>
            <w:tcBorders>
              <w:top w:val="single" w:color="000000" w:sz="4"/>
              <w:left w:val="single" w:color="000000" w:sz="4"/>
              <w:bottom w:val="single" w:color="000000" w:sz="4"/>
              <w:right w:val="single" w:color="000000" w:sz="4"/>
            </w:tcBorders>
            <w:shd w:fill="E8E8E8" w:color="auto" w:val="clear"/>
            <w:tcMar>
              <w:top w:type="dxa" w:w="40"/>
              <w:left w:type="dxa" w:w="80"/>
              <w:bottom w:type="dxa" w:w="40"/>
              <w:right w:type="dxa" w:w="80"/>
            </w:tcMar>
          </w:tcPr>
          <w:p>
            <w:pPr>
              <w:pStyle w:val="TableHead"/>
            </w:pPr>
            <w:r>
              <w:t xml:space="preserve">Показник відповіді</w:t>
            </w:r>
          </w:p>
        </w:tc>
        <w:tc>
          <w:tcPr>
            <w:tcW w:type="dxa" w:w="3118"/>
            <w:tcBorders>
              <w:top w:val="single" w:color="000000" w:sz="4"/>
              <w:left w:val="single" w:color="000000" w:sz="4"/>
              <w:bottom w:val="single" w:color="000000" w:sz="4"/>
              <w:right w:val="single" w:color="000000" w:sz="4"/>
            </w:tcBorders>
            <w:shd w:fill="E8E8E8" w:color="auto" w:val="clear"/>
            <w:tcMar>
              <w:top w:type="dxa" w:w="40"/>
              <w:left w:type="dxa" w:w="80"/>
              <w:bottom w:type="dxa" w:w="40"/>
              <w:right w:type="dxa" w:w="80"/>
            </w:tcMar>
          </w:tcPr>
          <w:p>
            <w:pPr>
              <w:pStyle w:val="TableHead"/>
            </w:pPr>
            <w:r>
              <w:t xml:space="preserve">Балів (за питання)</w:t>
            </w:r>
          </w:p>
        </w:tc>
      </w:tr>
      <w:tr>
        <w:trPr>
          <w:cantSplit/>
          <w:tblHeader w:val="false"/>
        </w:trPr>
        <w:tc>
          <w:tcPr>
            <w:tcW w:type="dxa" w:w="6803"/>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Повна, чітко структурована відповідь із прикладами; вільне володіння термінологією</w:t>
            </w:r>
          </w:p>
        </w:tc>
        <w:tc>
          <w:tcPr>
            <w:tcW w:type="dxa" w:w="3118"/>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11–12</w:t>
            </w:r>
          </w:p>
        </w:tc>
      </w:tr>
      <w:tr>
        <w:trPr>
          <w:cantSplit/>
          <w:tblHeader w:val="false"/>
        </w:trPr>
        <w:tc>
          <w:tcPr>
            <w:tcW w:type="dxa" w:w="6803"/>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Повна відповідь із несуттєвими неточностями</w:t>
            </w:r>
          </w:p>
        </w:tc>
        <w:tc>
          <w:tcPr>
            <w:tcW w:type="dxa" w:w="3118"/>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8–10</w:t>
            </w:r>
          </w:p>
        </w:tc>
      </w:tr>
      <w:tr>
        <w:trPr>
          <w:cantSplit/>
          <w:tblHeader w:val="false"/>
        </w:trPr>
        <w:tc>
          <w:tcPr>
            <w:tcW w:type="dxa" w:w="6803"/>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Відповідь неповна, наведено лише основні положення</w:t>
            </w:r>
          </w:p>
        </w:tc>
        <w:tc>
          <w:tcPr>
            <w:tcW w:type="dxa" w:w="3118"/>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5–7</w:t>
            </w:r>
          </w:p>
        </w:tc>
      </w:tr>
      <w:tr>
        <w:trPr>
          <w:cantSplit/>
          <w:tblHeader w:val="false"/>
        </w:trPr>
        <w:tc>
          <w:tcPr>
            <w:tcW w:type="dxa" w:w="6803"/>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Відповідь фрагментарна, суттєві помилки</w:t>
            </w:r>
          </w:p>
        </w:tc>
        <w:tc>
          <w:tcPr>
            <w:tcW w:type="dxa" w:w="3118"/>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1–4</w:t>
            </w:r>
          </w:p>
        </w:tc>
      </w:tr>
      <w:tr>
        <w:trPr>
          <w:cantSplit/>
          <w:tblHeader w:val="false"/>
        </w:trPr>
        <w:tc>
          <w:tcPr>
            <w:tcW w:type="dxa" w:w="6803"/>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Відповідь відсутня або принципово хибна</w:t>
            </w:r>
          </w:p>
        </w:tc>
        <w:tc>
          <w:tcPr>
            <w:tcW w:type="dxa" w:w="3118"/>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0</w:t>
            </w:r>
          </w:p>
        </w:tc>
      </w:tr>
    </w:tbl>
    <w:p>
      <w:pPr>
        <w:spacing w:after="60" w:before="200"/>
      </w:pPr>
      <w:r>
        <w:rPr>
          <w:b/>
          <w:bCs/>
        </w:rPr>
        <w:t xml:space="preserve">Умови допуску до семестрового контролю</w:t>
      </w:r>
    </w:p>
    <w:p>
      <w:pPr>
        <w:pStyle w:val="ListParagraph"/>
        <w:numPr>
          <w:ilvl w:val="0"/>
          <w:numId w:val="2"/>
        </w:numPr>
        <w:spacing w:after="40"/>
      </w:pPr>
      <w:r>
        <w:t xml:space="preserve">усі шість лабораторних робіт виконано та зараховано;</w:t>
      </w:r>
    </w:p>
    <w:p>
      <w:pPr>
        <w:pStyle w:val="ListParagraph"/>
        <w:numPr>
          <w:ilvl w:val="0"/>
          <w:numId w:val="2"/>
        </w:numPr>
        <w:spacing w:after="40"/>
      </w:pPr>
      <w:r>
        <w:t xml:space="preserve">розрахунково-графічну роботу захищено з оцінкою не менше 8 балів;</w:t>
      </w:r>
    </w:p>
    <w:p>
      <w:pPr>
        <w:pStyle w:val="ListParagraph"/>
        <w:numPr>
          <w:ilvl w:val="0"/>
          <w:numId w:val="2"/>
        </w:numPr>
        <w:spacing w:after="40"/>
      </w:pPr>
      <w:r>
        <w:t xml:space="preserve">обидві модульні контрольні роботи виконано;</w:t>
      </w:r>
    </w:p>
    <w:p>
      <w:pPr>
        <w:pStyle w:val="ListParagraph"/>
        <w:numPr>
          <w:ilvl w:val="0"/>
          <w:numId w:val="2"/>
        </w:numPr>
        <w:spacing w:after="40"/>
      </w:pPr>
      <w:r>
        <w:t xml:space="preserve">стартовий рейтинг rС становить не менше 36 балів.</w:t>
      </w:r>
    </w:p>
    <w:p>
      <w:pPr>
        <w:spacing w:after="60" w:before="200"/>
      </w:pPr>
      <w:r>
        <w:rPr>
          <w:b/>
          <w:bCs/>
        </w:rPr>
        <w:t xml:space="preserve">Таблиця відповідності рейтингових балів оцінкам за університетською шкалою</w:t>
      </w:r>
    </w:p>
    <w:tbl>
      <w:tblPr>
        <w:tblW w:type="dxa" w:w="9920"/>
        <w:tblBorders>
          <w:top w:val="single" w:color="auto" w:sz="4"/>
          <w:left w:val="single" w:color="auto" w:sz="4"/>
          <w:bottom w:val="single" w:color="auto" w:sz="4"/>
          <w:right w:val="single" w:color="auto" w:sz="4"/>
          <w:insideH w:val="single" w:color="auto" w:sz="4"/>
          <w:insideV w:val="single" w:color="auto" w:sz="4"/>
        </w:tblBorders>
      </w:tblPr>
      <w:tblGrid>
        <w:gridCol w:w="4932"/>
        <w:gridCol w:w="4988"/>
      </w:tblGrid>
      <w:tr>
        <w:trPr>
          <w:cantSplit/>
          <w:tblHeader/>
        </w:trPr>
        <w:tc>
          <w:tcPr>
            <w:tcW w:type="dxa" w:w="4932"/>
            <w:tcBorders>
              <w:top w:val="single" w:color="000000" w:sz="4"/>
              <w:left w:val="single" w:color="000000" w:sz="4"/>
              <w:bottom w:val="single" w:color="000000" w:sz="4"/>
              <w:right w:val="single" w:color="000000" w:sz="4"/>
            </w:tcBorders>
            <w:shd w:fill="E8E8E8" w:color="auto" w:val="clear"/>
            <w:tcMar>
              <w:top w:type="dxa" w:w="40"/>
              <w:left w:type="dxa" w:w="80"/>
              <w:bottom w:type="dxa" w:w="40"/>
              <w:right w:type="dxa" w:w="80"/>
            </w:tcMar>
          </w:tcPr>
          <w:p>
            <w:pPr>
              <w:pStyle w:val="TableHead"/>
            </w:pPr>
            <w:r>
              <w:t xml:space="preserve">Кількість балів</w:t>
            </w:r>
          </w:p>
        </w:tc>
        <w:tc>
          <w:tcPr>
            <w:tcW w:type="dxa" w:w="4988"/>
            <w:tcBorders>
              <w:top w:val="single" w:color="000000" w:sz="4"/>
              <w:left w:val="single" w:color="000000" w:sz="4"/>
              <w:bottom w:val="single" w:color="000000" w:sz="4"/>
              <w:right w:val="single" w:color="000000" w:sz="4"/>
            </w:tcBorders>
            <w:shd w:fill="E8E8E8" w:color="auto" w:val="clear"/>
            <w:tcMar>
              <w:top w:type="dxa" w:w="40"/>
              <w:left w:type="dxa" w:w="80"/>
              <w:bottom w:type="dxa" w:w="40"/>
              <w:right w:type="dxa" w:w="80"/>
            </w:tcMar>
          </w:tcPr>
          <w:p>
            <w:pPr>
              <w:pStyle w:val="TableHead"/>
            </w:pPr>
            <w:r>
              <w:t xml:space="preserve">Оцінка</w:t>
            </w:r>
          </w:p>
        </w:tc>
      </w:tr>
      <w:tr>
        <w:trPr>
          <w:cantSplit/>
          <w:tblHeader w:val="false"/>
        </w:trPr>
        <w:tc>
          <w:tcPr>
            <w:tcW w:type="dxa" w:w="4932"/>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100–95</w:t>
            </w:r>
          </w:p>
        </w:tc>
        <w:tc>
          <w:tcPr>
            <w:tcW w:type="dxa" w:w="4988"/>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Відмінно</w:t>
            </w:r>
          </w:p>
        </w:tc>
      </w:tr>
      <w:tr>
        <w:trPr>
          <w:cantSplit/>
          <w:tblHeader w:val="false"/>
        </w:trPr>
        <w:tc>
          <w:tcPr>
            <w:tcW w:type="dxa" w:w="4932"/>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94–85</w:t>
            </w:r>
          </w:p>
        </w:tc>
        <w:tc>
          <w:tcPr>
            <w:tcW w:type="dxa" w:w="4988"/>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Дуже добре</w:t>
            </w:r>
          </w:p>
        </w:tc>
      </w:tr>
      <w:tr>
        <w:trPr>
          <w:cantSplit/>
          <w:tblHeader w:val="false"/>
        </w:trPr>
        <w:tc>
          <w:tcPr>
            <w:tcW w:type="dxa" w:w="4932"/>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84–75</w:t>
            </w:r>
          </w:p>
        </w:tc>
        <w:tc>
          <w:tcPr>
            <w:tcW w:type="dxa" w:w="4988"/>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Добре</w:t>
            </w:r>
          </w:p>
        </w:tc>
      </w:tr>
      <w:tr>
        <w:trPr>
          <w:cantSplit/>
          <w:tblHeader w:val="false"/>
        </w:trPr>
        <w:tc>
          <w:tcPr>
            <w:tcW w:type="dxa" w:w="4932"/>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74–65</w:t>
            </w:r>
          </w:p>
        </w:tc>
        <w:tc>
          <w:tcPr>
            <w:tcW w:type="dxa" w:w="4988"/>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Задовільно</w:t>
            </w:r>
          </w:p>
        </w:tc>
      </w:tr>
      <w:tr>
        <w:trPr>
          <w:cantSplit/>
          <w:tblHeader w:val="false"/>
        </w:trPr>
        <w:tc>
          <w:tcPr>
            <w:tcW w:type="dxa" w:w="4932"/>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64–60</w:t>
            </w:r>
          </w:p>
        </w:tc>
        <w:tc>
          <w:tcPr>
            <w:tcW w:type="dxa" w:w="4988"/>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Достатньо</w:t>
            </w:r>
          </w:p>
        </w:tc>
      </w:tr>
      <w:tr>
        <w:trPr>
          <w:cantSplit/>
          <w:tblHeader w:val="false"/>
        </w:trPr>
        <w:tc>
          <w:tcPr>
            <w:tcW w:type="dxa" w:w="4932"/>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Менше 60</w:t>
            </w:r>
          </w:p>
        </w:tc>
        <w:tc>
          <w:tcPr>
            <w:tcW w:type="dxa" w:w="4988"/>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Незадовільно</w:t>
            </w:r>
          </w:p>
        </w:tc>
      </w:tr>
      <w:tr>
        <w:trPr>
          <w:cantSplit/>
          <w:tblHeader w:val="false"/>
        </w:trPr>
        <w:tc>
          <w:tcPr>
            <w:tcW w:type="dxa" w:w="4932"/>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Не виконані умови допуску</w:t>
            </w:r>
          </w:p>
        </w:tc>
        <w:tc>
          <w:tcPr>
            <w:tcW w:type="dxa" w:w="4988"/>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Не допущено</w:t>
            </w:r>
          </w:p>
        </w:tc>
      </w:tr>
    </w:tbl>
    <w:p>
      <w:pPr>
        <w:pStyle w:val="Heading2"/>
      </w:pPr>
      <w:r>
        <w:t xml:space="preserve">9. Додаткова інформація з дисципліни (освітнього компонента)</w:t>
      </w:r>
    </w:p>
    <w:p>
      <w:pPr>
        <w:spacing w:after="80"/>
        <w:ind w:firstLine="708"/>
      </w:pPr>
      <w:r>
        <w:t xml:space="preserve">Перелік питань, що виносяться на семестровий контроль, наведено у Частині 2 навчального посібника «Безпека програмного забезпечення: лабораторний практикум» та продубльовано на платформі Campus KPI.</w:t>
      </w:r>
    </w:p>
    <w:p>
      <w:pPr>
        <w:spacing w:after="80"/>
        <w:ind w:firstLine="708"/>
      </w:pPr>
      <w:r>
        <w:t xml:space="preserve">За заявою здобувача можливе зарахування результатів навчання, здобутих у неформальній освіті, у вигляді заміни окремих контрольних заходів. Розглядаються сертифікати про завершення курсів за тематикою дисципліни за умови, що обсяг курсу становить не менше 20 год, а зміст відповідає щонайменше одному розділу дисципліни. Рішення про зарахування ухвалює лектор на підставі співбесіди; таким чином може бути зараховано не більше 10 балів стартового рейтингу.</w:t>
      </w:r>
    </w:p>
    <w:p>
      <w:pPr>
        <w:pStyle w:val="Heading3"/>
      </w:pPr>
      <w:r>
        <w:t xml:space="preserve">Рекомендовані зовнішні курси (орієнтовний перелік)</w:t>
      </w:r>
    </w:p>
    <w:p>
      <w:pPr>
        <w:spacing w:after="80"/>
        <w:ind w:firstLine="708"/>
      </w:pPr>
      <w:r>
        <w:t xml:space="preserve">Наведені курси відповідають окремим розділам дисципліни й можуть бути враховані за правилами, зазначеними вище. Перелік є орієнтовним і не вичерпним; рішення про зарахування та кількість балів ухвалює лектор за співбесідою. Курси з позначкою «для підготовки» мають обсяг менший за 20 год і самостійно балів не дають, проте їх зараховують у складі ширшої добірки та рекомендують для підготовки до відповідних контрольних заходів.</w:t>
      </w:r>
    </w:p>
    <w:tbl>
      <w:tblPr>
        <w:tblW w:type="dxa" w:w="9920"/>
        <w:tblBorders>
          <w:top w:val="single" w:color="auto" w:sz="4"/>
          <w:left w:val="single" w:color="auto" w:sz="4"/>
          <w:bottom w:val="single" w:color="auto" w:sz="4"/>
          <w:right w:val="single" w:color="auto" w:sz="4"/>
          <w:insideH w:val="single" w:color="auto" w:sz="4"/>
          <w:insideV w:val="single" w:color="auto" w:sz="4"/>
        </w:tblBorders>
      </w:tblPr>
      <w:tblGrid>
        <w:gridCol w:w="3514"/>
        <w:gridCol w:w="907"/>
        <w:gridCol w:w="1814"/>
        <w:gridCol w:w="3685"/>
      </w:tblGrid>
      <w:tr>
        <w:trPr>
          <w:cantSplit/>
          <w:tblHeader/>
        </w:trPr>
        <w:tc>
          <w:tcPr>
            <w:tcW w:type="dxa" w:w="3514"/>
            <w:tcBorders>
              <w:top w:val="single" w:color="000000" w:sz="4"/>
              <w:left w:val="single" w:color="000000" w:sz="4"/>
              <w:bottom w:val="single" w:color="000000" w:sz="4"/>
              <w:right w:val="single" w:color="000000" w:sz="4"/>
            </w:tcBorders>
            <w:shd w:fill="E8E8E8" w:color="auto" w:val="clear"/>
            <w:tcMar>
              <w:top w:type="dxa" w:w="40"/>
              <w:left w:type="dxa" w:w="80"/>
              <w:bottom w:type="dxa" w:w="40"/>
              <w:right w:type="dxa" w:w="80"/>
            </w:tcMar>
          </w:tcPr>
          <w:p>
            <w:pPr>
              <w:pStyle w:val="TableHead"/>
            </w:pPr>
            <w:r>
              <w:t xml:space="preserve">Курс (платформа)</w:t>
            </w:r>
          </w:p>
        </w:tc>
        <w:tc>
          <w:tcPr>
            <w:tcW w:type="dxa" w:w="907"/>
            <w:tcBorders>
              <w:top w:val="single" w:color="000000" w:sz="4"/>
              <w:left w:val="single" w:color="000000" w:sz="4"/>
              <w:bottom w:val="single" w:color="000000" w:sz="4"/>
              <w:right w:val="single" w:color="000000" w:sz="4"/>
            </w:tcBorders>
            <w:shd w:fill="E8E8E8" w:color="auto" w:val="clear"/>
            <w:tcMar>
              <w:top w:type="dxa" w:w="40"/>
              <w:left w:type="dxa" w:w="80"/>
              <w:bottom w:type="dxa" w:w="40"/>
              <w:right w:type="dxa" w:w="80"/>
            </w:tcMar>
          </w:tcPr>
          <w:p>
            <w:pPr>
              <w:pStyle w:val="TableHead"/>
            </w:pPr>
            <w:r>
              <w:t xml:space="preserve">Обсяг</w:t>
            </w:r>
          </w:p>
        </w:tc>
        <w:tc>
          <w:tcPr>
            <w:tcW w:type="dxa" w:w="1814"/>
            <w:tcBorders>
              <w:top w:val="single" w:color="000000" w:sz="4"/>
              <w:left w:val="single" w:color="000000" w:sz="4"/>
              <w:bottom w:val="single" w:color="000000" w:sz="4"/>
              <w:right w:val="single" w:color="000000" w:sz="4"/>
            </w:tcBorders>
            <w:shd w:fill="E8E8E8" w:color="auto" w:val="clear"/>
            <w:tcMar>
              <w:top w:type="dxa" w:w="40"/>
              <w:left w:type="dxa" w:w="80"/>
              <w:bottom w:type="dxa" w:w="40"/>
              <w:right w:type="dxa" w:w="80"/>
            </w:tcMar>
          </w:tcPr>
          <w:p>
            <w:pPr>
              <w:pStyle w:val="TableHead"/>
            </w:pPr>
            <w:r>
              <w:t xml:space="preserve">Розділи дисципліни</w:t>
            </w:r>
          </w:p>
        </w:tc>
        <w:tc>
          <w:tcPr>
            <w:tcW w:type="dxa" w:w="3685"/>
            <w:tcBorders>
              <w:top w:val="single" w:color="000000" w:sz="4"/>
              <w:left w:val="single" w:color="000000" w:sz="4"/>
              <w:bottom w:val="single" w:color="000000" w:sz="4"/>
              <w:right w:val="single" w:color="000000" w:sz="4"/>
            </w:tcBorders>
            <w:shd w:fill="E8E8E8" w:color="auto" w:val="clear"/>
            <w:tcMar>
              <w:top w:type="dxa" w:w="40"/>
              <w:left w:type="dxa" w:w="80"/>
              <w:bottom w:type="dxa" w:w="40"/>
              <w:right w:type="dxa" w:w="80"/>
            </w:tcMar>
          </w:tcPr>
          <w:p>
            <w:pPr>
              <w:pStyle w:val="TableHead"/>
            </w:pPr>
            <w:r>
              <w:t xml:space="preserve">Що може бути враховано</w:t>
            </w:r>
          </w:p>
        </w:tc>
      </w:tr>
      <w:tr>
        <w:trPr>
          <w:cantSplit/>
          <w:tblHeader w:val="false"/>
        </w:trPr>
        <w:tc>
          <w:tcPr>
            <w:tcW w:type="dxa" w:w="3514"/>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CompTIA Security+ (підготовчий курс)</w:t>
            </w:r>
          </w:p>
        </w:tc>
        <w:tc>
          <w:tcPr>
            <w:tcW w:type="dxa" w:w="907"/>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≈30 год</w:t>
            </w:r>
          </w:p>
        </w:tc>
        <w:tc>
          <w:tcPr>
            <w:tcW w:type="dxa" w:w="1814"/>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3–5 (розмежування доступу, автентифікація, основи криптографії)</w:t>
            </w:r>
          </w:p>
        </w:tc>
        <w:tc>
          <w:tcPr>
            <w:tcW w:type="dxa" w:w="3685"/>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бали стартового рейтингу (у складі добірки)</w:t>
            </w:r>
          </w:p>
        </w:tc>
      </w:tr>
      <w:tr>
        <w:trPr>
          <w:cantSplit/>
          <w:tblHeader w:val="false"/>
        </w:trPr>
        <w:tc>
          <w:tcPr>
            <w:tcW w:type="dxa" w:w="3514"/>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ISC2 CSSLP — Secure SDLC Masterclass</w:t>
            </w:r>
          </w:p>
        </w:tc>
        <w:tc>
          <w:tcPr>
            <w:tcW w:type="dxa" w:w="907"/>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24 год</w:t>
            </w:r>
          </w:p>
        </w:tc>
        <w:tc>
          <w:tcPr>
            <w:tcW w:type="dxa" w:w="1814"/>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2, 7 (захищений ЖЦ, верифікація, ланцюг постачання)</w:t>
            </w:r>
          </w:p>
        </w:tc>
        <w:tc>
          <w:tcPr>
            <w:tcW w:type="dxa" w:w="3685"/>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бали стартового рейтингу</w:t>
            </w:r>
          </w:p>
        </w:tc>
      </w:tr>
      <w:tr>
        <w:trPr>
          <w:cantSplit/>
          <w:tblHeader w:val="false"/>
        </w:trPr>
        <w:tc>
          <w:tcPr>
            <w:tcW w:type="dxa" w:w="3514"/>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Application Security — The Complete Guide</w:t>
            </w:r>
          </w:p>
        </w:tc>
        <w:tc>
          <w:tcPr>
            <w:tcW w:type="dxa" w:w="907"/>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12,5 год</w:t>
            </w:r>
          </w:p>
        </w:tc>
        <w:tc>
          <w:tcPr>
            <w:tcW w:type="dxa" w:w="1814"/>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1, 6, 7 (моделювання загроз, OWASP Top 10, SAST/DAST, DevSecOps)</w:t>
            </w:r>
          </w:p>
        </w:tc>
        <w:tc>
          <w:tcPr>
            <w:tcW w:type="dxa" w:w="3685"/>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бали; залік практичної частини ЛР1, ЛР5, ЛР6 за умови подання власного звіту за варіантом</w:t>
            </w:r>
          </w:p>
        </w:tc>
      </w:tr>
      <w:tr>
        <w:trPr>
          <w:cantSplit/>
          <w:tblHeader w:val="false"/>
        </w:trPr>
        <w:tc>
          <w:tcPr>
            <w:tcW w:type="dxa" w:w="3514"/>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Public Key Cryptography From Scratch in Python</w:t>
            </w:r>
          </w:p>
        </w:tc>
        <w:tc>
          <w:tcPr>
            <w:tcW w:type="dxa" w:w="907"/>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9 год</w:t>
            </w:r>
          </w:p>
        </w:tc>
        <w:tc>
          <w:tcPr>
            <w:tcW w:type="dxa" w:w="1814"/>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5 (прикладна криптографія)</w:t>
            </w:r>
          </w:p>
        </w:tc>
        <w:tc>
          <w:tcPr>
            <w:tcW w:type="dxa" w:w="3685"/>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для підготовки до ЛР4 та МКР-2 (розрахункові задачі RSA, Ель-Гамаль, ECC)</w:t>
            </w:r>
          </w:p>
        </w:tc>
      </w:tr>
      <w:tr>
        <w:trPr>
          <w:cantSplit/>
          <w:tblHeader w:val="false"/>
        </w:trPr>
        <w:tc>
          <w:tcPr>
            <w:tcW w:type="dxa" w:w="3514"/>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Exploit Development for Linux (x86)</w:t>
            </w:r>
          </w:p>
        </w:tc>
        <w:tc>
          <w:tcPr>
            <w:tcW w:type="dxa" w:w="907"/>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7 год</w:t>
            </w:r>
          </w:p>
        </w:tc>
        <w:tc>
          <w:tcPr>
            <w:tcW w:type="dxa" w:w="1814"/>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6 (безпека пам’яті)</w:t>
            </w:r>
          </w:p>
        </w:tc>
        <w:tc>
          <w:tcPr>
            <w:tcW w:type="dxa" w:w="3685"/>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для підготовки до екзамену (переповнення буфера, ROP, ASLR/NX)</w:t>
            </w:r>
          </w:p>
        </w:tc>
      </w:tr>
    </w:tbl>
    <w:p>
      <w:pPr>
        <w:spacing w:before="100"/>
        <w:ind w:firstLine="708"/>
      </w:pPr>
      <w:r>
        <w:t xml:space="preserve">Розділ 3 (формальні моделі розмежування доступу — Белла–ЛаПадули, Біби, HRU) та окремі теоретичні питання опрацьовуються лише за матеріалами дисципліни, оскільки галузевих курсів із цієї тематики немає. Екзамен, розрахунково-графічна робота та лабораторні роботи з власним програмним кодом (ЛР2–ЛР4) лишаються обов’язковими незалежно від пройдених зовнішніх курсів.</w:t>
      </w:r>
    </w:p>
    <w:p>
      <w:pPr>
        <w:spacing w:after="80"/>
        <w:ind w:firstLine="708"/>
      </w:pPr>
      <w:r>
        <w:t xml:space="preserve">Здобувачам, які виконали розрахунково-графічну роботу на найвищому рівні, пропонується участь у профільних конкурсах студентських робіт та можливість продовження теми в межах дипломного проєктування.</w:t>
      </w:r>
    </w:p>
    <w:p>
      <w:pPr>
        <w:spacing w:after="0"/>
      </w:pPr>
    </w:p>
    <w:p>
      <w:pPr>
        <w:spacing w:after="100" w:before="240"/>
      </w:pPr>
      <w:r>
        <w:rPr>
          <w:b/>
          <w:bCs/>
        </w:rPr>
        <w:t xml:space="preserve">Робочу програму навчальної дисципліни (силабус):</w:t>
      </w:r>
    </w:p>
    <w:p>
      <w:pPr>
        <w:spacing w:after="100"/>
      </w:pPr>
      <w:r>
        <w:t xml:space="preserve">Складено: д-р філософії, ст. викл. кафедри інформатики та програмної інженерії Соколовський Владислав Володимирович</w:t>
      </w:r>
    </w:p>
    <w:p>
      <w:pPr>
        <w:spacing w:after="100"/>
      </w:pPr>
      <w:r>
        <w:t xml:space="preserve">Ухвалено кафедрою інформатики та програмної інженерії (протокол № __ від __.__.2026 р.)</w:t>
      </w:r>
    </w:p>
    <w:p>
      <w:pPr>
        <w:spacing w:after="100"/>
      </w:pPr>
      <w:r>
        <w:t xml:space="preserve">Погоджено Методичною комісією факультету інформатики та обчислювальної техніки (протокол № __ від __.__.2026 р.)</w:t>
      </w:r>
    </w:p>
    <w:sectPr>
      <w:pgSz w:w="11905" w:h="16837" w:orient="portrait"/>
      <w:pgMar w:top="1133" w:right="566" w:bottom="1133"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80" w:hanging="283"/>
      </w:pPr>
    </w:lvl>
    <w:lvl w:ilvl="1" w15:tentative="1">
      <w:start w:val="1"/>
      <w:numFmt w:val="bullet"/>
      <w:lvlText w:val="○"/>
      <w:lvlJc w:val="left"/>
      <w:pPr>
        <w:ind w:left="1133" w:hanging="283"/>
      </w:pPr>
    </w:lvl>
  </w:abstractNum>
  <w:abstractNum w:abstractNumId="3" w15:restartNumberingAfterBreak="0">
    <w:multiLevelType w:val="hybridMultilevel"/>
    <w:lvl w:ilvl="0" w15:tentative="1">
      <w:start w:val="1"/>
      <w:numFmt w:val="decimal"/>
      <w:lvlText w:val="%1."/>
      <w:lvlJc w:val="left"/>
      <w:pPr>
        <w:ind w:left="680" w:hanging="396"/>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pPr>
        <w:spacing w:after="0" w:line="360"/>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spacing w:after="240" w:before="360" w:line="276"/>
      <w:jc w:val="left"/>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keepNext/>
      <w:spacing w:after="160" w:before="280" w:line="276"/>
      <w:jc w:val="left"/>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keepNext/>
      <w:spacing w:after="120" w:before="220" w:line="276"/>
      <w:jc w:val="left"/>
      <w:outlineLvl w:val="2"/>
    </w:pPr>
    <w:rPr>
      <w:rFonts w:ascii="Times New Roman" w:cs="Times New Roman" w:eastAsia="Times New Roman" w:hAnsi="Times New Roman"/>
      <w:b/>
      <w:bCs/>
      <w:i/>
      <w:iCs/>
      <w:color w:val="000000"/>
      <w:sz w:val="28"/>
      <w:szCs w:val="28"/>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ableText">
    <w:name w:val="Table Text"/>
    <w:basedOn w:val="Normal"/>
    <w:qFormat/>
    <w:pPr>
      <w:spacing w:after="40" w:before="40" w:line="240"/>
      <w:jc w:val="left"/>
    </w:pPr>
    <w:rPr>
      <w:rFonts w:ascii="Times New Roman" w:cs="Times New Roman" w:eastAsia="Times New Roman" w:hAnsi="Times New Roman"/>
      <w:sz w:val="24"/>
      <w:szCs w:val="24"/>
    </w:rPr>
  </w:style>
  <w:style w:type="paragraph" w:styleId="TableHead">
    <w:name w:val="Table Head"/>
    <w:basedOn w:val="Normal"/>
    <w:qFormat/>
    <w:pPr>
      <w:spacing w:after="40" w:before="40" w:line="240"/>
      <w:jc w:val="center"/>
    </w:pPr>
    <w:rPr>
      <w:rFonts w:ascii="Times New Roman" w:cs="Times New Roman" w:eastAsia="Times New Roman" w:hAnsi="Times New Roman"/>
      <w:b/>
      <w:bCs/>
      <w:sz w:val="24"/>
      <w:szCs w:val="24"/>
    </w:rPr>
  </w:style>
  <w:style w:type="paragraph" w:styleId="Center">
    <w:name w:val="Centered"/>
    <w:basedOn w:val="Normal"/>
    <w:qFormat/>
    <w:pPr>
      <w:jc w:val="center"/>
    </w:pPr>
  </w:style>
  <w:style w:type="paragraph" w:styleId="Small">
    <w:name w:val="Small"/>
    <w:basedOn w:val="Normal"/>
    <w:qFormat/>
    <w:pPr>
      <w:spacing w:line="240"/>
    </w:pPr>
    <w:rPr>
      <w:rFonts w:ascii="Times New Roman" w:cs="Times New Roman" w:eastAsia="Times New Roman" w:hAnsi="Times New Roman"/>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Соколовський В. В.</dc:creator>
  <cp:lastModifiedBy>Соколовський В. В.</cp:lastModifiedBy>
  <cp:revision>1</cp:revision>
  <dcterms:created xsi:type="dcterms:W3CDTF">2026-10-01T08:54:04.473Z</dcterms:created>
  <dcterms:modified xsi:type="dcterms:W3CDTF">2026-10-01T08:54:04.474Z</dcterms:modified>
</cp:coreProperties>
</file>

<file path=docProps/custom.xml><?xml version="1.0" encoding="utf-8"?>
<Properties xmlns="http://schemas.openxmlformats.org/officeDocument/2006/custom-properties" xmlns:vt="http://schemas.openxmlformats.org/officeDocument/2006/docPropsVTypes"/>
</file>