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and Operational Insights from a Pilot Agrivoltaic System in Ghana: A Statistical Analysis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Agrivoltaic systems — integrating photovoltaic (PV) energy generation with crop cultivation — offer a promising strategy for maximizing land use efficiency and promoting renewable energy adoption in agricultural economies. In tropical regions like Ghana, optimizing these dual-use systems requires understanding the environmental and operational factors that affect both solar energy output and crop microclimates.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detailed, descriptive and statistical analysis of the publicly released Agrivoltaic Dataset (Ghana) from the Responsible AI Lab (RAIL), Ghana. The dataset captures environmental variables (irradiation, temperature, relative humidity, soil moisture, and rainfall) across different experimental plots (agrivoltaic fields, control fields, and ground-mounted PV systems). The aim is to derive operational insights into the relationship between PV structures, microclimatic conditions, and weather variability.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perform a statistical analysis of environmental data from a pilot agrivoltaic system in Ghana to understand:</w:t>
      </w:r>
    </w:p>
    <w:p w:rsidR="00000000" w:rsidDel="00000000" w:rsidP="00000000" w:rsidRDefault="00000000" w:rsidRPr="00000000" w14:paraId="00000007">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Patterns in solar irradiation and temperature under different PV setups.</w:t>
      </w:r>
    </w:p>
    <w:p w:rsidR="00000000" w:rsidDel="00000000" w:rsidP="00000000" w:rsidRDefault="00000000" w:rsidRPr="00000000" w14:paraId="00000008">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Variations in relative humidity and rainfall across agrivoltaic and control plots.</w:t>
      </w:r>
    </w:p>
    <w:p w:rsidR="00000000" w:rsidDel="00000000" w:rsidP="00000000" w:rsidRDefault="00000000" w:rsidRPr="00000000" w14:paraId="00000009">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The influence of panel-mounted PV structures on local microclimate conditions.</w:t>
      </w:r>
    </w:p>
    <w:p w:rsidR="00000000" w:rsidDel="00000000" w:rsidP="00000000" w:rsidRDefault="00000000" w:rsidRPr="00000000" w14:paraId="0000000A">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Temporal patterns in environmental variables across different months of data collection.</w:t>
      </w:r>
    </w:p>
    <w:p w:rsidR="00000000" w:rsidDel="00000000" w:rsidP="00000000" w:rsidRDefault="00000000" w:rsidRPr="00000000" w14:paraId="0000000B">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Data-driven operational recommendations for agrivoltaic system optimization in tropical climates.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will address the following questions: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solar irradiation and ambient temperatures vary between agrivoltaic plots, control fields, and ground-mounted PV installations?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relative differences in humidity and soil moisture between shaded (agrivoltaic) and unshaded (control) plots?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environmental parameters fluctuate over different times of day and months (May, June, July, August, October)?</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significant microclimatic effects introduced by elevated PV structures compared to control conditions?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operational insights can be drawn for managing tropical agrivoltaic systems based on observed environmental patterns?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use:</w:t>
      </w:r>
    </w:p>
    <w:p w:rsidR="00000000" w:rsidDel="00000000" w:rsidP="00000000" w:rsidRDefault="00000000" w:rsidRPr="00000000" w14:paraId="00000015">
      <w:pPr>
        <w:numPr>
          <w:ilvl w:val="0"/>
          <w:numId w:val="5"/>
        </w:numPr>
        <w:ind w:left="720" w:hanging="360"/>
        <w:rPr/>
      </w:pPr>
      <w:r w:rsidDel="00000000" w:rsidR="00000000" w:rsidRPr="00000000">
        <w:rPr>
          <w:rFonts w:ascii="Times New Roman" w:cs="Times New Roman" w:eastAsia="Times New Roman" w:hAnsi="Times New Roman"/>
          <w:b w:val="1"/>
          <w:sz w:val="24"/>
          <w:szCs w:val="24"/>
          <w:rtl w:val="0"/>
        </w:rPr>
        <w:t xml:space="preserve">Agrivoltaic Dataset (Ghana)</w:t>
      </w:r>
      <w:r w:rsidDel="00000000" w:rsidR="00000000" w:rsidRPr="00000000">
        <w:rPr>
          <w:rFonts w:ascii="Times New Roman" w:cs="Times New Roman" w:eastAsia="Times New Roman" w:hAnsi="Times New Roman"/>
          <w:sz w:val="24"/>
          <w:szCs w:val="24"/>
          <w:rtl w:val="0"/>
        </w:rPr>
        <w:t xml:space="preserve"> from RAIL, Kaggle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Data Features:</w:t>
      </w:r>
      <w:r w:rsidDel="00000000" w:rsidR="00000000" w:rsidRPr="00000000">
        <w:rPr>
          <w:rtl w:val="0"/>
        </w:rPr>
      </w:r>
    </w:p>
    <w:tbl>
      <w:tblPr>
        <w:tblStyle w:val="Table1"/>
        <w:tblW w:w="79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7"/>
        <w:gridCol w:w="6211"/>
        <w:tblGridChange w:id="0">
          <w:tblGrid>
            <w:gridCol w:w="1737"/>
            <w:gridCol w:w="6211"/>
          </w:tblGrid>
        </w:tblGridChange>
      </w:tblGrid>
      <w:tr>
        <w:trPr>
          <w:cantSplit w:val="0"/>
          <w:tblHeader w:val="0"/>
        </w:trPr>
        <w:tc>
          <w:tcPr/>
          <w:p w:rsidR="00000000" w:rsidDel="00000000" w:rsidP="00000000" w:rsidRDefault="00000000" w:rsidRPr="00000000" w14:paraId="0000001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p w:rsidR="00000000" w:rsidDel="00000000" w:rsidP="00000000" w:rsidRDefault="00000000" w:rsidRPr="00000000" w14:paraId="0000001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AG-PV</w:t>
            </w:r>
          </w:p>
        </w:tc>
        <w:tc>
          <w:tcPr/>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Irradiation, temperature from agrivoltaic PV panels</w:t>
            </w:r>
          </w:p>
        </w:tc>
      </w:tr>
      <w:tr>
        <w:trPr>
          <w:cantSplit w:val="0"/>
          <w:tblHeader w:val="0"/>
        </w:trPr>
        <w:tc>
          <w:tcPr/>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AO-TI / AO-SS</w:t>
            </w:r>
          </w:p>
        </w:tc>
        <w:tc>
          <w:tcPr/>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humidity, soil moisture in control plots</w:t>
            </w:r>
          </w:p>
        </w:tc>
      </w:tr>
      <w:tr>
        <w:trPr>
          <w:cantSplit w:val="0"/>
          <w:tblHeader w:val="0"/>
        </w:trPr>
        <w:tc>
          <w:tcPr/>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PO-PV</w:t>
            </w:r>
          </w:p>
        </w:tc>
        <w:tc>
          <w:tcPr/>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Irradiation and temperature from ground-mounted PV systems</w:t>
            </w:r>
          </w:p>
        </w:tc>
      </w:tr>
      <w:tr>
        <w:trPr>
          <w:cantSplit w:val="0"/>
          <w:tblHeader w:val="0"/>
        </w:trPr>
        <w:tc>
          <w:tcPr/>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w:t>
            </w:r>
          </w:p>
        </w:tc>
        <w:tc>
          <w:tcPr/>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weather data (temperature, humidity, rainfall)</w:t>
            </w:r>
          </w:p>
        </w:tc>
      </w:tr>
      <w:tr>
        <w:trPr>
          <w:cantSplit w:val="0"/>
          <w:tblHeader w:val="0"/>
        </w:trPr>
        <w:tc>
          <w:tcPr/>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day for each measurement</w:t>
            </w:r>
          </w:p>
        </w:tc>
      </w:tr>
      <w:tr>
        <w:trPr>
          <w:cantSplit w:val="0"/>
          <w:tblHeader w:val="0"/>
        </w:trPr>
        <w:tc>
          <w:tcPr/>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w:t>
            </w:r>
          </w:p>
        </w:tc>
        <w:tc>
          <w:tcPr/>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May, June, July, August, and October</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data is in a structured format with columns like Irr (W/m²), T (°C), RH (%), and P (mm) captured per plot and time interval.</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Deliverables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well-structured dataset prepared for analysis.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Weekly reports on project progress.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report with time series visualizations and summary statistics.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comparison report detailing microclimate effects by plot type.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recommendations for agrivoltaic systems in tropical regions.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written project report summarizing objectives, methodology, findings, and conclusions.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data dashboard with your choice of content</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tbl>
      <w:tblPr>
        <w:tblStyle w:val="Table2"/>
        <w:tblW w:w="6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3"/>
        <w:gridCol w:w="1897"/>
        <w:tblGridChange w:id="0">
          <w:tblGrid>
            <w:gridCol w:w="4893"/>
            <w:gridCol w:w="1897"/>
          </w:tblGrid>
        </w:tblGridChange>
      </w:tblGrid>
      <w:tr>
        <w:trPr>
          <w:cantSplit w:val="0"/>
          <w:trHeight w:val="516" w:hRule="atLeast"/>
          <w:tblHeader w:val="0"/>
        </w:trPr>
        <w:tc>
          <w:tcPr/>
          <w:p w:rsidR="00000000" w:rsidDel="00000000" w:rsidP="00000000" w:rsidRDefault="00000000" w:rsidRPr="00000000" w14:paraId="0000002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p w:rsidR="00000000" w:rsidDel="00000000" w:rsidP="00000000" w:rsidRDefault="00000000" w:rsidRPr="00000000" w14:paraId="0000003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rHeight w:val="516" w:hRule="atLeast"/>
          <w:tblHeader w:val="0"/>
        </w:trPr>
        <w:tc>
          <w:tcPr/>
          <w:p w:rsidR="00000000" w:rsidDel="00000000" w:rsidP="00000000" w:rsidRDefault="00000000" w:rsidRPr="00000000" w14:paraId="000000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&amp; Cleaning</w:t>
            </w:r>
          </w:p>
        </w:tc>
        <w:tc>
          <w:tcPr/>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tc>
        <w:tc>
          <w:tcPr/>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Analysis</w:t>
            </w:r>
          </w:p>
        </w:tc>
        <w:tc>
          <w:tcPr/>
          <w:p w:rsidR="00000000" w:rsidDel="00000000" w:rsidP="00000000" w:rsidRDefault="00000000" w:rsidRPr="00000000" w14:paraId="00000036">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6" w:hRule="atLeast"/>
          <w:tblHeader w:val="0"/>
        </w:trPr>
        <w:tc>
          <w:tcPr/>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Generation &amp; Reporting</w:t>
            </w:r>
          </w:p>
        </w:tc>
        <w:tc>
          <w:tcPr/>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Impact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provide valuable operational insights into how agrivoltaic PV structures influence local microclimates in tropical settings. It will inform site design decisions, energy-agriculture balance strategies, and policy frameworks aimed at promoting sustainable, dual-use land management solutions in West Africa and beyond — contributing directly to SDG 2 (Zero Hunger), SDG 7 (Clean Energy), and SDG 13 (Climate Action).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D">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Responsible AI Lab (RAIL). (2024). </w:t>
      </w:r>
      <w:r w:rsidDel="00000000" w:rsidR="00000000" w:rsidRPr="00000000">
        <w:rPr>
          <w:rFonts w:ascii="Times New Roman" w:cs="Times New Roman" w:eastAsia="Times New Roman" w:hAnsi="Times New Roman"/>
          <w:i w:val="1"/>
          <w:sz w:val="24"/>
          <w:szCs w:val="24"/>
          <w:rtl w:val="0"/>
        </w:rPr>
        <w:t xml:space="preserve">Agrivoltaic Dataset (Ghana)</w:t>
      </w:r>
      <w:r w:rsidDel="00000000" w:rsidR="00000000" w:rsidRPr="00000000">
        <w:rPr>
          <w:rFonts w:ascii="Times New Roman" w:cs="Times New Roman" w:eastAsia="Times New Roman" w:hAnsi="Times New Roman"/>
          <w:sz w:val="24"/>
          <w:szCs w:val="24"/>
          <w:rtl w:val="0"/>
        </w:rPr>
        <w:t xml:space="preserve">. Retrieved from: </w:t>
      </w:r>
      <w:hyperlink r:id="rId6">
        <w:r w:rsidDel="00000000" w:rsidR="00000000" w:rsidRPr="00000000">
          <w:rPr>
            <w:rFonts w:ascii="Times New Roman" w:cs="Times New Roman" w:eastAsia="Times New Roman" w:hAnsi="Times New Roman"/>
            <w:color w:val="0563c1"/>
            <w:sz w:val="24"/>
            <w:szCs w:val="24"/>
            <w:u w:val="single"/>
            <w:rtl w:val="0"/>
          </w:rPr>
          <w:t xml:space="preserve">https://www.kaggle.com/datasets/responsibleailab/agrivoltaic-dataset-ghana</w:t>
        </w:r>
      </w:hyperlink>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Barron-Gafford, G.A., et al. (2019). </w:t>
      </w:r>
      <w:r w:rsidDel="00000000" w:rsidR="00000000" w:rsidRPr="00000000">
        <w:rPr>
          <w:rFonts w:ascii="Times New Roman" w:cs="Times New Roman" w:eastAsia="Times New Roman" w:hAnsi="Times New Roman"/>
          <w:i w:val="1"/>
          <w:sz w:val="24"/>
          <w:szCs w:val="24"/>
          <w:rtl w:val="0"/>
        </w:rPr>
        <w:t xml:space="preserve">Agrivoltaics Provide Mutual Benefits Across the Food–Energy–Water Nexus in Drylands</w:t>
      </w:r>
      <w:r w:rsidDel="00000000" w:rsidR="00000000" w:rsidRPr="00000000">
        <w:rPr>
          <w:rFonts w:ascii="Times New Roman" w:cs="Times New Roman" w:eastAsia="Times New Roman" w:hAnsi="Times New Roman"/>
          <w:sz w:val="24"/>
          <w:szCs w:val="24"/>
          <w:rtl w:val="0"/>
        </w:rPr>
        <w:t xml:space="preserve">. Nature Sustainability.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esponsibleailab/agrivoltaic-dataset-gha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