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E94DA9" w:rsidRPr="00E94DA9" w:rsidRDefault="00C369F0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</w:pPr>
      <w:bookmarkStart w:id="0" w:name="bookmark0"/>
      <w:r>
        <w:t xml:space="preserve">Spis č. 444/510/15- ц </w:t>
      </w:r>
    </w:p>
    <w:p w:rsidR="00E94DA9" w:rsidRPr="00E94DA9" w:rsidRDefault="00C369F0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</w:pPr>
      <w:r>
        <w:t xml:space="preserve">Řízení č. 2/444/334/2015 </w:t>
      </w:r>
    </w:p>
    <w:p w:rsidR="00C369F0" w:rsidRPr="00E94DA9" w:rsidRDefault="00C369F0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</w:pPr>
      <w:r>
        <w:t>Číslo řádku výkazu 49</w:t>
      </w:r>
    </w:p>
    <w:p w:rsidR="00C369F0" w:rsidRPr="00E94DA9" w:rsidRDefault="00C369F0" w:rsidP="00E94DA9">
      <w:pPr>
        <w:pStyle w:val="Zkladntext30"/>
        <w:shd w:val="clear" w:color="auto" w:fill="auto"/>
        <w:tabs>
          <w:tab w:val="left" w:pos="4954"/>
          <w:tab w:val="left" w:pos="10727"/>
        </w:tabs>
        <w:spacing w:after="0" w:line="240" w:lineRule="auto"/>
        <w:ind w:right="-46" w:firstLine="567"/>
        <w:jc w:val="both"/>
      </w:pPr>
      <w:r>
        <w:tab/>
      </w:r>
      <w:r>
        <w:t>TRESTNÍ PŘÍKAZ</w:t>
      </w:r>
    </w:p>
    <w:p w:rsidR="00C369F0" w:rsidRPr="00E94DA9" w:rsidRDefault="00C369F0" w:rsidP="00E94DA9">
      <w:pPr>
        <w:pStyle w:val="Zkladntext30"/>
        <w:shd w:val="clear" w:color="auto" w:fill="auto"/>
        <w:tabs>
          <w:tab w:val="left" w:pos="10727"/>
        </w:tabs>
        <w:spacing w:after="0" w:line="240" w:lineRule="auto"/>
        <w:ind w:right="-46" w:firstLine="567"/>
      </w:pPr>
      <w:r>
        <w:t>o zahájení řízení ve věci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E94DA9" w:rsidRDefault="00E94DA9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</w:p>
    <w:p w:rsidR="00C369F0" w:rsidRPr="00E94DA9" w:rsidRDefault="00C369F0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t xml:space="preserve">Dne 4. března roku 2015 soudce okresního soudu Žovkvy Lvovské oblasti. Mikula V. </w:t>
      </w:r>
      <w:r>
        <w:t xml:space="preserve">Je., po prozkoumání spisu občanskoprávního řízení na základě žalobního návrhu Ševčišin Oksany Romanivny proti Ševčišinovi Stanislavu o vymáhaní alimentů, 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C369F0" w:rsidRPr="00E94DA9" w:rsidRDefault="00C369F0" w:rsidP="00E94DA9">
      <w:pPr>
        <w:pStyle w:val="Nadpis10"/>
        <w:keepNext/>
        <w:keepLines/>
        <w:shd w:val="clear" w:color="auto" w:fill="auto"/>
        <w:tabs>
          <w:tab w:val="left" w:pos="10727"/>
        </w:tabs>
        <w:spacing w:line="240" w:lineRule="auto"/>
        <w:ind w:right="-46" w:firstLine="567"/>
        <w:jc w:val="center"/>
        <w:rPr>
          <w:rStyle w:val="Nadpis112ptTunNekurzva"/>
        </w:rPr>
      </w:pPr>
    </w:p>
    <w:p w:rsidR="002B0814" w:rsidRPr="00E94DA9" w:rsidRDefault="007E64AD" w:rsidP="00E94DA9">
      <w:pPr>
        <w:pStyle w:val="Nadpis10"/>
        <w:keepNext/>
        <w:keepLines/>
        <w:shd w:val="clear" w:color="auto" w:fill="auto"/>
        <w:tabs>
          <w:tab w:val="left" w:pos="10727"/>
        </w:tabs>
        <w:spacing w:line="240" w:lineRule="auto"/>
        <w:ind w:right="-46" w:firstLine="567"/>
        <w:jc w:val="center"/>
        <w:rPr>
          <w:sz w:val="24"/>
          <w:szCs w:val="24"/>
        </w:rPr>
      </w:pPr>
      <w:r>
        <w:rPr>
          <w:rStyle w:val="Nadpis112ptTunNekurzva"/>
        </w:rPr>
        <w:t>STANOVIL:</w:t>
      </w:r>
      <w:bookmarkEnd w:id="0"/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Žalobce podal do soudu s žalobním návrhem o vymáhaní alimentů.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Žalobní návrh podaný osobou, která je způsobila k občanskoprávním řízením, souhlasí a je podán podle stanovených požadavků čl. </w:t>
      </w:r>
      <w:r>
        <w:rPr>
          <w:rStyle w:val="Zkladntext21"/>
        </w:rPr>
        <w:t xml:space="preserve">119, 120 Občanského soudního řádu Ukrajiny. </w:t>
      </w:r>
      <w:r>
        <w:t>Tento občanskoprávní případ patří k projednání soudy obecné pravomoci v řízení civilním - řízení na základě žalobního návrhu a patří ke kompetenci Žovkivského okresnímu soudu Lvovské oblasti.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Vzhledem k výše uvedenému, jsem přesvědčen, že řízení v občanskoprávní věci na základě žalobního návrhu Ševčišin Oksany Romanivny proti Ševčišinovi Stanislavu o vymáhaní alimentů je třeba zahájit.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Na základě čl. </w:t>
      </w:r>
      <w:r>
        <w:rPr>
          <w:rStyle w:val="Zkladntext21"/>
        </w:rPr>
        <w:t>122, 209, 210, 293 Občanského soudního řádu Ukrajiny, soudce, -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E94DA9" w:rsidRDefault="00E94DA9" w:rsidP="00E94DA9">
      <w:pPr>
        <w:pStyle w:val="Nadpis10"/>
        <w:keepNext/>
        <w:keepLines/>
        <w:shd w:val="clear" w:color="auto" w:fill="auto"/>
        <w:tabs>
          <w:tab w:val="left" w:pos="10727"/>
        </w:tabs>
        <w:spacing w:line="240" w:lineRule="auto"/>
        <w:ind w:right="-46" w:firstLine="567"/>
        <w:rPr>
          <w:rStyle w:val="Nadpis112ptTunNekurzva"/>
        </w:rPr>
      </w:pPr>
      <w:bookmarkStart w:id="1" w:name="bookmark1"/>
    </w:p>
    <w:p w:rsidR="002B0814" w:rsidRPr="00E94DA9" w:rsidRDefault="007E64AD" w:rsidP="00E94DA9">
      <w:pPr>
        <w:pStyle w:val="Nadpis10"/>
        <w:keepNext/>
        <w:keepLines/>
        <w:shd w:val="clear" w:color="auto" w:fill="auto"/>
        <w:tabs>
          <w:tab w:val="left" w:pos="10727"/>
        </w:tabs>
        <w:spacing w:line="240" w:lineRule="auto"/>
        <w:ind w:right="-46" w:firstLine="567"/>
        <w:jc w:val="center"/>
        <w:rPr>
          <w:sz w:val="24"/>
          <w:szCs w:val="24"/>
        </w:rPr>
      </w:pPr>
      <w:r>
        <w:rPr>
          <w:rStyle w:val="Nadpis112ptTunNekurzva"/>
        </w:rPr>
        <w:t>USNESL SE:</w:t>
      </w:r>
      <w:bookmarkEnd w:id="1"/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Zahájit řízení ve věci č. 444/510/15-ц na základě žalobního návrhu Ševčišin Oksany Romanivny proti Ševčišinovi Stanislavu o vymáhaní alimentů.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Předepsat datum soudního zasedání 16. června roku 2015, 11:00 hod. Zasedání bude se konat v Žovkivském okresním soudu Lvovské oblasti.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Vysvětlit stranám, že žalobce má právo po celou dobu v případě zvětšit nebo zmenšit výše žalobních nároků, vzdát se žalobního návrhu, a žalovaný má právo přiznat nárok zcela nebo částečně. </w:t>
      </w:r>
      <w:r>
        <w:rPr>
          <w:rStyle w:val="Zkladntext21"/>
        </w:rPr>
        <w:t>Před zahájením řízení ve věci žalobce má právo podáním písemné žádosti změnit základ nebo předmět žalobního návrhu.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Žalovaný nejpozději do 16. června roku 2015 může předložit písemné námitky proti žalobnímu návrhu s uvedením skutečností, které potvrzují námitky.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Vysvětlit žalovanému, že v souladu s čl. </w:t>
      </w:r>
      <w:r>
        <w:rPr>
          <w:rStyle w:val="Zkladntext21"/>
        </w:rPr>
        <w:t>123 Občanského soudního řádu Ukrajiny on má právo před zahájením řízení podat protinávrh.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Vysvětlit stranám, že v souladu s čl. </w:t>
      </w:r>
      <w:r>
        <w:rPr>
          <w:rStyle w:val="Zkladntext21"/>
        </w:rPr>
        <w:t xml:space="preserve">131 Občanského soudního řádu Ukrajiny strany jsou povinny předložit své důkazy nebo je oznámit soudu před nebo během předběžného řízení, nebo pokud předběžné řízení nebylo zahájeno, tak v průběhu projednání samé věci. </w:t>
      </w:r>
      <w:r>
        <w:rPr>
          <w:rStyle w:val="Zkladntext21"/>
        </w:rPr>
        <w:t>V budoucnosti jiné důkazy budou se přijímat s ohledem na podstatnost důvodů nevčasného podání.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9091"/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Strany před nebo během předběžného řízení, nebo pokud předběžné řízení nebylo zahájeno, tak v průběhu projednání samé věci, jsou povinni informovat soud o všech řešeních soudů,vztahujících se na předmět sporu, stejně jako o všech probíhajících v té době soudních řízeních, týkajících se předmětu sporu.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Podle čl. </w:t>
      </w:r>
      <w:r>
        <w:rPr>
          <w:rStyle w:val="Zkladntext21"/>
        </w:rPr>
        <w:t xml:space="preserve">136, 137 Občanského soudního řádu Ukrajiny prohlášení o předvolání svědků, petice o podání důkazů musí být podána před nebo během předběžného řízení, nebo pokud předběžné řízení nebylo zahájeno, tak v průběhu projednání samé věci. </w:t>
      </w:r>
      <w:r>
        <w:rPr>
          <w:rStyle w:val="Zkladntext21"/>
        </w:rPr>
        <w:t>Kromě toho petice o podání důkazů musí obsahovat informace o nemožnosti získání těchto důkazů osobně účastníkem řízení nebo jinou osobou, zúčastněnou řízení.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Kopii trestního příkazu zaslat účastníkům řízení a žalovanému odeslat kopii tohoto trestního příkazu spolu s kopii žalobního návrhu a kopií přiložených dokumentů. 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Trestnímu příkazu o zahájení řízení nelze se odvolat zvláště od soudního rozsudku, s výjimkou případů odvolání takového příkazu z důvody zahájení řízení s nedodržením příslušnosti k určitému soudu. </w:t>
      </w:r>
      <w:r>
        <w:rPr>
          <w:rStyle w:val="Zkladntext21"/>
        </w:rPr>
        <w:t>Námitky k takovému trestnímu příkazu mohou být součástí odvolacího prostředku proti soudního rozsudku.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 xml:space="preserve">V případě odvolání proti trestnímu příkazu o zahájení řízení  z důvody zahájení řízení s nedodržením příslušnosti k určitému soudu odvolací prostředek lze podat během pěti dnů ode dne jeho zveřejnění. </w:t>
      </w:r>
      <w:r>
        <w:rPr>
          <w:rStyle w:val="Zkladntext21"/>
        </w:rPr>
        <w:t xml:space="preserve">Jestli trestní příkaz byl vydán bez účasti osoby, která se odvolá tomuto příkazu, odvolací prostředek lze podat během pěti dnů ode dne obdržení kopii příkazu. </w:t>
      </w:r>
    </w:p>
    <w:p w:rsidR="002B0814" w:rsidRPr="00E94DA9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</w:pPr>
      <w:r>
        <w:rPr>
          <w:rStyle w:val="Zkladntext21"/>
        </w:rPr>
        <w:t>Odvolací prostředek proti trestnímu příkazu lze podat do Odvolacího soudu Lvovské oblasti prostřednictvím Žovkivského okresního soudu Lvovské oblasti.</w:t>
      </w:r>
    </w:p>
    <w:p w:rsidR="002B0814" w:rsidRDefault="007E64AD" w:rsidP="00E94DA9">
      <w:pPr>
        <w:pStyle w:val="Zkladntext2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both"/>
        <w:rPr>
          <w:rStyle w:val="Zkladntext21"/>
        </w:rPr>
      </w:pPr>
      <w:r>
        <w:rPr>
          <w:rStyle w:val="Zkladntext21"/>
        </w:rPr>
        <w:t xml:space="preserve">Trestní rozkaz nabývá právní moci po uplynutí lhůty podaní odvolání, pokud takový odvolací prostředek nebyl podán. </w:t>
      </w:r>
      <w:r>
        <w:t xml:space="preserve">Při případném podání odvolacího prostředku trestní příkaz, pokud nebyl zrušen, nabývá právní moci po projednání věci Odvolacím soudem. </w:t>
      </w:r>
    </w:p>
    <w:p w:rsidR="00F55049" w:rsidRPr="00E94DA9" w:rsidRDefault="00F55049" w:rsidP="00E94DA9">
      <w:pPr>
        <w:pStyle w:val="Zkladntext3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left"/>
      </w:pPr>
      <w:r>
        <w:rPr>
          <w:rStyle w:val="Zkladntext3Exact0"/>
          <w:b/>
        </w:rPr>
        <w:t>Soudce</w:t>
      </w:r>
    </w:p>
    <w:p w:rsidR="002B0814" w:rsidRPr="00E94DA9" w:rsidRDefault="007E64AD" w:rsidP="00E94DA9">
      <w:pPr>
        <w:pStyle w:val="Zkladntext30"/>
        <w:shd w:val="clear" w:color="auto" w:fill="auto"/>
        <w:tabs>
          <w:tab w:val="left" w:pos="10727"/>
        </w:tabs>
        <w:spacing w:after="0" w:line="240" w:lineRule="auto"/>
        <w:ind w:right="-46" w:firstLine="567"/>
        <w:jc w:val="left"/>
      </w:pPr>
      <w:r>
        <w:rPr>
          <w:rStyle w:val="Zkladntext31"/>
          <w:b/>
        </w:rPr>
        <w:t xml:space="preserve">Mikula V. </w:t>
      </w:r>
      <w:r>
        <w:rPr>
          <w:rStyle w:val="Zkladntext31"/>
          <w:b/>
        </w:rPr>
        <w:t>Je.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B0814" w:rsidRPr="00E94DA9" w:rsidSect="00E94DA9">
      <w:type w:val="continuous"/>
      <w:pgSz w:w="15134" w:h="19536"/>
      <w:pgMar w:top="1276" w:right="1667" w:bottom="1643" w:left="1843" w:header="0" w:footer="3" w:gutter="0"/>
      <w:cols w:space="720"/>
      <w:noEndnote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7E64AD" w:rsidRDefault="007E64AD">
      <w:pPr/>
      <w:r>
        <w:separator/>
      </w:r>
    </w:p>
  </w:endnote>
  <w:endnote w:type="continuationSeparator" w:id="0">
    <w:p w:rsidR="007E64AD" w:rsidRDefault="007E64AD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7E64AD" w:rsidRDefault="007E64AD">
      <w:pPr/>
    </w:p>
  </w:footnote>
  <w:footnote w:type="continuationSeparator" w:id="0">
    <w:p w:rsidR="007E64AD" w:rsidRDefault="007E64AD">
      <w:pPr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2B0814"/>
    <w:rsid w:val="002B0814"/>
    <w:rsid w:val="006A3A9A"/>
    <w:rsid w:val="007E64AD"/>
    <w:rsid w:val="00931BBE"/>
    <w:rsid w:val="00C369F0"/>
    <w:rsid w:val="00E94DA9"/>
    <w:rsid w:val="00F5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1BB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31BBE"/>
    <w:rPr>
      <w:color w:val="0066CC"/>
      <w:u w:val="single"/>
    </w:rPr>
  </w:style>
  <w:style w:type="character" w:customStyle="1" w:styleId="Nadpis1">
    <w:name w:val="Nadpis #1_"/>
    <w:basedOn w:val="a0"/>
    <w:link w:val="Nadpis10"/>
    <w:rsid w:val="00931BB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customStyle="1" w:styleId="Nadpis112ptTunNekurzva">
    <w:name w:val="Nadpis #1 + 12 pt;Tučné;Ne kurzíva"/>
    <w:basedOn w:val="Nadpis1"/>
    <w:rsid w:val="00931BB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2">
    <w:name w:val="Základní text (2)_"/>
    <w:basedOn w:val="a0"/>
    <w:link w:val="Zkladntext20"/>
    <w:rsid w:val="00931BB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21">
    <w:name w:val="Základní text (2)"/>
    <w:basedOn w:val="Zkladntext2"/>
    <w:rsid w:val="00931BB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22">
    <w:name w:val="Základní text (2)"/>
    <w:basedOn w:val="Zkladntext2"/>
    <w:rsid w:val="00931BB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3Exact">
    <w:name w:val="Základní text (3) Exact"/>
    <w:basedOn w:val="a0"/>
    <w:rsid w:val="00931B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Zkladntext3Exact0">
    <w:name w:val="Základní text (3) Exact"/>
    <w:basedOn w:val="Zkladntext3"/>
    <w:rsid w:val="00931B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Zkladntext2ArialUnicodeMS11pt">
    <w:name w:val="Základní text (2) + Arial Unicode MS;11 pt"/>
    <w:basedOn w:val="Zkladntext2"/>
    <w:rsid w:val="00931BBE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cs-CZ" w:eastAsia="cs-CZ" w:bidi="cs-CZ"/>
    </w:rPr>
  </w:style>
  <w:style w:type="character" w:customStyle="1" w:styleId="Zkladntext3">
    <w:name w:val="Základní text (3)_"/>
    <w:basedOn w:val="a0"/>
    <w:link w:val="Zkladntext30"/>
    <w:rsid w:val="00931B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Zkladntext31">
    <w:name w:val="Základní text (3)"/>
    <w:basedOn w:val="Zkladntext3"/>
    <w:rsid w:val="00931BB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4Exact">
    <w:name w:val="Základní text (4) Exact"/>
    <w:basedOn w:val="a0"/>
    <w:link w:val="Zkladntext4"/>
    <w:rsid w:val="00931BBE"/>
    <w:rPr>
      <w:rFonts w:ascii="Sylfaen" w:eastAsia="Sylfaen" w:hAnsi="Sylfaen" w:cs="Sylfaen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Nadpis10">
    <w:name w:val="Nadpis #1"/>
    <w:basedOn w:val="a"/>
    <w:link w:val="Nadpis1"/>
    <w:rsid w:val="00931BBE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2"/>
      <w:szCs w:val="32"/>
    </w:rPr>
  </w:style>
  <w:style w:type="paragraph" w:customStyle="1" w:styleId="Zkladntext20">
    <w:name w:val="Základní text (2)"/>
    <w:basedOn w:val="a"/>
    <w:link w:val="Zkladntext2"/>
    <w:rsid w:val="00931BBE"/>
    <w:pPr>
      <w:shd w:val="clear" w:color="auto" w:fill="FFFFFF"/>
      <w:spacing w:after="300" w:line="283" w:lineRule="exact"/>
      <w:jc w:val="right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a"/>
    <w:link w:val="Zkladntext3"/>
    <w:rsid w:val="00931BBE"/>
    <w:pPr>
      <w:shd w:val="clear" w:color="auto" w:fill="FFFFFF"/>
      <w:spacing w:after="30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Zkladntext4">
    <w:name w:val="Základní text (4)"/>
    <w:basedOn w:val="a"/>
    <w:link w:val="Zkladntext4Exact"/>
    <w:rsid w:val="00931BBE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369F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369F0"/>
    <w:rPr>
      <w:color w:val="000000"/>
    </w:rPr>
  </w:style>
  <w:style w:type="paragraph" w:styleId="a6">
    <w:name w:val="footer"/>
    <w:basedOn w:val="a"/>
    <w:link w:val="a7"/>
    <w:uiPriority w:val="99"/>
    <w:unhideWhenUsed/>
    <w:rsid w:val="00C369F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369F0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<Relationships xmlns="http://schemas.openxmlformats.org/package/2006/relationships"><Relationship Id="rId8" Type="http://schemas.microsoft.com/office/2007/relationships/stylesWithEffects" Target="stylesWithEffects.xml" /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5</cp:revision>
  <dcterms:created xsi:type="dcterms:W3CDTF">2015-03-21T23:41:00Z</dcterms:created>
  <dcterms:modified xsi:type="dcterms:W3CDTF">2015-03-22T21:19:00Z</dcterms:modified>
</cp:coreProperties>
</file>