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DA9" w:rsidRPr="00E94DA9" w:rsidRDefault="00C369F0" w:rsidP="00E94DA9">
      <w:pPr>
        <w:pStyle w:val="Zkladntext20"/>
        <w:shd w:val="clear" w:color="auto" w:fill="auto"/>
        <w:tabs>
          <w:tab w:val="left" w:pos="10727"/>
        </w:tabs>
        <w:spacing w:after="0" w:line="240" w:lineRule="auto"/>
        <w:ind w:right="-46" w:firstLine="567"/>
      </w:pPr>
      <w:bookmarkStart w:id="0" w:name="bookmark0"/>
      <w:r w:rsidRPr="00E94DA9">
        <w:t xml:space="preserve">Справа № 444/510/15-ц </w:t>
      </w:r>
    </w:p>
    <w:p w:rsidR="00E94DA9" w:rsidRPr="00E94DA9" w:rsidRDefault="00C369F0" w:rsidP="00E94DA9">
      <w:pPr>
        <w:pStyle w:val="Zkladntext20"/>
        <w:shd w:val="clear" w:color="auto" w:fill="auto"/>
        <w:tabs>
          <w:tab w:val="left" w:pos="10727"/>
        </w:tabs>
        <w:spacing w:after="0" w:line="240" w:lineRule="auto"/>
        <w:ind w:right="-46" w:firstLine="567"/>
      </w:pPr>
      <w:r w:rsidRPr="00E94DA9">
        <w:t xml:space="preserve">Провадження № 2/444/334/2015 </w:t>
      </w:r>
    </w:p>
    <w:p w:rsidR="00C369F0" w:rsidRPr="00E94DA9" w:rsidRDefault="00C369F0" w:rsidP="00E94DA9">
      <w:pPr>
        <w:pStyle w:val="Zkladntext20"/>
        <w:shd w:val="clear" w:color="auto" w:fill="auto"/>
        <w:tabs>
          <w:tab w:val="left" w:pos="10727"/>
        </w:tabs>
        <w:spacing w:after="0" w:line="240" w:lineRule="auto"/>
        <w:ind w:right="-46" w:firstLine="567"/>
      </w:pPr>
      <w:r w:rsidRPr="00E94DA9">
        <w:t>Номер рядка звіту 49</w:t>
      </w:r>
    </w:p>
    <w:p w:rsidR="00C369F0" w:rsidRPr="00E94DA9" w:rsidRDefault="00C369F0" w:rsidP="00E94DA9">
      <w:pPr>
        <w:pStyle w:val="Zkladntext30"/>
        <w:shd w:val="clear" w:color="auto" w:fill="auto"/>
        <w:tabs>
          <w:tab w:val="left" w:pos="4954"/>
          <w:tab w:val="left" w:pos="10727"/>
        </w:tabs>
        <w:spacing w:after="0" w:line="240" w:lineRule="auto"/>
        <w:ind w:right="-46" w:firstLine="567"/>
        <w:jc w:val="both"/>
      </w:pPr>
      <w:r w:rsidRPr="00E94DA9">
        <w:tab/>
        <w:t>УХВАЛА</w:t>
      </w:r>
    </w:p>
    <w:p w:rsidR="00C369F0" w:rsidRPr="00E94DA9" w:rsidRDefault="00C369F0" w:rsidP="00E94DA9">
      <w:pPr>
        <w:pStyle w:val="Zkladntext30"/>
        <w:shd w:val="clear" w:color="auto" w:fill="auto"/>
        <w:tabs>
          <w:tab w:val="left" w:pos="10727"/>
        </w:tabs>
        <w:spacing w:after="0" w:line="240" w:lineRule="auto"/>
        <w:ind w:right="-46" w:firstLine="567"/>
      </w:pPr>
      <w:r w:rsidRPr="00E94DA9">
        <w:t>про відкриття провадження у справі</w:t>
      </w:r>
    </w:p>
    <w:p w:rsidR="00E94DA9" w:rsidRDefault="00E94DA9" w:rsidP="00E94DA9">
      <w:pPr>
        <w:pStyle w:val="Zkladntext20"/>
        <w:shd w:val="clear" w:color="auto" w:fill="auto"/>
        <w:tabs>
          <w:tab w:val="left" w:pos="10727"/>
        </w:tabs>
        <w:spacing w:after="0" w:line="240" w:lineRule="auto"/>
        <w:ind w:right="-46" w:firstLine="567"/>
        <w:jc w:val="both"/>
      </w:pPr>
    </w:p>
    <w:p w:rsidR="00C369F0" w:rsidRPr="00E94DA9" w:rsidRDefault="00C369F0" w:rsidP="00E94DA9">
      <w:pPr>
        <w:pStyle w:val="Zkladntext20"/>
        <w:shd w:val="clear" w:color="auto" w:fill="auto"/>
        <w:tabs>
          <w:tab w:val="left" w:pos="10727"/>
        </w:tabs>
        <w:spacing w:after="0" w:line="240" w:lineRule="auto"/>
        <w:ind w:right="-46" w:firstLine="567"/>
        <w:jc w:val="both"/>
      </w:pPr>
      <w:r w:rsidRPr="00E94DA9">
        <w:t xml:space="preserve">04 березня 2015 року судця </w:t>
      </w:r>
      <w:proofErr w:type="spellStart"/>
      <w:r w:rsidRPr="00E94DA9">
        <w:t>Жовківського</w:t>
      </w:r>
      <w:proofErr w:type="spellEnd"/>
      <w:r w:rsidRPr="00E94DA9">
        <w:t xml:space="preserve"> районного суду Львівської області </w:t>
      </w:r>
      <w:proofErr w:type="spellStart"/>
      <w:r w:rsidRPr="00E94DA9">
        <w:t>Мікула</w:t>
      </w:r>
      <w:proofErr w:type="spellEnd"/>
      <w:r w:rsidRPr="00E94DA9">
        <w:t xml:space="preserve"> В. Є., вивчивши матеріали цивільної справи за позовом </w:t>
      </w:r>
      <w:proofErr w:type="spellStart"/>
      <w:r w:rsidRPr="00E94DA9">
        <w:t>Шевчишин</w:t>
      </w:r>
      <w:proofErr w:type="spellEnd"/>
      <w:r w:rsidRPr="00E94DA9">
        <w:t xml:space="preserve"> Оксани Романівни до </w:t>
      </w:r>
      <w:proofErr w:type="spellStart"/>
      <w:r w:rsidRPr="00E94DA9">
        <w:t>Шевчишин</w:t>
      </w:r>
      <w:proofErr w:type="spellEnd"/>
      <w:r w:rsidRPr="00E94DA9">
        <w:t xml:space="preserve"> Станіслава про стягнення аліментів,-</w:t>
      </w:r>
    </w:p>
    <w:p w:rsidR="00C369F0" w:rsidRPr="00E94DA9" w:rsidRDefault="00C369F0" w:rsidP="00E94DA9">
      <w:pPr>
        <w:pStyle w:val="Nadpis10"/>
        <w:keepNext/>
        <w:keepLines/>
        <w:shd w:val="clear" w:color="auto" w:fill="auto"/>
        <w:tabs>
          <w:tab w:val="left" w:pos="10727"/>
        </w:tabs>
        <w:spacing w:line="240" w:lineRule="auto"/>
        <w:ind w:right="-46" w:firstLine="567"/>
        <w:jc w:val="center"/>
        <w:rPr>
          <w:rStyle w:val="Nadpis112ptTunNekurzva"/>
        </w:rPr>
      </w:pPr>
    </w:p>
    <w:p w:rsidR="002B0814" w:rsidRPr="00E94DA9" w:rsidRDefault="007E64AD" w:rsidP="00E94DA9">
      <w:pPr>
        <w:pStyle w:val="Nadpis10"/>
        <w:keepNext/>
        <w:keepLines/>
        <w:shd w:val="clear" w:color="auto" w:fill="auto"/>
        <w:tabs>
          <w:tab w:val="left" w:pos="10727"/>
        </w:tabs>
        <w:spacing w:line="240" w:lineRule="auto"/>
        <w:ind w:right="-46" w:firstLine="567"/>
        <w:jc w:val="center"/>
        <w:rPr>
          <w:sz w:val="24"/>
          <w:szCs w:val="24"/>
        </w:rPr>
      </w:pPr>
      <w:r w:rsidRPr="00E94DA9">
        <w:rPr>
          <w:rStyle w:val="Nadpis112ptTunNekurzva"/>
        </w:rPr>
        <w:t>ВСТАНОВИВ:</w:t>
      </w:r>
      <w:bookmarkEnd w:id="0"/>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Позивач звернувся до суду з позовом до відповідача про стягнення аліментів.</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Позовна заява подана особою, яка наділена цивільною процесуальною дієздатністю, відповідає та подана згідно вимог, викладених у ст. 119, 120 ЦПК України. Дана цивільна справа підлягає розгляду в судах загальної юрисдикції в порядку цивільного судочинства </w:t>
      </w:r>
      <w:r w:rsidRPr="00E94DA9">
        <w:rPr>
          <w:rStyle w:val="Zkladntext22"/>
        </w:rPr>
        <w:t xml:space="preserve">- </w:t>
      </w:r>
      <w:r w:rsidRPr="00E94DA9">
        <w:rPr>
          <w:rStyle w:val="Zkladntext21"/>
        </w:rPr>
        <w:t xml:space="preserve">позовне провадження, і підсудна </w:t>
      </w:r>
      <w:proofErr w:type="spellStart"/>
      <w:r w:rsidRPr="00E94DA9">
        <w:rPr>
          <w:rStyle w:val="Zkladntext21"/>
        </w:rPr>
        <w:t>Жовківському</w:t>
      </w:r>
      <w:proofErr w:type="spellEnd"/>
      <w:r w:rsidRPr="00E94DA9">
        <w:rPr>
          <w:rStyle w:val="Zkladntext21"/>
        </w:rPr>
        <w:t xml:space="preserve"> районному суду Львівської області.</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Враховуючи викладене, вважаю, що провадження у цивільній справі за позовом </w:t>
      </w:r>
      <w:proofErr w:type="spellStart"/>
      <w:r w:rsidRPr="00E94DA9">
        <w:rPr>
          <w:rStyle w:val="Zkladntext21"/>
        </w:rPr>
        <w:t>Шевчишин</w:t>
      </w:r>
      <w:proofErr w:type="spellEnd"/>
      <w:r w:rsidRPr="00E94DA9">
        <w:rPr>
          <w:rStyle w:val="Zkladntext21"/>
        </w:rPr>
        <w:t xml:space="preserve"> Оксани Романівни до </w:t>
      </w:r>
      <w:proofErr w:type="spellStart"/>
      <w:r w:rsidRPr="00E94DA9">
        <w:rPr>
          <w:rStyle w:val="Zkladntext21"/>
        </w:rPr>
        <w:t>Шевчишин</w:t>
      </w:r>
      <w:proofErr w:type="spellEnd"/>
      <w:r w:rsidRPr="00E94DA9">
        <w:rPr>
          <w:rStyle w:val="Zkladntext21"/>
        </w:rPr>
        <w:t xml:space="preserve"> Станіслава про стягнення аліментів, слід відкрити, призначивши справу до розгляду в судовому засіданні.</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Керуючись ст. 122, 209, 210, 293 ЦПК України, суддя, -</w:t>
      </w:r>
    </w:p>
    <w:p w:rsidR="00E94DA9" w:rsidRDefault="00E94DA9" w:rsidP="00E94DA9">
      <w:pPr>
        <w:pStyle w:val="Nadpis10"/>
        <w:keepNext/>
        <w:keepLines/>
        <w:shd w:val="clear" w:color="auto" w:fill="auto"/>
        <w:tabs>
          <w:tab w:val="left" w:pos="10727"/>
        </w:tabs>
        <w:spacing w:line="240" w:lineRule="auto"/>
        <w:ind w:right="-46" w:firstLine="567"/>
        <w:rPr>
          <w:rStyle w:val="Nadpis112ptTunNekurzva"/>
        </w:rPr>
      </w:pPr>
      <w:bookmarkStart w:id="1" w:name="bookmark1"/>
    </w:p>
    <w:p w:rsidR="002B0814" w:rsidRPr="00E94DA9" w:rsidRDefault="007E64AD" w:rsidP="00E94DA9">
      <w:pPr>
        <w:pStyle w:val="Nadpis10"/>
        <w:keepNext/>
        <w:keepLines/>
        <w:shd w:val="clear" w:color="auto" w:fill="auto"/>
        <w:tabs>
          <w:tab w:val="left" w:pos="10727"/>
        </w:tabs>
        <w:spacing w:line="240" w:lineRule="auto"/>
        <w:ind w:right="-46" w:firstLine="567"/>
        <w:jc w:val="center"/>
        <w:rPr>
          <w:sz w:val="24"/>
          <w:szCs w:val="24"/>
        </w:rPr>
      </w:pPr>
      <w:r w:rsidRPr="00E94DA9">
        <w:rPr>
          <w:rStyle w:val="Nadpis112ptTunNekurzva"/>
        </w:rPr>
        <w:t>УХВАЛИВ:</w:t>
      </w:r>
      <w:bookmarkEnd w:id="1"/>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Відкрити провадження в справі № 444/510/15-ц за позовом </w:t>
      </w:r>
      <w:proofErr w:type="spellStart"/>
      <w:r w:rsidRPr="00E94DA9">
        <w:rPr>
          <w:rStyle w:val="Zkladntext21"/>
        </w:rPr>
        <w:t>Шевчишин</w:t>
      </w:r>
      <w:proofErr w:type="spellEnd"/>
      <w:r w:rsidRPr="00E94DA9">
        <w:rPr>
          <w:rStyle w:val="Zkladntext21"/>
        </w:rPr>
        <w:t xml:space="preserve"> Оксани Романівни до </w:t>
      </w:r>
      <w:proofErr w:type="spellStart"/>
      <w:r w:rsidRPr="00E94DA9">
        <w:rPr>
          <w:rStyle w:val="Zkladntext21"/>
        </w:rPr>
        <w:t>Шевчишин</w:t>
      </w:r>
      <w:proofErr w:type="spellEnd"/>
      <w:r w:rsidRPr="00E94DA9">
        <w:rPr>
          <w:rStyle w:val="Zkladntext21"/>
        </w:rPr>
        <w:t xml:space="preserve"> Станіслава про стягнення аліментів.</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Судове засідання призначити в приміщенні </w:t>
      </w:r>
      <w:proofErr w:type="spellStart"/>
      <w:r w:rsidRPr="00E94DA9">
        <w:rPr>
          <w:rStyle w:val="Zkladntext21"/>
        </w:rPr>
        <w:t>Жовківського</w:t>
      </w:r>
      <w:proofErr w:type="spellEnd"/>
      <w:r w:rsidRPr="00E94DA9">
        <w:rPr>
          <w:rStyle w:val="Zkladntext21"/>
        </w:rPr>
        <w:t xml:space="preserve"> районного суду Львівської області на 16 червня 2015 року о 11:00 </w:t>
      </w:r>
      <w:r w:rsidRPr="00E94DA9">
        <w:rPr>
          <w:rStyle w:val="Zkladntext21"/>
          <w:lang w:val="ru-RU" w:eastAsia="ru-RU" w:bidi="ru-RU"/>
        </w:rPr>
        <w:t>год.</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Роз’яснити сторонам, що позивач має право протягом усього часу розгляду справи збільшити або зменшити розмір позовних вимог, відмовитися від позову, а відповідач має право визнати позов повністю або частково. До початку розгляду справи по суті позивач має право шляхом подання письмової заяви змінити підставу або предмет позову.</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Відповідачу в строк до 16 червня 2015 року пропонується подати письмові заперечення проти позову із зазначенням доказів, що підтверджують їх заперечення.</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Роз’яснити відповідачу, що у відповідності до вимог ст. 123 ЦПК України він має право до початку розгляду справи по суті пред’явити зустрічний позов.</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Роз’яснити сторонам, що відповідно до вимог ст. 131 ЦПК України сторони зобов’язані подати свої докази, чи повідомити про них суд, до або під час попереднього судового засідання, а в разі якщо таке не проводиться, до початку розгляду справи по суті. У подальшому прийняття інших доказів залежить від поважності причин, через які вони будуть подані несвоєчасно.</w:t>
      </w:r>
    </w:p>
    <w:p w:rsidR="002B0814" w:rsidRPr="00E94DA9" w:rsidRDefault="007E64AD" w:rsidP="00E94DA9">
      <w:pPr>
        <w:pStyle w:val="Zkladntext20"/>
        <w:shd w:val="clear" w:color="auto" w:fill="auto"/>
        <w:tabs>
          <w:tab w:val="left" w:pos="9091"/>
          <w:tab w:val="left" w:pos="10727"/>
        </w:tabs>
        <w:spacing w:after="0" w:line="240" w:lineRule="auto"/>
        <w:ind w:right="-46" w:firstLine="567"/>
        <w:jc w:val="both"/>
      </w:pPr>
      <w:r w:rsidRPr="00E94DA9">
        <w:rPr>
          <w:rStyle w:val="Zkladntext21"/>
        </w:rPr>
        <w:t>Сторони до або під час попереднього судового засідання у справі, а якщо таке не проводиться, то до початку розгляду справи по суті, зобов’язані повідомити суд про всі відомі їм рішення судів, що стосуються предмету спору, а також про всі відомі їм незавершені судові провадження, що стосуються предмету спору.</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Згідно ст. 136, 137 ЦПК України, заява про виклик свідків, клопотання про витребування доказів має бути подано до або під час попереднього судового засідання, а якщо таке не проводиться, то до початку розгляду справи по суті. Крім того, до клопотання про витребування доказів має бути долучено відомості про неможливість отримання таких доказів особисто стороною або іншою особою, яка бере участь у справі.</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Копію ухвали направити сторонам, а відповідачу - направити копію ухвали разом з копією</w:t>
      </w:r>
      <w:r w:rsidR="00E94DA9">
        <w:rPr>
          <w:rStyle w:val="Zkladntext21"/>
        </w:rPr>
        <w:t xml:space="preserve"> </w:t>
      </w:r>
      <w:r w:rsidRPr="00E94DA9">
        <w:rPr>
          <w:rStyle w:val="Zkladntext21"/>
        </w:rPr>
        <w:t xml:space="preserve">позовної заяви та копіями доданих до неї документів. </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Ухвала про відкриття провадження оскарженню окремо від рішення суду не підлягає, крім випадків оскарження такої ухвали з підстав відкриття провадження з недотриманням правил підсудності. Заперечення на таку ухвалу можуть бути включені до апеляційної скарги на рішення суду.</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У випадку оскарження ухвали про відкриття провадження з підстав недотримання правил підсудності, апеляційна скарга подається протягом п’яти днів з дня її проголошення. У разі якщо ухвалу було постановлено без участі особи, яка її оскаржує, апеляційна скарга подається протягом п’яти днів з дня отримання копії </w:t>
      </w:r>
      <w:r w:rsidRPr="00E94DA9">
        <w:rPr>
          <w:rStyle w:val="Zkladntext21"/>
          <w:lang w:val="ru-RU" w:eastAsia="ru-RU" w:bidi="ru-RU"/>
        </w:rPr>
        <w:t>ухвали.</w:t>
      </w:r>
    </w:p>
    <w:p w:rsidR="002B0814" w:rsidRPr="00E94DA9" w:rsidRDefault="007E64AD" w:rsidP="00E94DA9">
      <w:pPr>
        <w:pStyle w:val="Zkladntext20"/>
        <w:shd w:val="clear" w:color="auto" w:fill="auto"/>
        <w:tabs>
          <w:tab w:val="left" w:pos="10727"/>
        </w:tabs>
        <w:spacing w:after="0" w:line="240" w:lineRule="auto"/>
        <w:ind w:right="-46" w:firstLine="567"/>
        <w:jc w:val="both"/>
      </w:pPr>
      <w:r w:rsidRPr="00E94DA9">
        <w:rPr>
          <w:rStyle w:val="Zkladntext21"/>
        </w:rPr>
        <w:t xml:space="preserve">Апеляційна скарга на ухвалу суду подається Апеляційному суду Львівської області через </w:t>
      </w:r>
      <w:proofErr w:type="spellStart"/>
      <w:r w:rsidRPr="00E94DA9">
        <w:rPr>
          <w:rStyle w:val="Zkladntext21"/>
        </w:rPr>
        <w:t>Жовківський</w:t>
      </w:r>
      <w:proofErr w:type="spellEnd"/>
      <w:r w:rsidRPr="00E94DA9">
        <w:rPr>
          <w:rStyle w:val="Zkladntext21"/>
        </w:rPr>
        <w:t xml:space="preserve"> районний суд Львівської області.</w:t>
      </w:r>
    </w:p>
    <w:p w:rsidR="002B0814" w:rsidRDefault="007E64AD" w:rsidP="00E94DA9">
      <w:pPr>
        <w:pStyle w:val="Zkladntext20"/>
        <w:shd w:val="clear" w:color="auto" w:fill="auto"/>
        <w:tabs>
          <w:tab w:val="left" w:pos="10727"/>
        </w:tabs>
        <w:spacing w:after="0" w:line="240" w:lineRule="auto"/>
        <w:ind w:right="-46" w:firstLine="567"/>
        <w:jc w:val="both"/>
        <w:rPr>
          <w:rStyle w:val="Zkladntext21"/>
        </w:rPr>
      </w:pPr>
      <w:r w:rsidRPr="00E94DA9">
        <w:rPr>
          <w:rStyle w:val="Zkladntext21"/>
        </w:rPr>
        <w:t xml:space="preserve">Ухвала суду набирає законної сили після закінчення строку для подання апеляційної скарги, якщо апеляційну скаргу не було подано. </w:t>
      </w:r>
      <w:r w:rsidRPr="00E94DA9">
        <w:rPr>
          <w:rStyle w:val="Zkladntext2ArialUnicodeMS11pt"/>
          <w:rFonts w:ascii="Times New Roman" w:hAnsi="Times New Roman" w:cs="Times New Roman"/>
          <w:sz w:val="24"/>
          <w:szCs w:val="24"/>
        </w:rPr>
        <w:t xml:space="preserve">У </w:t>
      </w:r>
      <w:r w:rsidRPr="00E94DA9">
        <w:rPr>
          <w:rStyle w:val="Zkladntext21"/>
        </w:rPr>
        <w:t>разі подання апеляційної скарги ухвала, якщо її не скасовано, набирає законної сили після розгляду справи апеляційним судом.</w:t>
      </w:r>
    </w:p>
    <w:p w:rsidR="00F55049" w:rsidRPr="00E94DA9" w:rsidRDefault="00F55049" w:rsidP="00E94DA9">
      <w:pPr>
        <w:pStyle w:val="Zkladntext30"/>
        <w:shd w:val="clear" w:color="auto" w:fill="auto"/>
        <w:tabs>
          <w:tab w:val="left" w:pos="10727"/>
        </w:tabs>
        <w:spacing w:after="0" w:line="240" w:lineRule="auto"/>
        <w:ind w:right="-46" w:firstLine="567"/>
        <w:jc w:val="left"/>
      </w:pPr>
      <w:r w:rsidRPr="00E94DA9">
        <w:rPr>
          <w:rStyle w:val="Zkladntext3Exact0"/>
          <w:b/>
          <w:bCs/>
        </w:rPr>
        <w:t>Суддя</w:t>
      </w:r>
    </w:p>
    <w:p w:rsidR="002B0814" w:rsidRPr="00E94DA9" w:rsidRDefault="007E64AD" w:rsidP="00E94DA9">
      <w:pPr>
        <w:pStyle w:val="Zkladntext30"/>
        <w:shd w:val="clear" w:color="auto" w:fill="auto"/>
        <w:tabs>
          <w:tab w:val="left" w:pos="10727"/>
        </w:tabs>
        <w:spacing w:after="0" w:line="240" w:lineRule="auto"/>
        <w:ind w:right="-46" w:firstLine="567"/>
        <w:jc w:val="left"/>
      </w:pPr>
      <w:proofErr w:type="spellStart"/>
      <w:r w:rsidRPr="00E94DA9">
        <w:rPr>
          <w:rStyle w:val="Zkladntext31"/>
          <w:b/>
          <w:bCs/>
        </w:rPr>
        <w:t>Мікула</w:t>
      </w:r>
      <w:proofErr w:type="spellEnd"/>
      <w:r w:rsidRPr="00E94DA9">
        <w:rPr>
          <w:rStyle w:val="Zkladntext31"/>
          <w:b/>
          <w:bCs/>
        </w:rPr>
        <w:t xml:space="preserve"> В. Є.</w:t>
      </w:r>
      <w:bookmarkStart w:id="2" w:name="_GoBack"/>
      <w:bookmarkEnd w:id="2"/>
    </w:p>
    <w:sectPr w:rsidR="002B0814" w:rsidRPr="00E94DA9" w:rsidSect="00E94DA9">
      <w:type w:val="continuous"/>
      <w:pgSz w:w="15134" w:h="19536"/>
      <w:pgMar w:top="1276" w:right="1667" w:bottom="1643" w:left="1843"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4AD" w:rsidRDefault="007E64AD">
      <w:r>
        <w:separator/>
      </w:r>
    </w:p>
  </w:endnote>
  <w:endnote w:type="continuationSeparator" w:id="0">
    <w:p w:rsidR="007E64AD" w:rsidRDefault="007E64AD">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4AD" w:rsidRDefault="007E64AD"/>
  </w:footnote>
  <w:footnote w:type="continuationSeparator" w:id="0">
    <w:p w:rsidR="007E64AD" w:rsidRDefault="007E64AD"/>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
  <w:rsids>
    <w:rsidRoot w:val="002B0814"/>
    <w:rsid w:val="002B0814"/>
    <w:rsid w:val="006A3A9A"/>
    <w:rsid w:val="007E64AD"/>
    <w:rsid w:val="00931BBE"/>
    <w:rsid w:val="00C369F0"/>
    <w:rsid w:val="00E94DA9"/>
    <w:rsid w:val="00F5504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1BBE"/>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31BBE"/>
    <w:rPr>
      <w:color w:val="0066CC"/>
      <w:u w:val="single"/>
    </w:rPr>
  </w:style>
  <w:style w:type="character" w:customStyle="1" w:styleId="Nadpis1">
    <w:name w:val="Nadpis #1_"/>
    <w:basedOn w:val="a0"/>
    <w:link w:val="Nadpis10"/>
    <w:rsid w:val="00931BBE"/>
    <w:rPr>
      <w:rFonts w:ascii="Times New Roman" w:eastAsia="Times New Roman" w:hAnsi="Times New Roman" w:cs="Times New Roman"/>
      <w:b w:val="0"/>
      <w:bCs w:val="0"/>
      <w:i/>
      <w:iCs/>
      <w:smallCaps w:val="0"/>
      <w:strike w:val="0"/>
      <w:sz w:val="32"/>
      <w:szCs w:val="32"/>
      <w:u w:val="none"/>
    </w:rPr>
  </w:style>
  <w:style w:type="character" w:customStyle="1" w:styleId="Nadpis112ptTunNekurzva">
    <w:name w:val="Nadpis #1 + 12 pt;Tučné;Ne kurzíva"/>
    <w:basedOn w:val="Nadpis1"/>
    <w:rsid w:val="00931BBE"/>
    <w:rPr>
      <w:rFonts w:ascii="Times New Roman" w:eastAsia="Times New Roman" w:hAnsi="Times New Roman" w:cs="Times New Roman"/>
      <w:b/>
      <w:bCs/>
      <w:i/>
      <w:iCs/>
      <w:smallCaps w:val="0"/>
      <w:strike w:val="0"/>
      <w:color w:val="000000"/>
      <w:spacing w:val="0"/>
      <w:w w:val="100"/>
      <w:position w:val="0"/>
      <w:sz w:val="24"/>
      <w:szCs w:val="24"/>
      <w:u w:val="none"/>
      <w:lang w:val="uk-UA" w:eastAsia="uk-UA" w:bidi="uk-UA"/>
    </w:rPr>
  </w:style>
  <w:style w:type="character" w:customStyle="1" w:styleId="Zkladntext2">
    <w:name w:val="Základní text (2)_"/>
    <w:basedOn w:val="a0"/>
    <w:link w:val="Zkladntext20"/>
    <w:rsid w:val="00931BBE"/>
    <w:rPr>
      <w:rFonts w:ascii="Times New Roman" w:eastAsia="Times New Roman" w:hAnsi="Times New Roman" w:cs="Times New Roman"/>
      <w:b w:val="0"/>
      <w:bCs w:val="0"/>
      <w:i w:val="0"/>
      <w:iCs w:val="0"/>
      <w:smallCaps w:val="0"/>
      <w:strike w:val="0"/>
      <w:u w:val="none"/>
    </w:rPr>
  </w:style>
  <w:style w:type="character" w:customStyle="1" w:styleId="Zkladntext21">
    <w:name w:val="Základní text (2)"/>
    <w:basedOn w:val="Zkladntext2"/>
    <w:rsid w:val="00931BB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Zkladntext22">
    <w:name w:val="Základní text (2)"/>
    <w:basedOn w:val="Zkladntext2"/>
    <w:rsid w:val="00931BB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style>
  <w:style w:type="character" w:customStyle="1" w:styleId="Zkladntext3Exact">
    <w:name w:val="Základní text (3) Exact"/>
    <w:basedOn w:val="a0"/>
    <w:rsid w:val="00931BBE"/>
    <w:rPr>
      <w:rFonts w:ascii="Times New Roman" w:eastAsia="Times New Roman" w:hAnsi="Times New Roman" w:cs="Times New Roman"/>
      <w:b/>
      <w:bCs/>
      <w:i w:val="0"/>
      <w:iCs w:val="0"/>
      <w:smallCaps w:val="0"/>
      <w:strike w:val="0"/>
      <w:u w:val="none"/>
    </w:rPr>
  </w:style>
  <w:style w:type="character" w:customStyle="1" w:styleId="Zkladntext3Exact0">
    <w:name w:val="Základní text (3) Exact"/>
    <w:basedOn w:val="Zkladntext3"/>
    <w:rsid w:val="00931BBE"/>
    <w:rPr>
      <w:rFonts w:ascii="Times New Roman" w:eastAsia="Times New Roman" w:hAnsi="Times New Roman" w:cs="Times New Roman"/>
      <w:b/>
      <w:bCs/>
      <w:i w:val="0"/>
      <w:iCs w:val="0"/>
      <w:smallCaps w:val="0"/>
      <w:strike w:val="0"/>
      <w:u w:val="none"/>
    </w:rPr>
  </w:style>
  <w:style w:type="character" w:customStyle="1" w:styleId="Zkladntext2ArialUnicodeMS11pt">
    <w:name w:val="Základní text (2) + Arial Unicode MS;11 pt"/>
    <w:basedOn w:val="Zkladntext2"/>
    <w:rsid w:val="00931BBE"/>
    <w:rPr>
      <w:rFonts w:ascii="Arial Unicode MS" w:eastAsia="Arial Unicode MS" w:hAnsi="Arial Unicode MS" w:cs="Arial Unicode MS"/>
      <w:b w:val="0"/>
      <w:bCs w:val="0"/>
      <w:i w:val="0"/>
      <w:iCs w:val="0"/>
      <w:smallCaps w:val="0"/>
      <w:strike w:val="0"/>
      <w:color w:val="000000"/>
      <w:spacing w:val="0"/>
      <w:w w:val="100"/>
      <w:position w:val="0"/>
      <w:sz w:val="22"/>
      <w:szCs w:val="22"/>
      <w:u w:val="none"/>
      <w:lang w:val="uk-UA" w:eastAsia="uk-UA" w:bidi="uk-UA"/>
    </w:rPr>
  </w:style>
  <w:style w:type="character" w:customStyle="1" w:styleId="Zkladntext3">
    <w:name w:val="Základní text (3)_"/>
    <w:basedOn w:val="a0"/>
    <w:link w:val="Zkladntext30"/>
    <w:rsid w:val="00931BBE"/>
    <w:rPr>
      <w:rFonts w:ascii="Times New Roman" w:eastAsia="Times New Roman" w:hAnsi="Times New Roman" w:cs="Times New Roman"/>
      <w:b/>
      <w:bCs/>
      <w:i w:val="0"/>
      <w:iCs w:val="0"/>
      <w:smallCaps w:val="0"/>
      <w:strike w:val="0"/>
      <w:u w:val="none"/>
    </w:rPr>
  </w:style>
  <w:style w:type="character" w:customStyle="1" w:styleId="Zkladntext31">
    <w:name w:val="Základní text (3)"/>
    <w:basedOn w:val="Zkladntext3"/>
    <w:rsid w:val="00931BBE"/>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Zkladntext4Exact">
    <w:name w:val="Základní text (4) Exact"/>
    <w:basedOn w:val="a0"/>
    <w:link w:val="Zkladntext4"/>
    <w:rsid w:val="00931BBE"/>
    <w:rPr>
      <w:rFonts w:ascii="Sylfaen" w:eastAsia="Sylfaen" w:hAnsi="Sylfaen" w:cs="Sylfaen"/>
      <w:b w:val="0"/>
      <w:bCs w:val="0"/>
      <w:i/>
      <w:iCs/>
      <w:smallCaps w:val="0"/>
      <w:strike w:val="0"/>
      <w:sz w:val="28"/>
      <w:szCs w:val="28"/>
      <w:u w:val="none"/>
    </w:rPr>
  </w:style>
  <w:style w:type="paragraph" w:customStyle="1" w:styleId="Nadpis10">
    <w:name w:val="Nadpis #1"/>
    <w:basedOn w:val="a"/>
    <w:link w:val="Nadpis1"/>
    <w:rsid w:val="00931BBE"/>
    <w:pPr>
      <w:shd w:val="clear" w:color="auto" w:fill="FFFFFF"/>
      <w:spacing w:line="0" w:lineRule="atLeast"/>
      <w:outlineLvl w:val="0"/>
    </w:pPr>
    <w:rPr>
      <w:rFonts w:ascii="Times New Roman" w:eastAsia="Times New Roman" w:hAnsi="Times New Roman" w:cs="Times New Roman"/>
      <w:i/>
      <w:iCs/>
      <w:sz w:val="32"/>
      <w:szCs w:val="32"/>
    </w:rPr>
  </w:style>
  <w:style w:type="paragraph" w:customStyle="1" w:styleId="Zkladntext20">
    <w:name w:val="Základní text (2)"/>
    <w:basedOn w:val="a"/>
    <w:link w:val="Zkladntext2"/>
    <w:rsid w:val="00931BBE"/>
    <w:pPr>
      <w:shd w:val="clear" w:color="auto" w:fill="FFFFFF"/>
      <w:spacing w:after="300" w:line="283" w:lineRule="exact"/>
      <w:jc w:val="right"/>
    </w:pPr>
    <w:rPr>
      <w:rFonts w:ascii="Times New Roman" w:eastAsia="Times New Roman" w:hAnsi="Times New Roman" w:cs="Times New Roman"/>
    </w:rPr>
  </w:style>
  <w:style w:type="paragraph" w:customStyle="1" w:styleId="Zkladntext30">
    <w:name w:val="Základní text (3)"/>
    <w:basedOn w:val="a"/>
    <w:link w:val="Zkladntext3"/>
    <w:rsid w:val="00931BBE"/>
    <w:pPr>
      <w:shd w:val="clear" w:color="auto" w:fill="FFFFFF"/>
      <w:spacing w:after="300" w:line="0" w:lineRule="atLeast"/>
      <w:jc w:val="center"/>
    </w:pPr>
    <w:rPr>
      <w:rFonts w:ascii="Times New Roman" w:eastAsia="Times New Roman" w:hAnsi="Times New Roman" w:cs="Times New Roman"/>
      <w:b/>
      <w:bCs/>
    </w:rPr>
  </w:style>
  <w:style w:type="paragraph" w:customStyle="1" w:styleId="Zkladntext4">
    <w:name w:val="Základní text (4)"/>
    <w:basedOn w:val="a"/>
    <w:link w:val="Zkladntext4Exact"/>
    <w:rsid w:val="00931BBE"/>
    <w:pPr>
      <w:shd w:val="clear" w:color="auto" w:fill="FFFFFF"/>
      <w:spacing w:line="0" w:lineRule="atLeast"/>
    </w:pPr>
    <w:rPr>
      <w:rFonts w:ascii="Sylfaen" w:eastAsia="Sylfaen" w:hAnsi="Sylfaen" w:cs="Sylfaen"/>
      <w:i/>
      <w:iCs/>
      <w:sz w:val="28"/>
      <w:szCs w:val="28"/>
    </w:rPr>
  </w:style>
  <w:style w:type="paragraph" w:styleId="a4">
    <w:name w:val="header"/>
    <w:basedOn w:val="a"/>
    <w:link w:val="a5"/>
    <w:uiPriority w:val="99"/>
    <w:unhideWhenUsed/>
    <w:rsid w:val="00C369F0"/>
    <w:pPr>
      <w:tabs>
        <w:tab w:val="center" w:pos="4819"/>
        <w:tab w:val="right" w:pos="9639"/>
      </w:tabs>
    </w:pPr>
  </w:style>
  <w:style w:type="character" w:customStyle="1" w:styleId="a5">
    <w:name w:val="Верхний колонтитул Знак"/>
    <w:basedOn w:val="a0"/>
    <w:link w:val="a4"/>
    <w:uiPriority w:val="99"/>
    <w:rsid w:val="00C369F0"/>
    <w:rPr>
      <w:color w:val="000000"/>
    </w:rPr>
  </w:style>
  <w:style w:type="paragraph" w:styleId="a6">
    <w:name w:val="footer"/>
    <w:basedOn w:val="a"/>
    <w:link w:val="a7"/>
    <w:uiPriority w:val="99"/>
    <w:unhideWhenUsed/>
    <w:rsid w:val="00C369F0"/>
    <w:pPr>
      <w:tabs>
        <w:tab w:val="center" w:pos="4819"/>
        <w:tab w:val="right" w:pos="9639"/>
      </w:tabs>
    </w:pPr>
  </w:style>
  <w:style w:type="character" w:customStyle="1" w:styleId="a7">
    <w:name w:val="Нижний колонтитул Знак"/>
    <w:basedOn w:val="a0"/>
    <w:link w:val="a6"/>
    <w:uiPriority w:val="99"/>
    <w:rsid w:val="00C369F0"/>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Кравець Любомир</dc:creator>
  <cp:keywords/>
  <cp:lastModifiedBy>Nadiia</cp:lastModifiedBy>
  <cp:revision>5</cp:revision>
  <dcterms:created xsi:type="dcterms:W3CDTF">2015-03-21T23:41:00Z</dcterms:created>
  <dcterms:modified xsi:type="dcterms:W3CDTF">2015-03-22T21:19:00Z</dcterms:modified>
</cp:coreProperties>
</file>