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1DDB" w14:textId="77777777" w:rsidR="00DE4480" w:rsidRPr="00DE4480" w:rsidRDefault="00DE4480" w:rsidP="00DE4480">
      <w:pPr>
        <w:rPr>
          <w:b/>
          <w:bCs/>
          <w:color w:val="7030A0"/>
        </w:rPr>
      </w:pPr>
      <w:r w:rsidRPr="00DE4480">
        <w:rPr>
          <w:b/>
          <w:bCs/>
          <w:color w:val="7030A0"/>
        </w:rPr>
        <w:t>1. OBJETIVOS</w:t>
      </w:r>
    </w:p>
    <w:p w14:paraId="0D4D41F7" w14:textId="41B5DBD8" w:rsidR="00DE4480" w:rsidRPr="00DE4480" w:rsidRDefault="00DE4480" w:rsidP="00DE4480">
      <w:pPr>
        <w:rPr>
          <w:b/>
          <w:bCs/>
          <w:color w:val="7030A0"/>
        </w:rPr>
      </w:pPr>
      <w:r w:rsidRPr="00DE4480">
        <w:rPr>
          <w:b/>
          <w:bCs/>
          <w:color w:val="7030A0"/>
        </w:rPr>
        <w:t xml:space="preserve">El presente Trabajo Fin de Grado analiza la relación entre el tono del discurso económico institucional publicado en medios digitales y la evolución del Índice de Confianza del Consumidor (ICC). Para ello, se construye un conjunto de datos que combina la serie histórica mensual del ICC con variables de sentimiento económico extraídas de </w:t>
      </w:r>
      <w:r w:rsidR="008D3A3C" w:rsidRPr="008D3A3C">
        <w:rPr>
          <w:b/>
          <w:bCs/>
          <w:color w:val="7030A0"/>
        </w:rPr>
        <w:t>tweets o publicaciones digitales institucionales del ámbito económico y comercial</w:t>
      </w:r>
      <w:r w:rsidR="008D3A3C">
        <w:rPr>
          <w:b/>
          <w:bCs/>
          <w:color w:val="7030A0"/>
        </w:rPr>
        <w:t xml:space="preserve"> </w:t>
      </w:r>
      <w:r w:rsidRPr="00DE4480">
        <w:rPr>
          <w:b/>
          <w:bCs/>
          <w:color w:val="7030A0"/>
        </w:rPr>
        <w:t>mediante técnicas de procesamiento de lenguaje natural, y se examina si ambas series presentan patrones temporales similares, divergencias o posibles desfases. El propósito principal del trabajo no es desarrollar un sistema predictivo definitivo del ICC, sino analizar si las señales de sentimiento extraídas de publicaciones institucionales presentan una evolución temporal comparable con la confianza de los consumidores y si pueden aportar información complementaria al análisis económico.</w:t>
      </w:r>
    </w:p>
    <w:p w14:paraId="67E84751" w14:textId="77777777" w:rsidR="00DE4480" w:rsidRPr="00DE4480" w:rsidRDefault="00DE4480" w:rsidP="00DE4480">
      <w:pPr>
        <w:rPr>
          <w:b/>
          <w:bCs/>
          <w:color w:val="7030A0"/>
        </w:rPr>
      </w:pPr>
      <w:r w:rsidRPr="00DE4480">
        <w:rPr>
          <w:b/>
          <w:bCs/>
          <w:color w:val="7030A0"/>
        </w:rPr>
        <w:t xml:space="preserve">Desde esta perspectiva, el trabajo integra los tres pilares del grado de Business </w:t>
      </w:r>
      <w:proofErr w:type="spellStart"/>
      <w:r w:rsidRPr="00DE4480">
        <w:rPr>
          <w:b/>
          <w:bCs/>
          <w:color w:val="7030A0"/>
        </w:rPr>
        <w:t>Analytics</w:t>
      </w:r>
      <w:proofErr w:type="spellEnd"/>
      <w:r w:rsidRPr="00DE4480">
        <w:rPr>
          <w:b/>
          <w:bCs/>
          <w:color w:val="7030A0"/>
        </w:rPr>
        <w:t xml:space="preserve"> —ingeniería del dato, análisis del dato y análisis de negocio— mediante un flujo completo que abarca la obtención y preparación de datos, la construcción de variables de sentimiento mensual, el análisis comparativo de ambas series y, como prueba complementaria, el entrenamiento de modelos supervisados de regresión para evaluar si el sentimiento aporta capacidad predictiva adicional. De este modo, el proyecto permite valorar hasta qué punto el análisis de sentimiento puede funcionar como señal complementaria para el seguimiento de la confianza del consumidor, así como identificar sus limitaciones en un contexto de datos institucionales y series económicas mensuales.</w:t>
      </w:r>
    </w:p>
    <w:p w14:paraId="5504DD2B" w14:textId="77777777" w:rsidR="00DE4480" w:rsidRPr="00DE4480" w:rsidRDefault="00DE4480" w:rsidP="00DE4480">
      <w:pPr>
        <w:rPr>
          <w:b/>
          <w:bCs/>
          <w:color w:val="7030A0"/>
        </w:rPr>
      </w:pPr>
      <w:r w:rsidRPr="00DE4480">
        <w:rPr>
          <w:b/>
          <w:bCs/>
          <w:color w:val="7030A0"/>
        </w:rPr>
        <w:t>1.1. Objetivo general</w:t>
      </w:r>
    </w:p>
    <w:p w14:paraId="68D07AD5" w14:textId="5D3CF07D" w:rsidR="00922B09" w:rsidRPr="00DE4480" w:rsidRDefault="00922B09" w:rsidP="00DE4480">
      <w:pPr>
        <w:rPr>
          <w:b/>
          <w:bCs/>
          <w:color w:val="7030A0"/>
        </w:rPr>
      </w:pPr>
      <w:r w:rsidRPr="00922B09">
        <w:rPr>
          <w:b/>
          <w:bCs/>
          <w:color w:val="7030A0"/>
        </w:rPr>
        <w:t>Analizar la relación entre la evolución mensual del Índice de Confianza del Consumidor y el sentimiento económico extraído de tweets y publicaciones digitales institucionales vinculadas al ámbito económico y comercial, con el fin de determinar si ambas series presentan patrones temporales comparables, coincidencias, divergencias o posibles desfases.</w:t>
      </w:r>
      <w:r w:rsidR="00C52296">
        <w:rPr>
          <w:b/>
          <w:bCs/>
          <w:color w:val="7030A0"/>
        </w:rPr>
        <w:t xml:space="preserve"> Y</w:t>
      </w:r>
      <w:r w:rsidR="00C52296" w:rsidRPr="00C52296">
        <w:rPr>
          <w:b/>
          <w:bCs/>
          <w:color w:val="7030A0"/>
        </w:rPr>
        <w:t xml:space="preserve"> valorar si el sentimiento extraído de las publicaciones institucionales puede aportar una señal complementaria para comparar el discurso económico público con la evolución de la confianza del consumidor.</w:t>
      </w:r>
    </w:p>
    <w:p w14:paraId="0BE965C3" w14:textId="77777777" w:rsidR="00DE4480" w:rsidRPr="00DE4480" w:rsidRDefault="00DE4480" w:rsidP="00DE4480">
      <w:pPr>
        <w:rPr>
          <w:b/>
          <w:bCs/>
          <w:color w:val="7030A0"/>
        </w:rPr>
      </w:pPr>
      <w:r w:rsidRPr="00DE4480">
        <w:rPr>
          <w:b/>
          <w:bCs/>
          <w:color w:val="7030A0"/>
        </w:rPr>
        <w:t>1.2. Objetivos específicos</w:t>
      </w:r>
    </w:p>
    <w:p w14:paraId="13F1AD81" w14:textId="77777777" w:rsidR="00DE4480" w:rsidRPr="00DE4480" w:rsidRDefault="00DE4480" w:rsidP="00DE4480">
      <w:pPr>
        <w:rPr>
          <w:b/>
          <w:bCs/>
          <w:color w:val="7030A0"/>
        </w:rPr>
      </w:pPr>
      <w:r w:rsidRPr="00DE4480">
        <w:rPr>
          <w:b/>
          <w:bCs/>
          <w:color w:val="7030A0"/>
        </w:rPr>
        <w:t>Los objetivos específicos se formulan como resultados concretos que el proyecto debe alcanzar o evaluar al finalizar:</w:t>
      </w:r>
    </w:p>
    <w:p w14:paraId="3999E22A" w14:textId="77777777" w:rsidR="00DE4480" w:rsidRPr="00DE4480" w:rsidRDefault="00DE4480" w:rsidP="00DE4480">
      <w:pPr>
        <w:rPr>
          <w:b/>
          <w:bCs/>
          <w:color w:val="7030A0"/>
        </w:rPr>
      </w:pPr>
      <w:r w:rsidRPr="00DE4480">
        <w:rPr>
          <w:b/>
          <w:bCs/>
          <w:color w:val="7030A0"/>
        </w:rPr>
        <w:t>OE1. Construir un conjunto de datos integrado y limpio que combine, a escala temporal mensual, los valores históricos del Índice de Confianza del Consumidor con variables cuantitativas de sentimiento extraídas de publicaciones económicas digitales institucionales, de modo que pueda utilizarse como base para el análisis comparativo y los modelos complementarios.</w:t>
      </w:r>
    </w:p>
    <w:p w14:paraId="5F8636DA" w14:textId="77777777" w:rsidR="00DE4480" w:rsidRPr="00DE4480" w:rsidRDefault="00DE4480" w:rsidP="00DE4480">
      <w:pPr>
        <w:rPr>
          <w:b/>
          <w:bCs/>
          <w:color w:val="7030A0"/>
        </w:rPr>
      </w:pPr>
      <w:r w:rsidRPr="00DE4480">
        <w:rPr>
          <w:b/>
          <w:bCs/>
          <w:color w:val="7030A0"/>
        </w:rPr>
        <w:t>OE2. Obtener variables de sentimiento por periodo —polaridad media, polaridad mediana, proporción de textos positivos, proporción de textos negativos y volumen de publicaciones— con el fin de representar cuantitativamente la evolución del tono económico en las fuentes analizadas.</w:t>
      </w:r>
    </w:p>
    <w:p w14:paraId="3AF341FB" w14:textId="77777777" w:rsidR="00DE4480" w:rsidRPr="00DE4480" w:rsidRDefault="00DE4480" w:rsidP="00DE4480">
      <w:pPr>
        <w:rPr>
          <w:b/>
          <w:bCs/>
          <w:color w:val="7030A0"/>
        </w:rPr>
      </w:pPr>
      <w:r w:rsidRPr="00DE4480">
        <w:rPr>
          <w:b/>
          <w:bCs/>
          <w:color w:val="7030A0"/>
        </w:rPr>
        <w:t>OE3. Analizar la evolución temporal del ICC y de las variables de sentimiento institucional de forma separada, identificando tendencias, periodos de cambio brusco y comportamientos atípicos en cada serie.</w:t>
      </w:r>
    </w:p>
    <w:p w14:paraId="21370C88" w14:textId="77777777" w:rsidR="00DE4480" w:rsidRPr="00DE4480" w:rsidRDefault="00DE4480" w:rsidP="00DE4480">
      <w:pPr>
        <w:rPr>
          <w:b/>
          <w:bCs/>
          <w:color w:val="7030A0"/>
        </w:rPr>
      </w:pPr>
      <w:r w:rsidRPr="00DE4480">
        <w:rPr>
          <w:b/>
          <w:bCs/>
          <w:color w:val="7030A0"/>
        </w:rPr>
        <w:t>OE4. Comparar gráficamente la evolución mensual del ICC con las variables de sentimiento, identificando posibles coincidencias, divergencias y desfases temporales entre ambas series.</w:t>
      </w:r>
    </w:p>
    <w:p w14:paraId="0ABAF719" w14:textId="77777777" w:rsidR="00C42A8F" w:rsidRDefault="00C42A8F" w:rsidP="00DE4480">
      <w:pPr>
        <w:rPr>
          <w:b/>
          <w:bCs/>
          <w:color w:val="7030A0"/>
        </w:rPr>
      </w:pPr>
      <w:r w:rsidRPr="00C42A8F">
        <w:rPr>
          <w:b/>
          <w:bCs/>
          <w:color w:val="7030A0"/>
        </w:rPr>
        <w:lastRenderedPageBreak/>
        <w:t>Analizar la relación estadística entre el ICC y las variables de sentimiento institucional mediante correlaciones contemporáneas y retardadas, con el fin de identificar si el discurso institucional se mueve de forma simultánea, adelantada o retrasada respecto a la confianza del consumidor.</w:t>
      </w:r>
    </w:p>
    <w:p w14:paraId="0ED45686" w14:textId="641813C2" w:rsidR="00DE4480" w:rsidRPr="00DE4480" w:rsidRDefault="00DE4480" w:rsidP="00DE4480">
      <w:pPr>
        <w:rPr>
          <w:b/>
          <w:bCs/>
          <w:color w:val="7030A0"/>
        </w:rPr>
      </w:pPr>
      <w:r w:rsidRPr="00DE4480">
        <w:rPr>
          <w:b/>
          <w:bCs/>
          <w:color w:val="7030A0"/>
        </w:rPr>
        <w:t>OE6. Interpretar los resultados obtenidos desde una perspectiva de negocio, valorando la utilidad del análisis comparativo entre el ICC y el sentimiento institucional para empresas, instituciones públicas y analistas económicos interesados en el seguimiento de la confianza del consumidor.</w:t>
      </w:r>
    </w:p>
    <w:p w14:paraId="0307FB72" w14:textId="77777777" w:rsidR="00DE4480" w:rsidRPr="00DE4480" w:rsidRDefault="00DE4480" w:rsidP="00DE4480">
      <w:pPr>
        <w:rPr>
          <w:b/>
          <w:bCs/>
          <w:color w:val="7030A0"/>
        </w:rPr>
      </w:pPr>
      <w:r w:rsidRPr="00DE4480">
        <w:rPr>
          <w:b/>
          <w:bCs/>
          <w:color w:val="7030A0"/>
        </w:rPr>
        <w:t>OE7. Determinar las principales limitaciones del enfoque propuesto, tanto en relación con la disponibilidad y calidad de los datos como con el rendimiento de las herramientas utilizadas, proponiendo posibles líneas futuras de mejora.</w:t>
      </w:r>
    </w:p>
    <w:p w14:paraId="7367739E" w14:textId="77777777" w:rsidR="000233B1" w:rsidRPr="00B277CC" w:rsidRDefault="000233B1" w:rsidP="000233B1"/>
    <w:p w14:paraId="78D2BD5C" w14:textId="77777777" w:rsidR="00C305FB" w:rsidRPr="00C305FB" w:rsidRDefault="00C305FB" w:rsidP="00C305FB">
      <w:pPr>
        <w:rPr>
          <w:b/>
          <w:bCs/>
          <w:color w:val="C45911" w:themeColor="accent2" w:themeShade="BF"/>
        </w:rPr>
      </w:pPr>
      <w:r w:rsidRPr="00C305FB">
        <w:rPr>
          <w:b/>
          <w:bCs/>
          <w:color w:val="C45911" w:themeColor="accent2" w:themeShade="BF"/>
        </w:rPr>
        <w:t>2.1. Introducción</w:t>
      </w:r>
    </w:p>
    <w:p w14:paraId="47B7673C" w14:textId="77777777" w:rsidR="00C305FB" w:rsidRPr="00C305FB" w:rsidRDefault="00C305FB" w:rsidP="00C305FB">
      <w:pPr>
        <w:rPr>
          <w:color w:val="C45911" w:themeColor="accent2" w:themeShade="BF"/>
        </w:rPr>
      </w:pPr>
      <w:r w:rsidRPr="00C305FB">
        <w:rPr>
          <w:color w:val="C45911" w:themeColor="accent2" w:themeShade="BF"/>
        </w:rPr>
        <w:t>La capacidad de anticipar el comportamiento de los consumidores constituye uno de los problemas centrales del análisis económico aplicado. En un entorno caracterizado por la volatilidad de los mercados, la incertidumbre regulatoria y la rapidez con la que la información circula a través de medios digitales, los indicadores tradicionales de expectativas económicas resultan, en ocasiones, insuficientes para capturar con agilidad los cambios en el estado de ánimo colectivo. El Índice de Confianza del Consumidor (ICC) es uno de los indicadores más utilizados para medir dichas expectativas, al sintetizar la percepción que los hogares tienen sobre su situación económica presente y futura. Sin embargo, su publicación periódica —generalmente mensual— introduce un retardo entre el momento en que se producen los cambios en la percepción ciudadana y el momento en que estos quedan reflejados en el indicador oficial.</w:t>
      </w:r>
    </w:p>
    <w:p w14:paraId="62004987" w14:textId="77777777" w:rsidR="00C305FB" w:rsidRPr="00C305FB" w:rsidRDefault="00C305FB" w:rsidP="00C305FB">
      <w:pPr>
        <w:rPr>
          <w:color w:val="C45911" w:themeColor="accent2" w:themeShade="BF"/>
        </w:rPr>
      </w:pPr>
      <w:r w:rsidRPr="00C305FB">
        <w:rPr>
          <w:color w:val="C45911" w:themeColor="accent2" w:themeShade="BF"/>
        </w:rPr>
        <w:t xml:space="preserve">En paralelo, la proliferación de fuentes de información digital —noticias económicas, comunicados institucionales, redes sociales y publicaciones especializadas— genera un volumen creciente de texto que refleja, en tiempo casi real, el tono del debate económico público. El procesamiento de lenguaje natural (NLP, del inglés </w:t>
      </w:r>
      <w:r w:rsidRPr="00C305FB">
        <w:rPr>
          <w:i/>
          <w:iCs/>
          <w:color w:val="C45911" w:themeColor="accent2" w:themeShade="BF"/>
        </w:rPr>
        <w:t xml:space="preserve">Natural </w:t>
      </w:r>
      <w:proofErr w:type="spellStart"/>
      <w:r w:rsidRPr="00C305FB">
        <w:rPr>
          <w:i/>
          <w:iCs/>
          <w:color w:val="C45911" w:themeColor="accent2" w:themeShade="BF"/>
        </w:rPr>
        <w:t>Language</w:t>
      </w:r>
      <w:proofErr w:type="spellEnd"/>
      <w:r w:rsidRPr="00C305FB">
        <w:rPr>
          <w:i/>
          <w:iCs/>
          <w:color w:val="C45911" w:themeColor="accent2" w:themeShade="BF"/>
        </w:rPr>
        <w:t xml:space="preserve"> Processing</w:t>
      </w:r>
      <w:r w:rsidRPr="00C305FB">
        <w:rPr>
          <w:color w:val="C45911" w:themeColor="accent2" w:themeShade="BF"/>
        </w:rPr>
        <w:t>) ha permitido transformar este tipo de información no estructurada en variables cuantitativas susceptibles de ser incorporadas a modelos analíticos. Entre las técnicas más consolidadas dentro del NLP aplicado a la economía se encuentra el análisis de sentimiento, que permite asignar una polaridad —positiva, negativa o neutra— a fragmentos de texto, capturando así la dirección emocional del discurso económico en un periodo determinado.</w:t>
      </w:r>
    </w:p>
    <w:p w14:paraId="4011ACFD" w14:textId="77777777" w:rsidR="00C305FB" w:rsidRPr="00C305FB" w:rsidRDefault="00C305FB" w:rsidP="00C305FB">
      <w:pPr>
        <w:rPr>
          <w:color w:val="C45911" w:themeColor="accent2" w:themeShade="BF"/>
        </w:rPr>
      </w:pPr>
      <w:r w:rsidRPr="00C305FB">
        <w:rPr>
          <w:color w:val="C45911" w:themeColor="accent2" w:themeShade="BF"/>
        </w:rPr>
        <w:t>El presente trabajo explora la intersección entre estas dos realidades: por un lado, la necesidad de anticipar con mayor precisión la evolución del ICC; por otro, la disponibilidad de técnicas y fuentes de datos que permiten cuantificar el sentimiento económico de forma sistemática. El proyecto combina un proceso de ingeniería del dato —orientado a recopilar, limpiar e integrar información procedente de fuentes digitales y estadísticas oficiales— con el desarrollo y comparación de modelos predictivos que incorporan variables de sentimiento junto a información histórica del propio índice.</w:t>
      </w:r>
    </w:p>
    <w:p w14:paraId="012643CD" w14:textId="77777777" w:rsidR="00C305FB" w:rsidRPr="00C305FB" w:rsidRDefault="00C305FB" w:rsidP="00C305FB">
      <w:pPr>
        <w:rPr>
          <w:color w:val="C45911" w:themeColor="accent2" w:themeShade="BF"/>
        </w:rPr>
      </w:pPr>
      <w:r w:rsidRPr="00C305FB">
        <w:rPr>
          <w:color w:val="C45911" w:themeColor="accent2" w:themeShade="BF"/>
        </w:rPr>
        <w:t xml:space="preserve">Metodológicamente, el trabajo se articula en torno a tres fases diferenciadas. La primera corresponde a la ingeniería del dato, que abarca la extracción de publicaciones económicas institucionales mediante técnicas de </w:t>
      </w:r>
      <w:r w:rsidRPr="00C305FB">
        <w:rPr>
          <w:i/>
          <w:iCs/>
          <w:color w:val="C45911" w:themeColor="accent2" w:themeShade="BF"/>
        </w:rPr>
        <w:t xml:space="preserve">web </w:t>
      </w:r>
      <w:proofErr w:type="spellStart"/>
      <w:r w:rsidRPr="00C305FB">
        <w:rPr>
          <w:i/>
          <w:iCs/>
          <w:color w:val="C45911" w:themeColor="accent2" w:themeShade="BF"/>
        </w:rPr>
        <w:t>scraping</w:t>
      </w:r>
      <w:proofErr w:type="spellEnd"/>
      <w:r w:rsidRPr="00C305FB">
        <w:rPr>
          <w:color w:val="C45911" w:themeColor="accent2" w:themeShade="BF"/>
        </w:rPr>
        <w:t xml:space="preserve">, la obtención de los valores históricos del ICC a partir de fuentes estadísticas oficiales, y el proceso completo de limpieza, transformación e integración de ambas fuentes. La segunda fase comprende el análisis del dato, en la que se aplican técnicas de NLP para generar variables de sentimiento y se construyen dos tipos de modelos predictivos: un modelo de referencia basado exclusivamente en retardos del ICC, y modelos de ensamble —Random Forest </w:t>
      </w:r>
      <w:proofErr w:type="spellStart"/>
      <w:r w:rsidRPr="00C305FB">
        <w:rPr>
          <w:color w:val="C45911" w:themeColor="accent2" w:themeShade="BF"/>
        </w:rPr>
        <w:t>Regressor</w:t>
      </w:r>
      <w:proofErr w:type="spellEnd"/>
      <w:r w:rsidRPr="00C305FB">
        <w:rPr>
          <w:color w:val="C45911" w:themeColor="accent2" w:themeShade="BF"/>
        </w:rPr>
        <w:t xml:space="preserve"> y </w:t>
      </w:r>
      <w:proofErr w:type="spellStart"/>
      <w:r w:rsidRPr="00C305FB">
        <w:rPr>
          <w:color w:val="C45911" w:themeColor="accent2" w:themeShade="BF"/>
        </w:rPr>
        <w:t>XGBoost</w:t>
      </w:r>
      <w:proofErr w:type="spellEnd"/>
      <w:r w:rsidRPr="00C305FB">
        <w:rPr>
          <w:color w:val="C45911" w:themeColor="accent2" w:themeShade="BF"/>
        </w:rPr>
        <w:t xml:space="preserve">— que incorporan las variables de sentimiento como predictores adicionales. La tercera fase corresponde al </w:t>
      </w:r>
      <w:r w:rsidRPr="00C305FB">
        <w:rPr>
          <w:color w:val="C45911" w:themeColor="accent2" w:themeShade="BF"/>
        </w:rPr>
        <w:lastRenderedPageBreak/>
        <w:t>análisis de negocio, donde se interpretan los resultados obtenidos a la luz de su utilidad para la toma de decisiones en contextos empresariales, institucionales y económicos.</w:t>
      </w:r>
    </w:p>
    <w:p w14:paraId="3403B370" w14:textId="77777777" w:rsidR="00C305FB" w:rsidRPr="00C305FB" w:rsidRDefault="00C305FB" w:rsidP="00C305FB">
      <w:pPr>
        <w:rPr>
          <w:color w:val="C45911" w:themeColor="accent2" w:themeShade="BF"/>
        </w:rPr>
      </w:pPr>
      <w:r w:rsidRPr="00C305FB">
        <w:rPr>
          <w:color w:val="C45911" w:themeColor="accent2" w:themeShade="BF"/>
        </w:rPr>
        <w:t>El trabajo se estructura de la siguiente forma. Tras la presentación de objetivos, el capítulo 2 desarrolla el marco conceptual y el estado del arte sobre el que se sustenta el proyecto. El capítulo 3 recoge el trabajo técnico completo, organizado en las tres fases descritas. El capítulo 4 presenta las conclusiones generales, los problemas encontrados y las líneas futuras de investigación. Finalmente, el capítulo 5 recoge las referencias bibliográficas, y los anexos incluyen el código utilizado, las tablas y gráficos complementarios, y la declaración de uso de herramientas de inteligencia artificial.</w:t>
      </w:r>
    </w:p>
    <w:p w14:paraId="0D07B0B9" w14:textId="77777777" w:rsidR="00C305FB" w:rsidRPr="00C305FB" w:rsidRDefault="00000000" w:rsidP="00C305FB">
      <w:pPr>
        <w:rPr>
          <w:color w:val="C45911" w:themeColor="accent2" w:themeShade="BF"/>
        </w:rPr>
      </w:pPr>
      <w:r>
        <w:rPr>
          <w:color w:val="C45911" w:themeColor="accent2" w:themeShade="BF"/>
        </w:rPr>
        <w:pict w14:anchorId="31E1D4FE">
          <v:rect id="_x0000_i1025" style="width:0;height:1.5pt" o:hralign="center" o:hrstd="t" o:hr="t" fillcolor="#a0a0a0" stroked="f"/>
        </w:pict>
      </w:r>
    </w:p>
    <w:p w14:paraId="7B1370CC" w14:textId="77777777" w:rsidR="00C305FB" w:rsidRPr="00C305FB" w:rsidRDefault="00C305FB" w:rsidP="00C305FB">
      <w:pPr>
        <w:rPr>
          <w:b/>
          <w:bCs/>
          <w:color w:val="C45911" w:themeColor="accent2" w:themeShade="BF"/>
        </w:rPr>
      </w:pPr>
      <w:r w:rsidRPr="00C305FB">
        <w:rPr>
          <w:b/>
          <w:bCs/>
          <w:color w:val="C45911" w:themeColor="accent2" w:themeShade="BF"/>
        </w:rPr>
        <w:t>2.2. Motivación</w:t>
      </w:r>
    </w:p>
    <w:p w14:paraId="33DB4486" w14:textId="77777777" w:rsidR="00C305FB" w:rsidRPr="00C305FB" w:rsidRDefault="00C305FB" w:rsidP="00C305FB">
      <w:pPr>
        <w:rPr>
          <w:b/>
          <w:bCs/>
          <w:color w:val="C45911" w:themeColor="accent2" w:themeShade="BF"/>
        </w:rPr>
      </w:pPr>
      <w:r w:rsidRPr="00C305FB">
        <w:rPr>
          <w:b/>
          <w:bCs/>
          <w:color w:val="C45911" w:themeColor="accent2" w:themeShade="BF"/>
        </w:rPr>
        <w:t>La confianza del consumidor como variable estratégica</w:t>
      </w:r>
    </w:p>
    <w:p w14:paraId="7DE09507" w14:textId="77777777" w:rsidR="00C305FB" w:rsidRPr="00C305FB" w:rsidRDefault="00C305FB" w:rsidP="00C305FB">
      <w:pPr>
        <w:rPr>
          <w:color w:val="C45911" w:themeColor="accent2" w:themeShade="BF"/>
        </w:rPr>
      </w:pPr>
      <w:r w:rsidRPr="00C305FB">
        <w:rPr>
          <w:color w:val="C45911" w:themeColor="accent2" w:themeShade="BF"/>
        </w:rPr>
        <w:t>El Índice de Confianza del Consumidor no es únicamente un indicador estadístico: es una señal que anticipa decisiones de gasto, ahorro e inversión de los hogares, y que por tanto afecta directamente a la actividad económica agregada. Numerosos estudios han documentado su capacidad para predecir variaciones en el consumo privado con antelación a que estas se materialicen en las cuentas nacionales (Carroll et al., 1994; Ludvigson, 2004). En España, el ICC elaborado por el Centro de Investigaciones Sociológicas (CIS) y, en el ámbito europeo, el indicador de sentimiento del consumidor publicado por la Comisión Europea, son referencias habituales tanto para analistas económicos como para empresas que planifican su actividad en función de la demanda esperada.</w:t>
      </w:r>
    </w:p>
    <w:p w14:paraId="2BC23145" w14:textId="77777777" w:rsidR="00C305FB" w:rsidRPr="00C305FB" w:rsidRDefault="00C305FB" w:rsidP="00C305FB">
      <w:pPr>
        <w:rPr>
          <w:color w:val="C45911" w:themeColor="accent2" w:themeShade="BF"/>
        </w:rPr>
      </w:pPr>
      <w:r w:rsidRPr="00C305FB">
        <w:rPr>
          <w:color w:val="C45911" w:themeColor="accent2" w:themeShade="BF"/>
        </w:rPr>
        <w:t>La relevancia práctica del indicador queda ilustrada por el hecho de que organismos como el Banco Central Europeo, el Fondo Monetario Internacional o los institutos nacionales de estadística lo incorporan de forma sistemática en sus informes de coyuntura y en sus modelos de previsión macroeconómica. Para las empresas, anticipar una caída en la confianza del consumidor puede traducirse en decisiones de ajuste de inventarios, revisión de planes de expansión o modificación de estrategias de precios. Para las instituciones públicas, un deterioro sostenido del indicador puede ser señal de alerta temprana ante una posible contracción del consumo privado, que en economías como la española representa en torno al [INSERTAR PORCENTAJE]% del PIB (INE, [INSERTAR AÑO]).</w:t>
      </w:r>
    </w:p>
    <w:p w14:paraId="53E8E421" w14:textId="77777777" w:rsidR="00C305FB" w:rsidRPr="00C305FB" w:rsidRDefault="00C305FB" w:rsidP="00C305FB">
      <w:pPr>
        <w:rPr>
          <w:b/>
          <w:bCs/>
          <w:color w:val="C45911" w:themeColor="accent2" w:themeShade="BF"/>
        </w:rPr>
      </w:pPr>
      <w:r w:rsidRPr="00C305FB">
        <w:rPr>
          <w:b/>
          <w:bCs/>
          <w:color w:val="C45911" w:themeColor="accent2" w:themeShade="BF"/>
        </w:rPr>
        <w:t>Las limitaciones de los enfoques tradicionales</w:t>
      </w:r>
    </w:p>
    <w:p w14:paraId="2884AB71" w14:textId="77777777" w:rsidR="00C305FB" w:rsidRPr="00C305FB" w:rsidRDefault="00C305FB" w:rsidP="00C305FB">
      <w:pPr>
        <w:rPr>
          <w:color w:val="C45911" w:themeColor="accent2" w:themeShade="BF"/>
        </w:rPr>
      </w:pPr>
      <w:r w:rsidRPr="00C305FB">
        <w:rPr>
          <w:color w:val="C45911" w:themeColor="accent2" w:themeShade="BF"/>
        </w:rPr>
        <w:t>A pesar de su utilidad, el ICC presenta limitaciones metodológicas relevantes. Al tratarse de un indicador basado en encuestas periódicas, su publicación introduce un retardo entre el momento en que se producen los cambios en las expectativas de los hogares y el momento en que estos quedan registrados en el índice. En contextos de alta volatilidad —como los vividos durante la crisis financiera de 2008, la pandemia de COVID-19 o los episodios de tensión inflacionaria de [INSERTAR PERIODO]— este retardo puede restar capacidad de reacción a los agentes económicos que utilizan el indicador como referencia.</w:t>
      </w:r>
    </w:p>
    <w:p w14:paraId="04B1E5A5" w14:textId="77777777" w:rsidR="00C305FB" w:rsidRPr="00C305FB" w:rsidRDefault="00C305FB" w:rsidP="00C305FB">
      <w:pPr>
        <w:rPr>
          <w:color w:val="C45911" w:themeColor="accent2" w:themeShade="BF"/>
        </w:rPr>
      </w:pPr>
      <w:r w:rsidRPr="00C305FB">
        <w:rPr>
          <w:color w:val="C45911" w:themeColor="accent2" w:themeShade="BF"/>
        </w:rPr>
        <w:t>Por otro lado, los modelos de predicción basados exclusivamente en series temporales del propio ICC tienen una capacidad limitada para incorporar información exógena que pueda alterar las expectativas de los consumidores de forma repentina. Eventos como un cambio de gobierno, un shock energético o una crisis financiera internacional generan reacciones casi inmediatas en el discurso económico público —reflejadas en noticias, declaraciones institucionales y debate en redes sociales— que sin embargo no quedan recogidas en el indicador hasta la siguiente encuesta.</w:t>
      </w:r>
    </w:p>
    <w:p w14:paraId="37C3AB61" w14:textId="77777777" w:rsidR="00C305FB" w:rsidRPr="00C305FB" w:rsidRDefault="00C305FB" w:rsidP="00C305FB">
      <w:pPr>
        <w:rPr>
          <w:b/>
          <w:bCs/>
          <w:color w:val="C45911" w:themeColor="accent2" w:themeShade="BF"/>
        </w:rPr>
      </w:pPr>
      <w:r w:rsidRPr="00C305FB">
        <w:rPr>
          <w:b/>
          <w:bCs/>
          <w:color w:val="C45911" w:themeColor="accent2" w:themeShade="BF"/>
        </w:rPr>
        <w:t>El potencial del análisis de sentimiento como señal complementaria</w:t>
      </w:r>
    </w:p>
    <w:p w14:paraId="68928A2B" w14:textId="77777777" w:rsidR="00C305FB" w:rsidRPr="00C305FB" w:rsidRDefault="00C305FB" w:rsidP="00C305FB">
      <w:pPr>
        <w:rPr>
          <w:color w:val="C45911" w:themeColor="accent2" w:themeShade="BF"/>
        </w:rPr>
      </w:pPr>
      <w:r w:rsidRPr="00C305FB">
        <w:rPr>
          <w:color w:val="C45911" w:themeColor="accent2" w:themeShade="BF"/>
        </w:rPr>
        <w:lastRenderedPageBreak/>
        <w:t>La disponibilidad masiva de información textual en formato digital abre una vía complementaria para capturar, de forma más ágil, el estado de ánimo económico colectivo. Investigaciones recientes han explorado el uso de noticias financieras (</w:t>
      </w:r>
      <w:proofErr w:type="spellStart"/>
      <w:r w:rsidRPr="00C305FB">
        <w:rPr>
          <w:color w:val="C45911" w:themeColor="accent2" w:themeShade="BF"/>
        </w:rPr>
        <w:t>Tetlock</w:t>
      </w:r>
      <w:proofErr w:type="spellEnd"/>
      <w:r w:rsidRPr="00C305FB">
        <w:rPr>
          <w:color w:val="C45911" w:themeColor="accent2" w:themeShade="BF"/>
        </w:rPr>
        <w:t>, 2007), publicaciones en redes sociales (Bollen et al., 2011) y comunicados de prensa institucionales como fuentes de señales de sentimiento con valor predictivo sobre variables macroeconómicas y de mercado. Aunque la mayor parte de esta literatura se ha desarrollado en el contexto de los mercados financieros, su extensión al análisis de indicadores de expectativas como el ICC constituye una línea de investigación con creciente interés académico y aplicado.</w:t>
      </w:r>
    </w:p>
    <w:p w14:paraId="58CB7CF8" w14:textId="77777777" w:rsidR="00C305FB" w:rsidRPr="00C305FB" w:rsidRDefault="00C305FB" w:rsidP="00C305FB">
      <w:pPr>
        <w:rPr>
          <w:color w:val="C45911" w:themeColor="accent2" w:themeShade="BF"/>
        </w:rPr>
      </w:pPr>
      <w:r w:rsidRPr="00C305FB">
        <w:rPr>
          <w:color w:val="C45911" w:themeColor="accent2" w:themeShade="BF"/>
        </w:rPr>
        <w:t>En este contexto, el presente trabajo se motiva por la hipótesis de que el tono del discurso económico institucional —observable a través de publicaciones digitales de organismos relevantes— puede contener información útil para anticipar la evolución del ICC con anterioridad a su publicación oficial. Si esta hipótesis se confirma empíricamente, incluso de forma parcial, el sistema desarrollado podría tener aplicaciones concretas en el ámbito del análisis económico adelantado (</w:t>
      </w:r>
      <w:proofErr w:type="spellStart"/>
      <w:r w:rsidRPr="00C305FB">
        <w:rPr>
          <w:i/>
          <w:iCs/>
          <w:color w:val="C45911" w:themeColor="accent2" w:themeShade="BF"/>
        </w:rPr>
        <w:t>nowcasting</w:t>
      </w:r>
      <w:proofErr w:type="spellEnd"/>
      <w:r w:rsidRPr="00C305FB">
        <w:rPr>
          <w:color w:val="C45911" w:themeColor="accent2" w:themeShade="BF"/>
        </w:rPr>
        <w:t>), la planificación empresarial y el diseño de sistemas de alerta temprana para instituciones públicas.</w:t>
      </w:r>
    </w:p>
    <w:p w14:paraId="11861EC6" w14:textId="77777777" w:rsidR="00C305FB" w:rsidRPr="00C305FB" w:rsidRDefault="00C305FB" w:rsidP="00C305FB">
      <w:pPr>
        <w:rPr>
          <w:color w:val="C45911" w:themeColor="accent2" w:themeShade="BF"/>
        </w:rPr>
      </w:pPr>
      <w:r w:rsidRPr="00C305FB">
        <w:rPr>
          <w:color w:val="C45911" w:themeColor="accent2" w:themeShade="BF"/>
        </w:rPr>
        <w:t xml:space="preserve">La elección de un enfoque basado en modelos de ensamble —Random Forest </w:t>
      </w:r>
      <w:proofErr w:type="spellStart"/>
      <w:r w:rsidRPr="00C305FB">
        <w:rPr>
          <w:color w:val="C45911" w:themeColor="accent2" w:themeShade="BF"/>
        </w:rPr>
        <w:t>Regressor</w:t>
      </w:r>
      <w:proofErr w:type="spellEnd"/>
      <w:r w:rsidRPr="00C305FB">
        <w:rPr>
          <w:color w:val="C45911" w:themeColor="accent2" w:themeShade="BF"/>
        </w:rPr>
        <w:t xml:space="preserve"> y </w:t>
      </w:r>
      <w:proofErr w:type="spellStart"/>
      <w:r w:rsidRPr="00C305FB">
        <w:rPr>
          <w:color w:val="C45911" w:themeColor="accent2" w:themeShade="BF"/>
        </w:rPr>
        <w:t>XGBoost</w:t>
      </w:r>
      <w:proofErr w:type="spellEnd"/>
      <w:r w:rsidRPr="00C305FB">
        <w:rPr>
          <w:color w:val="C45911" w:themeColor="accent2" w:themeShade="BF"/>
        </w:rPr>
        <w:t>— responde a su capacidad documentada para capturar relaciones no lineales entre variables, gestionar conjuntos de datos de tamaño moderado sin necesidad de grandes volúmenes de observaciones, y ofrecer métricas de importancia de variables que facilitan la interpretación de los resultados. Esta combinación entre rigor predictivo e interpretabilidad resulta especialmente relevante en un contexto de análisis de negocio, donde los resultados deben poder comunicarse y justificarse ante audiencias no necesariamente técnicas.</w:t>
      </w:r>
    </w:p>
    <w:p w14:paraId="61573BE3" w14:textId="77777777" w:rsidR="00C305FB" w:rsidRPr="00C305FB" w:rsidRDefault="00000000" w:rsidP="00C305FB">
      <w:pPr>
        <w:rPr>
          <w:color w:val="C45911" w:themeColor="accent2" w:themeShade="BF"/>
        </w:rPr>
      </w:pPr>
      <w:r>
        <w:rPr>
          <w:color w:val="C45911" w:themeColor="accent2" w:themeShade="BF"/>
        </w:rPr>
        <w:pict w14:anchorId="3FB4CF78">
          <v:rect id="_x0000_i1026" style="width:0;height:1.5pt" o:hralign="center" o:hrstd="t" o:hr="t" fillcolor="#a0a0a0" stroked="f"/>
        </w:pict>
      </w:r>
    </w:p>
    <w:p w14:paraId="6AA168E0" w14:textId="77777777" w:rsidR="00C305FB" w:rsidRPr="00C305FB" w:rsidRDefault="00C305FB" w:rsidP="00C305FB">
      <w:pPr>
        <w:rPr>
          <w:color w:val="C45911" w:themeColor="accent2" w:themeShade="BF"/>
        </w:rPr>
      </w:pPr>
      <w:r w:rsidRPr="00C305FB">
        <w:rPr>
          <w:b/>
          <w:bCs/>
          <w:color w:val="C45911" w:themeColor="accent2" w:themeShade="BF"/>
        </w:rPr>
        <w:t>Referencias citadas en esta sección</w:t>
      </w:r>
      <w:r w:rsidRPr="00C305FB">
        <w:rPr>
          <w:color w:val="C45911" w:themeColor="accent2" w:themeShade="BF"/>
        </w:rPr>
        <w:t xml:space="preserve"> </w:t>
      </w:r>
      <w:r w:rsidRPr="00C305FB">
        <w:rPr>
          <w:i/>
          <w:iCs/>
          <w:color w:val="C45911" w:themeColor="accent2" w:themeShade="BF"/>
        </w:rPr>
        <w:t>(para incluir en el capítulo 5)</w:t>
      </w:r>
    </w:p>
    <w:p w14:paraId="4D414B6A" w14:textId="77777777" w:rsidR="00C305FB" w:rsidRPr="00C305FB" w:rsidRDefault="00C305FB" w:rsidP="00C305FB">
      <w:pPr>
        <w:numPr>
          <w:ilvl w:val="0"/>
          <w:numId w:val="4"/>
        </w:numPr>
        <w:rPr>
          <w:color w:val="C45911" w:themeColor="accent2" w:themeShade="BF"/>
        </w:rPr>
      </w:pPr>
      <w:r w:rsidRPr="00C305FB">
        <w:rPr>
          <w:color w:val="C45911" w:themeColor="accent2" w:themeShade="BF"/>
          <w:lang w:val="en-GB"/>
        </w:rPr>
        <w:t xml:space="preserve">Bollen, J., Mao, H., &amp; Zeng, X. (2011). Twitter mood predicts the stock market. </w:t>
      </w:r>
      <w:proofErr w:type="spellStart"/>
      <w:r w:rsidRPr="00C305FB">
        <w:rPr>
          <w:i/>
          <w:iCs/>
          <w:color w:val="C45911" w:themeColor="accent2" w:themeShade="BF"/>
        </w:rPr>
        <w:t>Journal</w:t>
      </w:r>
      <w:proofErr w:type="spellEnd"/>
      <w:r w:rsidRPr="00C305FB">
        <w:rPr>
          <w:i/>
          <w:iCs/>
          <w:color w:val="C45911" w:themeColor="accent2" w:themeShade="BF"/>
        </w:rPr>
        <w:t xml:space="preserve"> </w:t>
      </w:r>
      <w:proofErr w:type="spellStart"/>
      <w:r w:rsidRPr="00C305FB">
        <w:rPr>
          <w:i/>
          <w:iCs/>
          <w:color w:val="C45911" w:themeColor="accent2" w:themeShade="BF"/>
        </w:rPr>
        <w:t>of</w:t>
      </w:r>
      <w:proofErr w:type="spellEnd"/>
      <w:r w:rsidRPr="00C305FB">
        <w:rPr>
          <w:i/>
          <w:iCs/>
          <w:color w:val="C45911" w:themeColor="accent2" w:themeShade="BF"/>
        </w:rPr>
        <w:t xml:space="preserve"> </w:t>
      </w:r>
      <w:proofErr w:type="spellStart"/>
      <w:r w:rsidRPr="00C305FB">
        <w:rPr>
          <w:i/>
          <w:iCs/>
          <w:color w:val="C45911" w:themeColor="accent2" w:themeShade="BF"/>
        </w:rPr>
        <w:t>Computational</w:t>
      </w:r>
      <w:proofErr w:type="spellEnd"/>
      <w:r w:rsidRPr="00C305FB">
        <w:rPr>
          <w:i/>
          <w:iCs/>
          <w:color w:val="C45911" w:themeColor="accent2" w:themeShade="BF"/>
        </w:rPr>
        <w:t xml:space="preserve"> </w:t>
      </w:r>
      <w:proofErr w:type="spellStart"/>
      <w:r w:rsidRPr="00C305FB">
        <w:rPr>
          <w:i/>
          <w:iCs/>
          <w:color w:val="C45911" w:themeColor="accent2" w:themeShade="BF"/>
        </w:rPr>
        <w:t>Science</w:t>
      </w:r>
      <w:proofErr w:type="spellEnd"/>
      <w:r w:rsidRPr="00C305FB">
        <w:rPr>
          <w:i/>
          <w:iCs/>
          <w:color w:val="C45911" w:themeColor="accent2" w:themeShade="BF"/>
        </w:rPr>
        <w:t>, 2</w:t>
      </w:r>
      <w:r w:rsidRPr="00C305FB">
        <w:rPr>
          <w:color w:val="C45911" w:themeColor="accent2" w:themeShade="BF"/>
        </w:rPr>
        <w:t>(1), 1–8.</w:t>
      </w:r>
    </w:p>
    <w:p w14:paraId="5CF70CE1" w14:textId="77777777" w:rsidR="00C305FB" w:rsidRPr="00C305FB" w:rsidRDefault="00C305FB" w:rsidP="00C305FB">
      <w:pPr>
        <w:numPr>
          <w:ilvl w:val="0"/>
          <w:numId w:val="4"/>
        </w:numPr>
        <w:rPr>
          <w:color w:val="C45911" w:themeColor="accent2" w:themeShade="BF"/>
        </w:rPr>
      </w:pPr>
      <w:r w:rsidRPr="00C305FB">
        <w:rPr>
          <w:color w:val="C45911" w:themeColor="accent2" w:themeShade="BF"/>
          <w:lang w:val="en-GB"/>
        </w:rPr>
        <w:t xml:space="preserve">Carroll, C. D., Fuhrer, J. C., &amp; Wilcox, D. W. (1994). Does consumer sentiment forecast household spending? </w:t>
      </w:r>
      <w:proofErr w:type="spellStart"/>
      <w:r w:rsidRPr="00C305FB">
        <w:rPr>
          <w:color w:val="C45911" w:themeColor="accent2" w:themeShade="BF"/>
        </w:rPr>
        <w:t>If</w:t>
      </w:r>
      <w:proofErr w:type="spellEnd"/>
      <w:r w:rsidRPr="00C305FB">
        <w:rPr>
          <w:color w:val="C45911" w:themeColor="accent2" w:themeShade="BF"/>
        </w:rPr>
        <w:t xml:space="preserve"> so, </w:t>
      </w:r>
      <w:proofErr w:type="spellStart"/>
      <w:r w:rsidRPr="00C305FB">
        <w:rPr>
          <w:color w:val="C45911" w:themeColor="accent2" w:themeShade="BF"/>
        </w:rPr>
        <w:t>why</w:t>
      </w:r>
      <w:proofErr w:type="spellEnd"/>
      <w:r w:rsidRPr="00C305FB">
        <w:rPr>
          <w:color w:val="C45911" w:themeColor="accent2" w:themeShade="BF"/>
        </w:rPr>
        <w:t xml:space="preserve">? </w:t>
      </w:r>
      <w:r w:rsidRPr="00C305FB">
        <w:rPr>
          <w:i/>
          <w:iCs/>
          <w:color w:val="C45911" w:themeColor="accent2" w:themeShade="BF"/>
        </w:rPr>
        <w:t xml:space="preserve">American </w:t>
      </w:r>
      <w:proofErr w:type="spellStart"/>
      <w:r w:rsidRPr="00C305FB">
        <w:rPr>
          <w:i/>
          <w:iCs/>
          <w:color w:val="C45911" w:themeColor="accent2" w:themeShade="BF"/>
        </w:rPr>
        <w:t>Economic</w:t>
      </w:r>
      <w:proofErr w:type="spellEnd"/>
      <w:r w:rsidRPr="00C305FB">
        <w:rPr>
          <w:i/>
          <w:iCs/>
          <w:color w:val="C45911" w:themeColor="accent2" w:themeShade="BF"/>
        </w:rPr>
        <w:t xml:space="preserve"> </w:t>
      </w:r>
      <w:proofErr w:type="spellStart"/>
      <w:r w:rsidRPr="00C305FB">
        <w:rPr>
          <w:i/>
          <w:iCs/>
          <w:color w:val="C45911" w:themeColor="accent2" w:themeShade="BF"/>
        </w:rPr>
        <w:t>Review</w:t>
      </w:r>
      <w:proofErr w:type="spellEnd"/>
      <w:r w:rsidRPr="00C305FB">
        <w:rPr>
          <w:i/>
          <w:iCs/>
          <w:color w:val="C45911" w:themeColor="accent2" w:themeShade="BF"/>
        </w:rPr>
        <w:t>, 84</w:t>
      </w:r>
      <w:r w:rsidRPr="00C305FB">
        <w:rPr>
          <w:color w:val="C45911" w:themeColor="accent2" w:themeShade="BF"/>
        </w:rPr>
        <w:t>(5), 1397–1408.</w:t>
      </w:r>
    </w:p>
    <w:p w14:paraId="0CB5F8BF" w14:textId="77777777" w:rsidR="00C305FB" w:rsidRPr="00C305FB" w:rsidRDefault="00C305FB" w:rsidP="00C305FB">
      <w:pPr>
        <w:numPr>
          <w:ilvl w:val="0"/>
          <w:numId w:val="4"/>
        </w:numPr>
        <w:rPr>
          <w:color w:val="C45911" w:themeColor="accent2" w:themeShade="BF"/>
        </w:rPr>
      </w:pPr>
      <w:r w:rsidRPr="00C305FB">
        <w:rPr>
          <w:color w:val="C45911" w:themeColor="accent2" w:themeShade="BF"/>
          <w:lang w:val="en-GB"/>
        </w:rPr>
        <w:t xml:space="preserve">Ludvigson, S. C. (2004). Consumer confidence and consumer spending. </w:t>
      </w:r>
      <w:proofErr w:type="spellStart"/>
      <w:r w:rsidRPr="00C305FB">
        <w:rPr>
          <w:i/>
          <w:iCs/>
          <w:color w:val="C45911" w:themeColor="accent2" w:themeShade="BF"/>
        </w:rPr>
        <w:t>Journal</w:t>
      </w:r>
      <w:proofErr w:type="spellEnd"/>
      <w:r w:rsidRPr="00C305FB">
        <w:rPr>
          <w:i/>
          <w:iCs/>
          <w:color w:val="C45911" w:themeColor="accent2" w:themeShade="BF"/>
        </w:rPr>
        <w:t xml:space="preserve"> </w:t>
      </w:r>
      <w:proofErr w:type="spellStart"/>
      <w:r w:rsidRPr="00C305FB">
        <w:rPr>
          <w:i/>
          <w:iCs/>
          <w:color w:val="C45911" w:themeColor="accent2" w:themeShade="BF"/>
        </w:rPr>
        <w:t>of</w:t>
      </w:r>
      <w:proofErr w:type="spellEnd"/>
      <w:r w:rsidRPr="00C305FB">
        <w:rPr>
          <w:i/>
          <w:iCs/>
          <w:color w:val="C45911" w:themeColor="accent2" w:themeShade="BF"/>
        </w:rPr>
        <w:t xml:space="preserve"> </w:t>
      </w:r>
      <w:proofErr w:type="spellStart"/>
      <w:r w:rsidRPr="00C305FB">
        <w:rPr>
          <w:i/>
          <w:iCs/>
          <w:color w:val="C45911" w:themeColor="accent2" w:themeShade="BF"/>
        </w:rPr>
        <w:t>Economic</w:t>
      </w:r>
      <w:proofErr w:type="spellEnd"/>
      <w:r w:rsidRPr="00C305FB">
        <w:rPr>
          <w:i/>
          <w:iCs/>
          <w:color w:val="C45911" w:themeColor="accent2" w:themeShade="BF"/>
        </w:rPr>
        <w:t xml:space="preserve"> </w:t>
      </w:r>
      <w:proofErr w:type="spellStart"/>
      <w:r w:rsidRPr="00C305FB">
        <w:rPr>
          <w:i/>
          <w:iCs/>
          <w:color w:val="C45911" w:themeColor="accent2" w:themeShade="BF"/>
        </w:rPr>
        <w:t>Perspectives</w:t>
      </w:r>
      <w:proofErr w:type="spellEnd"/>
      <w:r w:rsidRPr="00C305FB">
        <w:rPr>
          <w:i/>
          <w:iCs/>
          <w:color w:val="C45911" w:themeColor="accent2" w:themeShade="BF"/>
        </w:rPr>
        <w:t>, 18</w:t>
      </w:r>
      <w:r w:rsidRPr="00C305FB">
        <w:rPr>
          <w:color w:val="C45911" w:themeColor="accent2" w:themeShade="BF"/>
        </w:rPr>
        <w:t>(2), 29–50.</w:t>
      </w:r>
    </w:p>
    <w:p w14:paraId="3C14652B" w14:textId="77777777" w:rsidR="00C305FB" w:rsidRPr="00C305FB" w:rsidRDefault="00C305FB" w:rsidP="00C305FB">
      <w:pPr>
        <w:numPr>
          <w:ilvl w:val="0"/>
          <w:numId w:val="4"/>
        </w:numPr>
        <w:rPr>
          <w:color w:val="C45911" w:themeColor="accent2" w:themeShade="BF"/>
        </w:rPr>
      </w:pPr>
      <w:r w:rsidRPr="00C305FB">
        <w:rPr>
          <w:color w:val="C45911" w:themeColor="accent2" w:themeShade="BF"/>
          <w:lang w:val="en-GB"/>
        </w:rPr>
        <w:t xml:space="preserve">Tetlock, P. C. (2007). Giving content to investor sentiment: The role of media in the stock market. </w:t>
      </w:r>
      <w:proofErr w:type="spellStart"/>
      <w:r w:rsidRPr="00C305FB">
        <w:rPr>
          <w:i/>
          <w:iCs/>
          <w:color w:val="C45911" w:themeColor="accent2" w:themeShade="BF"/>
        </w:rPr>
        <w:t>Journal</w:t>
      </w:r>
      <w:proofErr w:type="spellEnd"/>
      <w:r w:rsidRPr="00C305FB">
        <w:rPr>
          <w:i/>
          <w:iCs/>
          <w:color w:val="C45911" w:themeColor="accent2" w:themeShade="BF"/>
        </w:rPr>
        <w:t xml:space="preserve"> </w:t>
      </w:r>
      <w:proofErr w:type="spellStart"/>
      <w:r w:rsidRPr="00C305FB">
        <w:rPr>
          <w:i/>
          <w:iCs/>
          <w:color w:val="C45911" w:themeColor="accent2" w:themeShade="BF"/>
        </w:rPr>
        <w:t>of</w:t>
      </w:r>
      <w:proofErr w:type="spellEnd"/>
      <w:r w:rsidRPr="00C305FB">
        <w:rPr>
          <w:i/>
          <w:iCs/>
          <w:color w:val="C45911" w:themeColor="accent2" w:themeShade="BF"/>
        </w:rPr>
        <w:t xml:space="preserve"> </w:t>
      </w:r>
      <w:proofErr w:type="spellStart"/>
      <w:r w:rsidRPr="00C305FB">
        <w:rPr>
          <w:i/>
          <w:iCs/>
          <w:color w:val="C45911" w:themeColor="accent2" w:themeShade="BF"/>
        </w:rPr>
        <w:t>Finance</w:t>
      </w:r>
      <w:proofErr w:type="spellEnd"/>
      <w:r w:rsidRPr="00C305FB">
        <w:rPr>
          <w:i/>
          <w:iCs/>
          <w:color w:val="C45911" w:themeColor="accent2" w:themeShade="BF"/>
        </w:rPr>
        <w:t>, 62</w:t>
      </w:r>
      <w:r w:rsidRPr="00C305FB">
        <w:rPr>
          <w:color w:val="C45911" w:themeColor="accent2" w:themeShade="BF"/>
        </w:rPr>
        <w:t>(3), 1139–1168.</w:t>
      </w:r>
    </w:p>
    <w:p w14:paraId="7579FBC8" w14:textId="77777777" w:rsidR="00C305FB" w:rsidRPr="00C305FB" w:rsidRDefault="00000000" w:rsidP="00C305FB">
      <w:pPr>
        <w:rPr>
          <w:color w:val="C45911" w:themeColor="accent2" w:themeShade="BF"/>
        </w:rPr>
      </w:pPr>
      <w:r>
        <w:rPr>
          <w:color w:val="C45911" w:themeColor="accent2" w:themeShade="BF"/>
        </w:rPr>
        <w:pict w14:anchorId="1687F51B">
          <v:rect id="_x0000_i1027" style="width:0;height:1.5pt" o:hralign="center" o:hrstd="t" o:hr="t" fillcolor="#a0a0a0" stroked="f"/>
        </w:pict>
      </w:r>
    </w:p>
    <w:p w14:paraId="63BD2DB3" w14:textId="77777777" w:rsidR="00C305FB" w:rsidRPr="00C305FB" w:rsidRDefault="00C305FB" w:rsidP="00C305FB">
      <w:pPr>
        <w:rPr>
          <w:color w:val="C45911" w:themeColor="accent2" w:themeShade="BF"/>
        </w:rPr>
      </w:pPr>
      <w:r w:rsidRPr="00C305FB">
        <w:rPr>
          <w:b/>
          <w:bCs/>
          <w:color w:val="C45911" w:themeColor="accent2" w:themeShade="BF"/>
        </w:rPr>
        <w:t>Huecos que debes rellenar antes de entregar:</w:t>
      </w:r>
    </w:p>
    <w:p w14:paraId="6B8F2A94" w14:textId="77777777" w:rsidR="00C305FB" w:rsidRPr="00C305FB" w:rsidRDefault="00C305FB" w:rsidP="00C305FB">
      <w:pPr>
        <w:numPr>
          <w:ilvl w:val="0"/>
          <w:numId w:val="5"/>
        </w:numPr>
        <w:rPr>
          <w:color w:val="C45911" w:themeColor="accent2" w:themeShade="BF"/>
        </w:rPr>
      </w:pPr>
      <w:r w:rsidRPr="00C305FB">
        <w:rPr>
          <w:color w:val="C45911" w:themeColor="accent2" w:themeShade="BF"/>
        </w:rPr>
        <w:t>[INSERTAR PORCENTAJE]: peso del consumo privado en el PIB español (dato INE, ~55-57%, pero verifícalo tú en la fuente oficial).</w:t>
      </w:r>
    </w:p>
    <w:p w14:paraId="6E6167F3" w14:textId="77777777" w:rsidR="00C305FB" w:rsidRPr="00C305FB" w:rsidRDefault="00C305FB" w:rsidP="00C305FB">
      <w:pPr>
        <w:numPr>
          <w:ilvl w:val="0"/>
          <w:numId w:val="5"/>
        </w:numPr>
        <w:rPr>
          <w:color w:val="C45911" w:themeColor="accent2" w:themeShade="BF"/>
        </w:rPr>
      </w:pPr>
      <w:r w:rsidRPr="00C305FB">
        <w:rPr>
          <w:color w:val="C45911" w:themeColor="accent2" w:themeShade="BF"/>
        </w:rPr>
        <w:t>[INSERTAR AÑO]: año del dato del INE que uses.</w:t>
      </w:r>
    </w:p>
    <w:p w14:paraId="29DDBC9B" w14:textId="77777777" w:rsidR="00C305FB" w:rsidRPr="00C305FB" w:rsidRDefault="00C305FB" w:rsidP="00C305FB">
      <w:pPr>
        <w:numPr>
          <w:ilvl w:val="0"/>
          <w:numId w:val="5"/>
        </w:numPr>
        <w:rPr>
          <w:color w:val="C45911" w:themeColor="accent2" w:themeShade="BF"/>
        </w:rPr>
      </w:pPr>
      <w:r w:rsidRPr="00C305FB">
        <w:rPr>
          <w:color w:val="C45911" w:themeColor="accent2" w:themeShade="BF"/>
        </w:rPr>
        <w:t>[INSERTAR PERIODO]: el episodio inflacionario concreto que quieras citar (ej. 2021–2023).</w:t>
      </w:r>
    </w:p>
    <w:p w14:paraId="3A994C5E" w14:textId="77777777" w:rsidR="00C305FB" w:rsidRPr="00C305FB" w:rsidRDefault="00C305FB" w:rsidP="00C305FB">
      <w:pPr>
        <w:rPr>
          <w:color w:val="C45911" w:themeColor="accent2" w:themeShade="BF"/>
        </w:rPr>
      </w:pPr>
      <w:r w:rsidRPr="00C305FB">
        <w:rPr>
          <w:color w:val="C45911" w:themeColor="accent2" w:themeShade="BF"/>
        </w:rPr>
        <w:t xml:space="preserve">¿Continúo con el </w:t>
      </w:r>
      <w:r w:rsidRPr="00C305FB">
        <w:rPr>
          <w:b/>
          <w:bCs/>
          <w:color w:val="C45911" w:themeColor="accent2" w:themeShade="BF"/>
        </w:rPr>
        <w:t>Estado del arte (2.3)</w:t>
      </w:r>
      <w:r w:rsidRPr="00C305FB">
        <w:rPr>
          <w:color w:val="C45911" w:themeColor="accent2" w:themeShade="BF"/>
        </w:rPr>
        <w:t>? Es la sección que el evaluador más criticó, así que te explicaré también el formato exacto antes de redactarla.</w:t>
      </w:r>
    </w:p>
    <w:p w14:paraId="67867C53" w14:textId="77777777" w:rsidR="00C305FB" w:rsidRPr="00C305FB" w:rsidRDefault="00C305FB" w:rsidP="00C305FB">
      <w:pPr>
        <w:rPr>
          <w:color w:val="C45911" w:themeColor="accent2" w:themeShade="BF"/>
        </w:rPr>
      </w:pPr>
      <w:r w:rsidRPr="00C305FB">
        <w:rPr>
          <w:color w:val="C45911" w:themeColor="accent2" w:themeShade="BF"/>
        </w:rPr>
        <w:lastRenderedPageBreak/>
        <w:t>Sustituiría “noticias económicas” por “publicaciones digitales institucionales y textos económicos digitales” para mantener la coherencia con la fuente real de datos utilizada en el proyecto.</w:t>
      </w:r>
    </w:p>
    <w:p w14:paraId="2D5C7B28" w14:textId="77777777" w:rsidR="00C305FB" w:rsidRPr="00C305FB" w:rsidRDefault="00C305FB" w:rsidP="00C305FB">
      <w:pPr>
        <w:rPr>
          <w:color w:val="C45911" w:themeColor="accent2" w:themeShade="BF"/>
        </w:rPr>
      </w:pPr>
      <w:r w:rsidRPr="00C305FB">
        <w:rPr>
          <w:color w:val="C45911" w:themeColor="accent2" w:themeShade="BF"/>
        </w:rPr>
        <w:t>También cambiaría:</w:t>
      </w:r>
    </w:p>
    <w:p w14:paraId="4FED82CD" w14:textId="77777777" w:rsidR="00C305FB" w:rsidRPr="00C305FB" w:rsidRDefault="00C305FB" w:rsidP="00C305FB">
      <w:pPr>
        <w:rPr>
          <w:color w:val="C45911" w:themeColor="accent2" w:themeShade="BF"/>
        </w:rPr>
      </w:pPr>
      <w:r w:rsidRPr="00C305FB">
        <w:rPr>
          <w:color w:val="C45911" w:themeColor="accent2" w:themeShade="BF"/>
        </w:rPr>
        <w:t xml:space="preserve">“modelos de ensamble —Random Forest </w:t>
      </w:r>
      <w:proofErr w:type="spellStart"/>
      <w:r w:rsidRPr="00C305FB">
        <w:rPr>
          <w:color w:val="C45911" w:themeColor="accent2" w:themeShade="BF"/>
        </w:rPr>
        <w:t>Regressor</w:t>
      </w:r>
      <w:proofErr w:type="spellEnd"/>
      <w:r w:rsidRPr="00C305FB">
        <w:rPr>
          <w:color w:val="C45911" w:themeColor="accent2" w:themeShade="BF"/>
        </w:rPr>
        <w:t xml:space="preserve"> y </w:t>
      </w:r>
      <w:proofErr w:type="spellStart"/>
      <w:r w:rsidRPr="00C305FB">
        <w:rPr>
          <w:color w:val="C45911" w:themeColor="accent2" w:themeShade="BF"/>
        </w:rPr>
        <w:t>XGBoost</w:t>
      </w:r>
      <w:proofErr w:type="spellEnd"/>
      <w:r w:rsidRPr="00C305FB">
        <w:rPr>
          <w:color w:val="C45911" w:themeColor="accent2" w:themeShade="BF"/>
        </w:rPr>
        <w:t>— que incorporan las variables de sentimiento como predictores adicionales”</w:t>
      </w:r>
    </w:p>
    <w:p w14:paraId="65BFC112" w14:textId="77777777" w:rsidR="00C305FB" w:rsidRPr="00C305FB" w:rsidRDefault="00C305FB" w:rsidP="00C305FB">
      <w:pPr>
        <w:rPr>
          <w:color w:val="C45911" w:themeColor="accent2" w:themeShade="BF"/>
        </w:rPr>
      </w:pPr>
      <w:r w:rsidRPr="00C305FB">
        <w:rPr>
          <w:color w:val="C45911" w:themeColor="accent2" w:themeShade="BF"/>
        </w:rPr>
        <w:t>por:</w:t>
      </w:r>
    </w:p>
    <w:p w14:paraId="085EBE23" w14:textId="77777777" w:rsidR="00C305FB" w:rsidRPr="00C305FB" w:rsidRDefault="00C305FB" w:rsidP="00C305FB">
      <w:pPr>
        <w:rPr>
          <w:color w:val="C45911" w:themeColor="accent2" w:themeShade="BF"/>
        </w:rPr>
      </w:pPr>
      <w:r w:rsidRPr="00C305FB">
        <w:rPr>
          <w:color w:val="C45911" w:themeColor="accent2" w:themeShade="BF"/>
        </w:rPr>
        <w:t xml:space="preserve">“modelos de ensamble, como Random Forest </w:t>
      </w:r>
      <w:proofErr w:type="spellStart"/>
      <w:r w:rsidRPr="00C305FB">
        <w:rPr>
          <w:color w:val="C45911" w:themeColor="accent2" w:themeShade="BF"/>
        </w:rPr>
        <w:t>Regressor</w:t>
      </w:r>
      <w:proofErr w:type="spellEnd"/>
      <w:r w:rsidRPr="00C305FB">
        <w:rPr>
          <w:color w:val="C45911" w:themeColor="accent2" w:themeShade="BF"/>
        </w:rPr>
        <w:t xml:space="preserve"> y </w:t>
      </w:r>
      <w:proofErr w:type="spellStart"/>
      <w:r w:rsidRPr="00C305FB">
        <w:rPr>
          <w:color w:val="C45911" w:themeColor="accent2" w:themeShade="BF"/>
        </w:rPr>
        <w:t>XGBoost</w:t>
      </w:r>
      <w:proofErr w:type="spellEnd"/>
      <w:r w:rsidRPr="00C305FB">
        <w:rPr>
          <w:color w:val="C45911" w:themeColor="accent2" w:themeShade="BF"/>
        </w:rPr>
        <w:t>, que permiten incorporar las variables de sentimiento como predictores adicionales y comparar su rendimiento frente al modelo de referencia”.</w:t>
      </w:r>
    </w:p>
    <w:p w14:paraId="35B0FC16" w14:textId="77777777" w:rsidR="00C305FB" w:rsidRPr="00C305FB" w:rsidRDefault="00C305FB" w:rsidP="00C305FB">
      <w:pPr>
        <w:rPr>
          <w:color w:val="C45911" w:themeColor="accent2" w:themeShade="BF"/>
        </w:rPr>
      </w:pPr>
      <w:r w:rsidRPr="00C305FB">
        <w:rPr>
          <w:color w:val="C45911" w:themeColor="accent2" w:themeShade="BF"/>
        </w:rPr>
        <w:t>En la motivación, cambiaría:</w:t>
      </w:r>
    </w:p>
    <w:p w14:paraId="61C3BABF" w14:textId="77777777" w:rsidR="00C305FB" w:rsidRPr="00C305FB" w:rsidRDefault="00C305FB" w:rsidP="00C305FB">
      <w:pPr>
        <w:rPr>
          <w:color w:val="C45911" w:themeColor="accent2" w:themeShade="BF"/>
        </w:rPr>
      </w:pPr>
      <w:r w:rsidRPr="00C305FB">
        <w:rPr>
          <w:color w:val="C45911" w:themeColor="accent2" w:themeShade="BF"/>
        </w:rPr>
        <w:t>“si esta hipótesis se confirma empíricamente”</w:t>
      </w:r>
    </w:p>
    <w:p w14:paraId="2CE01AAA" w14:textId="77777777" w:rsidR="00C305FB" w:rsidRPr="00C305FB" w:rsidRDefault="00C305FB" w:rsidP="00C305FB">
      <w:pPr>
        <w:rPr>
          <w:color w:val="C45911" w:themeColor="accent2" w:themeShade="BF"/>
        </w:rPr>
      </w:pPr>
      <w:r w:rsidRPr="00C305FB">
        <w:rPr>
          <w:color w:val="C45911" w:themeColor="accent2" w:themeShade="BF"/>
        </w:rPr>
        <w:t>por:</w:t>
      </w:r>
    </w:p>
    <w:p w14:paraId="2C6BA71A" w14:textId="77777777" w:rsidR="00C305FB" w:rsidRPr="00C305FB" w:rsidRDefault="00C305FB" w:rsidP="00C305FB">
      <w:pPr>
        <w:rPr>
          <w:color w:val="C45911" w:themeColor="accent2" w:themeShade="BF"/>
        </w:rPr>
      </w:pPr>
      <w:r w:rsidRPr="00C305FB">
        <w:rPr>
          <w:color w:val="C45911" w:themeColor="accent2" w:themeShade="BF"/>
        </w:rPr>
        <w:t>“si los resultados muestran una mejora predictiva al incorporar estas variables”.</w:t>
      </w:r>
    </w:p>
    <w:p w14:paraId="38F664E4" w14:textId="77777777" w:rsidR="00C305FB" w:rsidRPr="00C305FB" w:rsidRDefault="00C305FB" w:rsidP="00C305FB">
      <w:pPr>
        <w:rPr>
          <w:color w:val="C45911" w:themeColor="accent2" w:themeShade="BF"/>
        </w:rPr>
      </w:pPr>
      <w:r w:rsidRPr="00C305FB">
        <w:rPr>
          <w:color w:val="C45911" w:themeColor="accent2" w:themeShade="BF"/>
        </w:rPr>
        <w:t>Y cambiaría:</w:t>
      </w:r>
    </w:p>
    <w:p w14:paraId="5F894D80" w14:textId="77777777" w:rsidR="00C305FB" w:rsidRPr="00C305FB" w:rsidRDefault="00C305FB" w:rsidP="00C305FB">
      <w:pPr>
        <w:rPr>
          <w:color w:val="C45911" w:themeColor="accent2" w:themeShade="BF"/>
        </w:rPr>
      </w:pPr>
      <w:r w:rsidRPr="00C305FB">
        <w:rPr>
          <w:color w:val="C45911" w:themeColor="accent2" w:themeShade="BF"/>
        </w:rPr>
        <w:t>“puede contener información útil para anticipar la evolución del ICC”</w:t>
      </w:r>
    </w:p>
    <w:p w14:paraId="316F1D10" w14:textId="77777777" w:rsidR="00C305FB" w:rsidRPr="00C305FB" w:rsidRDefault="00C305FB" w:rsidP="00C305FB">
      <w:pPr>
        <w:rPr>
          <w:color w:val="C45911" w:themeColor="accent2" w:themeShade="BF"/>
        </w:rPr>
      </w:pPr>
      <w:r w:rsidRPr="00C305FB">
        <w:rPr>
          <w:color w:val="C45911" w:themeColor="accent2" w:themeShade="BF"/>
        </w:rPr>
        <w:t>por:</w:t>
      </w:r>
    </w:p>
    <w:p w14:paraId="0EBAC86E" w14:textId="77777777" w:rsidR="00C305FB" w:rsidRPr="00C305FB" w:rsidRDefault="00C305FB" w:rsidP="00C305FB">
      <w:pPr>
        <w:rPr>
          <w:color w:val="C45911" w:themeColor="accent2" w:themeShade="BF"/>
        </w:rPr>
      </w:pPr>
      <w:r w:rsidRPr="00C305FB">
        <w:rPr>
          <w:color w:val="C45911" w:themeColor="accent2" w:themeShade="BF"/>
        </w:rPr>
        <w:t>“puede contener información complementaria potencialmente útil para anticipar la evolución del ICC”.</w:t>
      </w:r>
    </w:p>
    <w:p w14:paraId="47EE04C2" w14:textId="77777777" w:rsidR="00A312CF" w:rsidRDefault="00A312CF" w:rsidP="002E50A1"/>
    <w:p w14:paraId="3CAD9F9D" w14:textId="77777777" w:rsidR="0056299E" w:rsidRPr="00614BA0" w:rsidRDefault="0056299E" w:rsidP="0056299E">
      <w:pPr>
        <w:rPr>
          <w:b/>
          <w:bCs/>
          <w:color w:val="C45911" w:themeColor="accent2" w:themeShade="BF"/>
        </w:rPr>
      </w:pPr>
      <w:r w:rsidRPr="00614BA0">
        <w:rPr>
          <w:b/>
          <w:bCs/>
          <w:color w:val="C45911" w:themeColor="accent2" w:themeShade="BF"/>
        </w:rPr>
        <w:t>2.3. Estado del arte</w:t>
      </w:r>
    </w:p>
    <w:p w14:paraId="6BD10F0B" w14:textId="77777777" w:rsidR="0056299E" w:rsidRPr="00614BA0" w:rsidRDefault="0056299E" w:rsidP="0056299E">
      <w:pPr>
        <w:rPr>
          <w:color w:val="C45911" w:themeColor="accent2" w:themeShade="BF"/>
        </w:rPr>
      </w:pPr>
      <w:r w:rsidRPr="00614BA0">
        <w:rPr>
          <w:color w:val="C45911" w:themeColor="accent2" w:themeShade="BF"/>
        </w:rPr>
        <w:t>La revisión de la literatura que se presenta a continuación se organiza en torno a cuatro líneas de investigación directamente relacionadas con el enfoque metodológico de este trabajo. Para cada bloque se identifican las aportaciones principales, sus limitaciones y su conexión específica con el presente proyecto, evitando una mera enumeración de trabajos en favor de una lectura crítica e integrada de la literatura.</w:t>
      </w:r>
    </w:p>
    <w:p w14:paraId="4E3AFE00" w14:textId="77777777" w:rsidR="0056299E" w:rsidRPr="00614BA0" w:rsidRDefault="00000000" w:rsidP="0056299E">
      <w:pPr>
        <w:rPr>
          <w:color w:val="C45911" w:themeColor="accent2" w:themeShade="BF"/>
        </w:rPr>
      </w:pPr>
      <w:r>
        <w:rPr>
          <w:color w:val="C45911" w:themeColor="accent2" w:themeShade="BF"/>
        </w:rPr>
        <w:pict w14:anchorId="151D18A0">
          <v:rect id="_x0000_i1028" style="width:0;height:1.5pt" o:hralign="center" o:hrstd="t" o:hr="t" fillcolor="#a0a0a0" stroked="f"/>
        </w:pict>
      </w:r>
    </w:p>
    <w:p w14:paraId="482F1A25" w14:textId="77777777" w:rsidR="0056299E" w:rsidRPr="00614BA0" w:rsidRDefault="0056299E" w:rsidP="0056299E">
      <w:pPr>
        <w:rPr>
          <w:b/>
          <w:bCs/>
          <w:color w:val="C45911" w:themeColor="accent2" w:themeShade="BF"/>
        </w:rPr>
      </w:pPr>
      <w:r w:rsidRPr="00614BA0">
        <w:rPr>
          <w:b/>
          <w:bCs/>
          <w:color w:val="C45911" w:themeColor="accent2" w:themeShade="BF"/>
        </w:rPr>
        <w:t>2.3.1. Confianza del consumidor e Índice de Confianza del Consumidor</w:t>
      </w:r>
    </w:p>
    <w:p w14:paraId="520AD69B" w14:textId="77777777" w:rsidR="0056299E" w:rsidRPr="00614BA0" w:rsidRDefault="0056299E" w:rsidP="0056299E">
      <w:pPr>
        <w:rPr>
          <w:color w:val="C45911" w:themeColor="accent2" w:themeShade="BF"/>
        </w:rPr>
      </w:pPr>
      <w:r w:rsidRPr="00614BA0">
        <w:rPr>
          <w:color w:val="C45911" w:themeColor="accent2" w:themeShade="BF"/>
        </w:rPr>
        <w:t>El estudio de la confianza del consumidor como variable con capacidad predictiva sobre el gasto privado tiene una trayectoria consolidada en la literatura económica. El trabajo de Carroll et al. (1994) fue uno de los primeros en examinar sistemáticamente si las encuestas de confianza contienen información adicional sobre el consumo futuro más allá de la que ya está implícita en variables como la renta disponible o la riqueza de los hogares. Sus resultados mostraron que el ICC tiene poder predictivo sobre el gasto en consumo a corto plazo, aunque dicho poder se debilita cuando se controla por otras variables macroeconómicas. Esta conclusión sentó las bases de un debate que continúa en la literatura: ¿mide el ICC expectativas racionales sobre fundamentos económicos, o captura fundamentalmente un componente de estado de ánimo colectivo difícil de modelizar?</w:t>
      </w:r>
    </w:p>
    <w:p w14:paraId="04D7D7FF" w14:textId="77777777" w:rsidR="0056299E" w:rsidRPr="00614BA0" w:rsidRDefault="0056299E" w:rsidP="0056299E">
      <w:pPr>
        <w:rPr>
          <w:color w:val="C45911" w:themeColor="accent2" w:themeShade="BF"/>
        </w:rPr>
      </w:pPr>
      <w:r w:rsidRPr="00614BA0">
        <w:rPr>
          <w:color w:val="C45911" w:themeColor="accent2" w:themeShade="BF"/>
        </w:rPr>
        <w:t xml:space="preserve">Ludvigson (2004) ofrece una revisión crítica de esta cuestión y concluye que, si bien el ICC contiene información útil para predecir el consumo en horizontes cortos, su poder predictivo no es estable a lo </w:t>
      </w:r>
      <w:r w:rsidRPr="00614BA0">
        <w:rPr>
          <w:color w:val="C45911" w:themeColor="accent2" w:themeShade="BF"/>
        </w:rPr>
        <w:lastRenderedPageBreak/>
        <w:t xml:space="preserve">largo del tiempo ni homogéneo entre países ni entre componentes del consumo. Esta inestabilidad se atribuye a que el indicador mezcla dos tipos de señales: por un lado, expectativas fundadas en información objetiva sobre la situación económica; por otro, componentes más volátiles vinculados al estado de ánimo colectivo —denominados en la tradición keynesiana </w:t>
      </w:r>
      <w:r w:rsidRPr="00614BA0">
        <w:rPr>
          <w:i/>
          <w:iCs/>
          <w:color w:val="C45911" w:themeColor="accent2" w:themeShade="BF"/>
        </w:rPr>
        <w:t xml:space="preserve">animal </w:t>
      </w:r>
      <w:proofErr w:type="spellStart"/>
      <w:r w:rsidRPr="00614BA0">
        <w:rPr>
          <w:i/>
          <w:iCs/>
          <w:color w:val="C45911" w:themeColor="accent2" w:themeShade="BF"/>
        </w:rPr>
        <w:t>spirits</w:t>
      </w:r>
      <w:proofErr w:type="spellEnd"/>
      <w:r w:rsidRPr="00614BA0">
        <w:rPr>
          <w:color w:val="C45911" w:themeColor="accent2" w:themeShade="BF"/>
        </w:rPr>
        <w:t>— que no responden necesariamente a cambios en los fundamentos. Esta distinción es relevante para el presente trabajo porque sugiere que una parte de la variabilidad del ICC podría estar correlacionada con el tono del discurso económico público, lo que respalda la hipótesis de que el análisis de sentimiento puede aportar capacidad predictiva adicional.</w:t>
      </w:r>
    </w:p>
    <w:p w14:paraId="67860363" w14:textId="77777777" w:rsidR="0056299E" w:rsidRPr="00614BA0" w:rsidRDefault="0056299E" w:rsidP="0056299E">
      <w:pPr>
        <w:rPr>
          <w:color w:val="C45911" w:themeColor="accent2" w:themeShade="BF"/>
        </w:rPr>
      </w:pPr>
      <w:r w:rsidRPr="00614BA0">
        <w:rPr>
          <w:color w:val="C45911" w:themeColor="accent2" w:themeShade="BF"/>
        </w:rPr>
        <w:t>Una limitación estructural de los modelos basados exclusivamente en el historial del ICC es precisamente su incapacidad para incorporar información exógena de forma ágil. En periodos de alta volatilidad —shocks energéticos, crisis financieras, episodios de incertidumbre política— el indicador registra cambios bruscos que los modelos autorregresivos no anticipan porque no tienen acceso a la información que los genera. Este argumento, presente de forma implícita en la literatura desde Carroll et al. (1994) y explicitado por Ludvigson (2004), constituye la motivación técnica central del presente trabajo: si el historial del ICC no es suficiente para predecir sus propios cambios abruptos, es necesario explorar si fuentes de información externas —como el sentimiento en publicaciones digitales— pueden cubrir parte de esa brecha.</w:t>
      </w:r>
    </w:p>
    <w:p w14:paraId="1B3CDE2F" w14:textId="77777777" w:rsidR="0056299E" w:rsidRPr="00614BA0" w:rsidRDefault="00000000" w:rsidP="0056299E">
      <w:pPr>
        <w:rPr>
          <w:color w:val="C45911" w:themeColor="accent2" w:themeShade="BF"/>
        </w:rPr>
      </w:pPr>
      <w:r>
        <w:rPr>
          <w:color w:val="C45911" w:themeColor="accent2" w:themeShade="BF"/>
        </w:rPr>
        <w:pict w14:anchorId="18465D23">
          <v:rect id="_x0000_i1029" style="width:0;height:1.5pt" o:hralign="center" o:hrstd="t" o:hr="t" fillcolor="#a0a0a0" stroked="f"/>
        </w:pict>
      </w:r>
    </w:p>
    <w:p w14:paraId="09247629" w14:textId="77777777" w:rsidR="0056299E" w:rsidRPr="00614BA0" w:rsidRDefault="0056299E" w:rsidP="0056299E">
      <w:pPr>
        <w:rPr>
          <w:b/>
          <w:bCs/>
          <w:color w:val="C45911" w:themeColor="accent2" w:themeShade="BF"/>
        </w:rPr>
      </w:pPr>
      <w:r w:rsidRPr="00614BA0">
        <w:rPr>
          <w:b/>
          <w:bCs/>
          <w:color w:val="C45911" w:themeColor="accent2" w:themeShade="BF"/>
        </w:rPr>
        <w:t>2.3.2. Análisis de sentimiento aplicado a economía y mercados</w:t>
      </w:r>
    </w:p>
    <w:p w14:paraId="56D5C880" w14:textId="77777777" w:rsidR="0056299E" w:rsidRPr="00614BA0" w:rsidRDefault="0056299E" w:rsidP="0056299E">
      <w:pPr>
        <w:rPr>
          <w:color w:val="C45911" w:themeColor="accent2" w:themeShade="BF"/>
        </w:rPr>
      </w:pPr>
      <w:r w:rsidRPr="00614BA0">
        <w:rPr>
          <w:color w:val="C45911" w:themeColor="accent2" w:themeShade="BF"/>
        </w:rPr>
        <w:t xml:space="preserve">El análisis de sentimiento en contextos económicos y financieros ha experimentado un desarrollo notable desde mediados de la década de 2000, impulsado por la disponibilidad de grandes volúmenes de texto digital y por los avances en técnicas de procesamiento de lenguaje natural. El trabajo de </w:t>
      </w:r>
      <w:proofErr w:type="spellStart"/>
      <w:r w:rsidRPr="00614BA0">
        <w:rPr>
          <w:color w:val="C45911" w:themeColor="accent2" w:themeShade="BF"/>
        </w:rPr>
        <w:t>Tetlock</w:t>
      </w:r>
      <w:proofErr w:type="spellEnd"/>
      <w:r w:rsidRPr="00614BA0">
        <w:rPr>
          <w:color w:val="C45911" w:themeColor="accent2" w:themeShade="BF"/>
        </w:rPr>
        <w:t xml:space="preserve"> (2007) marcó un punto de inflexión al demostrar empíricamente que el tono del lenguaje utilizado en la columna de opinión financiera del </w:t>
      </w:r>
      <w:r w:rsidRPr="00614BA0">
        <w:rPr>
          <w:i/>
          <w:iCs/>
          <w:color w:val="C45911" w:themeColor="accent2" w:themeShade="BF"/>
        </w:rPr>
        <w:t xml:space="preserve">Wall Street </w:t>
      </w:r>
      <w:proofErr w:type="spellStart"/>
      <w:r w:rsidRPr="00614BA0">
        <w:rPr>
          <w:i/>
          <w:iCs/>
          <w:color w:val="C45911" w:themeColor="accent2" w:themeShade="BF"/>
        </w:rPr>
        <w:t>Journal</w:t>
      </w:r>
      <w:proofErr w:type="spellEnd"/>
      <w:r w:rsidRPr="00614BA0">
        <w:rPr>
          <w:color w:val="C45911" w:themeColor="accent2" w:themeShade="BF"/>
        </w:rPr>
        <w:t xml:space="preserve"> tenía capacidad predictiva sobre los retornos del mercado bursátil y sobre la actividad negociadora. La aportación metodológica de este trabajo fue doble: por un lado, mostró que la información contenida en el texto no estaba ya descontada por el mercado; por otro, estableció un marco de cuantificación del lenguaje mediante análisis de frecuencias léxicas que sirvió de referencia para investigaciones posteriores.</w:t>
      </w:r>
    </w:p>
    <w:p w14:paraId="6279CCE3" w14:textId="77777777" w:rsidR="0056299E" w:rsidRPr="00614BA0" w:rsidRDefault="0056299E" w:rsidP="0056299E">
      <w:pPr>
        <w:rPr>
          <w:color w:val="C45911" w:themeColor="accent2" w:themeShade="BF"/>
        </w:rPr>
      </w:pPr>
      <w:r w:rsidRPr="00614BA0">
        <w:rPr>
          <w:color w:val="C45911" w:themeColor="accent2" w:themeShade="BF"/>
        </w:rPr>
        <w:t xml:space="preserve">En esta línea, Loughran y McDonald (2011) pusieron de manifiesto una limitación crítica de los enfoques léxicos genéricos: los diccionarios de uso general clasifican erróneamente una proporción significativa de términos cuando se aplican a documentos económicos y financieros. Por ejemplo, palabras como </w:t>
      </w:r>
      <w:proofErr w:type="spellStart"/>
      <w:r w:rsidRPr="00614BA0">
        <w:rPr>
          <w:i/>
          <w:iCs/>
          <w:color w:val="C45911" w:themeColor="accent2" w:themeShade="BF"/>
        </w:rPr>
        <w:t>tax</w:t>
      </w:r>
      <w:proofErr w:type="spellEnd"/>
      <w:r w:rsidRPr="00614BA0">
        <w:rPr>
          <w:color w:val="C45911" w:themeColor="accent2" w:themeShade="BF"/>
        </w:rPr>
        <w:t xml:space="preserve">, </w:t>
      </w:r>
      <w:proofErr w:type="spellStart"/>
      <w:r w:rsidRPr="00614BA0">
        <w:rPr>
          <w:i/>
          <w:iCs/>
          <w:color w:val="C45911" w:themeColor="accent2" w:themeShade="BF"/>
        </w:rPr>
        <w:t>liability</w:t>
      </w:r>
      <w:proofErr w:type="spellEnd"/>
      <w:r w:rsidRPr="00614BA0">
        <w:rPr>
          <w:color w:val="C45911" w:themeColor="accent2" w:themeShade="BF"/>
        </w:rPr>
        <w:t xml:space="preserve"> o </w:t>
      </w:r>
      <w:r w:rsidRPr="00614BA0">
        <w:rPr>
          <w:i/>
          <w:iCs/>
          <w:color w:val="C45911" w:themeColor="accent2" w:themeShade="BF"/>
        </w:rPr>
        <w:t>capital</w:t>
      </w:r>
      <w:r w:rsidRPr="00614BA0">
        <w:rPr>
          <w:color w:val="C45911" w:themeColor="accent2" w:themeShade="BF"/>
        </w:rPr>
        <w:t xml:space="preserve"> tienen connotaciones neutras o positivas en el lenguaje financiero, pero son clasificadas como negativas por diccionarios generales como el Harvard General </w:t>
      </w:r>
      <w:proofErr w:type="spellStart"/>
      <w:r w:rsidRPr="00614BA0">
        <w:rPr>
          <w:color w:val="C45911" w:themeColor="accent2" w:themeShade="BF"/>
        </w:rPr>
        <w:t>Inquirer</w:t>
      </w:r>
      <w:proofErr w:type="spellEnd"/>
      <w:r w:rsidRPr="00614BA0">
        <w:rPr>
          <w:color w:val="C45911" w:themeColor="accent2" w:themeShade="BF"/>
        </w:rPr>
        <w:t>. Su propuesta de un diccionario adaptado al dominio financiero mejoró sustancialmente la precisión del análisis de sentimiento en textos económicos en inglés. Esta contribución es directamente relevante para el presente trabajo porque advierte de un riesgo metodológico concreto: la aplicación de herramientas de análisis de sentimiento de propósito general a textos especializados puede introducir ruido sistemático en las variables generadas.</w:t>
      </w:r>
    </w:p>
    <w:p w14:paraId="75B5FA00" w14:textId="77777777" w:rsidR="0056299E" w:rsidRPr="00DA27C1" w:rsidRDefault="0056299E" w:rsidP="0056299E">
      <w:pPr>
        <w:rPr>
          <w:color w:val="C45911" w:themeColor="accent2" w:themeShade="BF"/>
        </w:rPr>
      </w:pPr>
      <w:r w:rsidRPr="00614BA0">
        <w:rPr>
          <w:color w:val="C45911" w:themeColor="accent2" w:themeShade="BF"/>
        </w:rPr>
        <w:t xml:space="preserve">En el ámbito de las redes sociales, Bollen et al. (2011) exploraron el uso de Twitter como fuente de señales de estado de ánimo colectivo, encontrando que determinadas dimensiones del sentimiento expresado en la red social precedían a los movimientos del índice Dow Jones con un retardo de entre dos y seis días. Este trabajo amplió el campo al mostrar que las fuentes de texto no estructurado generadas por usuarios —y no solo los medios especializados— podían contener información económicamente relevante. Sin embargo, ha sido también objeto de críticas metodológicas, entre ellas </w:t>
      </w:r>
      <w:r w:rsidRPr="00614BA0">
        <w:rPr>
          <w:color w:val="C45911" w:themeColor="accent2" w:themeShade="BF"/>
        </w:rPr>
        <w:lastRenderedPageBreak/>
        <w:t xml:space="preserve">la dificultad de replicación y la posible sobrestimación del efecto, lo que ilustra la necesidad de </w:t>
      </w:r>
      <w:r w:rsidRPr="00DA27C1">
        <w:rPr>
          <w:color w:val="C45911" w:themeColor="accent2" w:themeShade="BF"/>
        </w:rPr>
        <w:t>interpretar los resultados de este tipo de estudios con cautela.</w:t>
      </w:r>
    </w:p>
    <w:p w14:paraId="6144D486" w14:textId="77777777" w:rsidR="0056299E" w:rsidRPr="00DA27C1" w:rsidRDefault="0056299E" w:rsidP="0056299E">
      <w:pPr>
        <w:rPr>
          <w:color w:val="C45911" w:themeColor="accent2" w:themeShade="BF"/>
        </w:rPr>
      </w:pPr>
      <w:r w:rsidRPr="00DA27C1">
        <w:rPr>
          <w:color w:val="C45911" w:themeColor="accent2" w:themeShade="BF"/>
        </w:rPr>
        <w:t xml:space="preserve">Los avances más recientes en análisis de sentimiento han estado protagonizados por modelos de lenguaje </w:t>
      </w:r>
      <w:proofErr w:type="spellStart"/>
      <w:r w:rsidRPr="00DA27C1">
        <w:rPr>
          <w:color w:val="C45911" w:themeColor="accent2" w:themeShade="BF"/>
        </w:rPr>
        <w:t>preentrenados</w:t>
      </w:r>
      <w:proofErr w:type="spellEnd"/>
      <w:r w:rsidRPr="00DA27C1">
        <w:rPr>
          <w:color w:val="C45911" w:themeColor="accent2" w:themeShade="BF"/>
        </w:rPr>
        <w:t xml:space="preserve"> basados en arquitecturas </w:t>
      </w:r>
      <w:proofErr w:type="spellStart"/>
      <w:r w:rsidRPr="00DA27C1">
        <w:rPr>
          <w:i/>
          <w:iCs/>
          <w:color w:val="C45911" w:themeColor="accent2" w:themeShade="BF"/>
        </w:rPr>
        <w:t>transformer</w:t>
      </w:r>
      <w:proofErr w:type="spellEnd"/>
      <w:r w:rsidRPr="00DA27C1">
        <w:rPr>
          <w:color w:val="C45911" w:themeColor="accent2" w:themeShade="BF"/>
        </w:rPr>
        <w:t xml:space="preserve">, entre los que destaca BERT y sus variantes especializadas. Araci (2019) propuso </w:t>
      </w:r>
      <w:proofErr w:type="spellStart"/>
      <w:r w:rsidRPr="00DA27C1">
        <w:rPr>
          <w:color w:val="C45911" w:themeColor="accent2" w:themeShade="BF"/>
        </w:rPr>
        <w:t>FinBERT</w:t>
      </w:r>
      <w:proofErr w:type="spellEnd"/>
      <w:r w:rsidRPr="00DA27C1">
        <w:rPr>
          <w:color w:val="C45911" w:themeColor="accent2" w:themeShade="BF"/>
        </w:rPr>
        <w:t xml:space="preserve">, un modelo </w:t>
      </w:r>
      <w:proofErr w:type="spellStart"/>
      <w:r w:rsidRPr="00DA27C1">
        <w:rPr>
          <w:color w:val="C45911" w:themeColor="accent2" w:themeShade="BF"/>
        </w:rPr>
        <w:t>preentrenado</w:t>
      </w:r>
      <w:proofErr w:type="spellEnd"/>
      <w:r w:rsidRPr="00DA27C1">
        <w:rPr>
          <w:color w:val="C45911" w:themeColor="accent2" w:themeShade="BF"/>
        </w:rPr>
        <w:t xml:space="preserve"> sobre corpus financieros en inglés, que supera a los enfoques léxicos tradicionales en tareas de clasificación de sentimiento sobre textos del dominio financiero. Estos modelos ofrecen una representación semántica más rica que los enfoques basados en diccionarios, al capturar el contexto en que aparecen los términos y no solo su frecuencia. No obstante, su aplicación presenta dos limitaciones relevantes para este proyecto: exigen recursos computacionales considerablemente mayores y, en su versión estándar, están entrenados sobre corpus en inglés, lo que reduce su transferibilidad directa a textos en español.</w:t>
      </w:r>
    </w:p>
    <w:p w14:paraId="289A02B4" w14:textId="77777777" w:rsidR="0056299E" w:rsidRPr="00DA27C1" w:rsidRDefault="0056299E" w:rsidP="0056299E">
      <w:pPr>
        <w:rPr>
          <w:color w:val="C45911" w:themeColor="accent2" w:themeShade="BF"/>
        </w:rPr>
      </w:pPr>
      <w:r w:rsidRPr="00DA27C1">
        <w:rPr>
          <w:color w:val="C45911" w:themeColor="accent2" w:themeShade="BF"/>
        </w:rPr>
        <w:t xml:space="preserve">En el presente trabajo se opta por </w:t>
      </w:r>
      <w:proofErr w:type="spellStart"/>
      <w:r w:rsidRPr="00DA27C1">
        <w:rPr>
          <w:color w:val="C45911" w:themeColor="accent2" w:themeShade="BF"/>
        </w:rPr>
        <w:t>TextBlob</w:t>
      </w:r>
      <w:proofErr w:type="spellEnd"/>
      <w:r w:rsidRPr="00DA27C1">
        <w:rPr>
          <w:color w:val="C45911" w:themeColor="accent2" w:themeShade="BF"/>
        </w:rPr>
        <w:t xml:space="preserve"> como herramienta de análisis de sentimiento, por razones de viabilidad técnica y reproducibilidad. Esta elección implica asumir limitaciones metodológicas reconocidas: </w:t>
      </w:r>
      <w:proofErr w:type="spellStart"/>
      <w:r w:rsidRPr="00DA27C1">
        <w:rPr>
          <w:color w:val="C45911" w:themeColor="accent2" w:themeShade="BF"/>
        </w:rPr>
        <w:t>TextBlob</w:t>
      </w:r>
      <w:proofErr w:type="spellEnd"/>
      <w:r w:rsidRPr="00DA27C1">
        <w:rPr>
          <w:color w:val="C45911" w:themeColor="accent2" w:themeShade="BF"/>
        </w:rPr>
        <w:t xml:space="preserve"> aplica un modelo léxico entrenado sobre corpus en inglés, y su comportamiento sobre textos en español es subóptimo en comparación con herramientas nativas o modelos específicamente adaptados al castellano. Las puntuaciones de polaridad resultantes deben interpretarse, por tanto, como aproximaciones ruidosas al sentimiento real de los textos analizados, y no como medidas precisas del tono económico. Esta limitación se discute con mayor detalle en la sección 3.4.5 y condiciona el alcance de las conclusiones del trabajo.</w:t>
      </w:r>
    </w:p>
    <w:p w14:paraId="37668E0E" w14:textId="77777777" w:rsidR="0056299E" w:rsidRPr="00DA27C1" w:rsidRDefault="00000000" w:rsidP="0056299E">
      <w:pPr>
        <w:rPr>
          <w:color w:val="C45911" w:themeColor="accent2" w:themeShade="BF"/>
        </w:rPr>
      </w:pPr>
      <w:r>
        <w:rPr>
          <w:color w:val="C45911" w:themeColor="accent2" w:themeShade="BF"/>
        </w:rPr>
        <w:pict w14:anchorId="5E6FC53B">
          <v:rect id="_x0000_i1030" style="width:0;height:1.5pt" o:hralign="center" o:hrstd="t" o:hr="t" fillcolor="#a0a0a0" stroked="f"/>
        </w:pict>
      </w:r>
    </w:p>
    <w:p w14:paraId="746480AE" w14:textId="77777777" w:rsidR="0056299E" w:rsidRPr="00DA27C1" w:rsidRDefault="0056299E" w:rsidP="0056299E">
      <w:pPr>
        <w:rPr>
          <w:b/>
          <w:bCs/>
          <w:color w:val="C45911" w:themeColor="accent2" w:themeShade="BF"/>
        </w:rPr>
      </w:pPr>
      <w:r w:rsidRPr="00DA27C1">
        <w:rPr>
          <w:b/>
          <w:bCs/>
          <w:color w:val="C45911" w:themeColor="accent2" w:themeShade="BF"/>
        </w:rPr>
        <w:t>2.3.3. Modelos predictivos en series temporales económicas</w:t>
      </w:r>
    </w:p>
    <w:p w14:paraId="4EA98BFF" w14:textId="77777777" w:rsidR="0056299E" w:rsidRPr="00DA27C1" w:rsidRDefault="0056299E" w:rsidP="0056299E">
      <w:pPr>
        <w:rPr>
          <w:color w:val="C45911" w:themeColor="accent2" w:themeShade="BF"/>
        </w:rPr>
      </w:pPr>
      <w:r w:rsidRPr="00DA27C1">
        <w:rPr>
          <w:color w:val="C45911" w:themeColor="accent2" w:themeShade="BF"/>
        </w:rPr>
        <w:t>La predicción de series temporales económicas ha sido históricamente abordada desde dos grandes paradigmas: los modelos estadísticos clásicos y los métodos de aprendizaje automático. Entre los primeros, los modelos ARIMA y sus extensiones —SARIMA para series con estacionalidad, ARIMAX para la incorporación de variables exógenas— han constituido durante décadas el estándar de referencia en la predicción de indicadores macroeconómicos de frecuencia mensual o trimestral (Box et al., 2015). Su fortaleza reside en la parsimonia, en la interpretabilidad de los parámetros estimados y en su comportamiento robusto con conjuntos de datos moderados. Su principal limitación es la asunción de linealidad en las relaciones entre variables, lo que puede resultar restrictivo cuando se trabaja con indicadores de expectativas cuya dinámica presenta componentes no lineales.</w:t>
      </w:r>
    </w:p>
    <w:p w14:paraId="596C87FB" w14:textId="77777777" w:rsidR="0056299E" w:rsidRPr="00DA27C1" w:rsidRDefault="0056299E" w:rsidP="0056299E">
      <w:pPr>
        <w:rPr>
          <w:color w:val="C45911" w:themeColor="accent2" w:themeShade="BF"/>
        </w:rPr>
      </w:pPr>
      <w:r w:rsidRPr="00DA27C1">
        <w:rPr>
          <w:color w:val="C45911" w:themeColor="accent2" w:themeShade="BF"/>
        </w:rPr>
        <w:t xml:space="preserve">La irrupción de los métodos de aprendizaje automático en la predicción económica ha generado un debate activo sobre su utilidad real frente a los enfoques clásicos. </w:t>
      </w:r>
      <w:proofErr w:type="spellStart"/>
      <w:r w:rsidRPr="00DA27C1">
        <w:rPr>
          <w:color w:val="C45911" w:themeColor="accent2" w:themeShade="BF"/>
        </w:rPr>
        <w:t>Varian</w:t>
      </w:r>
      <w:proofErr w:type="spellEnd"/>
      <w:r w:rsidRPr="00DA27C1">
        <w:rPr>
          <w:color w:val="C45911" w:themeColor="accent2" w:themeShade="BF"/>
        </w:rPr>
        <w:t xml:space="preserve"> (2014) ofreció una de las primeras aproximaciones sistemáticas a este debate desde la perspectiva econométrica, argumentando que las técnicas de machine </w:t>
      </w:r>
      <w:proofErr w:type="spellStart"/>
      <w:r w:rsidRPr="00DA27C1">
        <w:rPr>
          <w:color w:val="C45911" w:themeColor="accent2" w:themeShade="BF"/>
        </w:rPr>
        <w:t>learning</w:t>
      </w:r>
      <w:proofErr w:type="spellEnd"/>
      <w:r w:rsidRPr="00DA27C1">
        <w:rPr>
          <w:color w:val="C45911" w:themeColor="accent2" w:themeShade="BF"/>
        </w:rPr>
        <w:t xml:space="preserve"> —entre ellas los métodos de ensamble— aportan valor en escenarios con muchos predictores potenciales y relaciones complejas entre variables, pero que su ventaja se reduce o desaparece en problemas con pocos datos y estructuras relativamente simples. Esta advertencia es pertinente para el presente trabajo, donde el número de observaciones mensuales es necesariamente limitado, lo que restringe a priori las ventajas esperables del aprendizaje automático frente a modelos de referencia más simples.</w:t>
      </w:r>
    </w:p>
    <w:p w14:paraId="33A999ED" w14:textId="77777777" w:rsidR="0056299E" w:rsidRPr="00DA27C1" w:rsidRDefault="0056299E" w:rsidP="0056299E">
      <w:pPr>
        <w:rPr>
          <w:color w:val="C45911" w:themeColor="accent2" w:themeShade="BF"/>
        </w:rPr>
      </w:pPr>
      <w:r w:rsidRPr="00DA27C1">
        <w:rPr>
          <w:color w:val="C45911" w:themeColor="accent2" w:themeShade="BF"/>
        </w:rPr>
        <w:t xml:space="preserve">Entre los modelos de ensamble, Random Forest y </w:t>
      </w:r>
      <w:proofErr w:type="spellStart"/>
      <w:r w:rsidRPr="00DA27C1">
        <w:rPr>
          <w:color w:val="C45911" w:themeColor="accent2" w:themeShade="BF"/>
        </w:rPr>
        <w:t>XGBoost</w:t>
      </w:r>
      <w:proofErr w:type="spellEnd"/>
      <w:r w:rsidRPr="00DA27C1">
        <w:rPr>
          <w:color w:val="C45911" w:themeColor="accent2" w:themeShade="BF"/>
        </w:rPr>
        <w:t xml:space="preserve"> han mostrado un rendimiento competitivo y consistente en tareas de regresión sobre datos económicos y financieros. Random Forest, introducido por Breiman (2001), combina múltiples árboles de decisión entrenados sobre submuestras aleatorias de los datos, reduciendo la varianza de la predicción mediante la agregación. </w:t>
      </w:r>
      <w:proofErr w:type="spellStart"/>
      <w:r w:rsidRPr="00DA27C1">
        <w:rPr>
          <w:color w:val="C45911" w:themeColor="accent2" w:themeShade="BF"/>
        </w:rPr>
        <w:t>XGBoost</w:t>
      </w:r>
      <w:proofErr w:type="spellEnd"/>
      <w:r w:rsidRPr="00DA27C1">
        <w:rPr>
          <w:color w:val="C45911" w:themeColor="accent2" w:themeShade="BF"/>
        </w:rPr>
        <w:t xml:space="preserve">, desarrollado por Chen y </w:t>
      </w:r>
      <w:proofErr w:type="spellStart"/>
      <w:r w:rsidRPr="00DA27C1">
        <w:rPr>
          <w:color w:val="C45911" w:themeColor="accent2" w:themeShade="BF"/>
        </w:rPr>
        <w:t>Guestrin</w:t>
      </w:r>
      <w:proofErr w:type="spellEnd"/>
      <w:r w:rsidRPr="00DA27C1">
        <w:rPr>
          <w:color w:val="C45911" w:themeColor="accent2" w:themeShade="BF"/>
        </w:rPr>
        <w:t xml:space="preserve"> (2016), implementa un esquema de </w:t>
      </w:r>
      <w:proofErr w:type="spellStart"/>
      <w:r w:rsidRPr="00DA27C1">
        <w:rPr>
          <w:i/>
          <w:iCs/>
          <w:color w:val="C45911" w:themeColor="accent2" w:themeShade="BF"/>
        </w:rPr>
        <w:t>gradient</w:t>
      </w:r>
      <w:proofErr w:type="spellEnd"/>
      <w:r w:rsidRPr="00DA27C1">
        <w:rPr>
          <w:i/>
          <w:iCs/>
          <w:color w:val="C45911" w:themeColor="accent2" w:themeShade="BF"/>
        </w:rPr>
        <w:t xml:space="preserve"> </w:t>
      </w:r>
      <w:proofErr w:type="spellStart"/>
      <w:r w:rsidRPr="00DA27C1">
        <w:rPr>
          <w:i/>
          <w:iCs/>
          <w:color w:val="C45911" w:themeColor="accent2" w:themeShade="BF"/>
        </w:rPr>
        <w:t>boosting</w:t>
      </w:r>
      <w:proofErr w:type="spellEnd"/>
      <w:r w:rsidRPr="00DA27C1">
        <w:rPr>
          <w:color w:val="C45911" w:themeColor="accent2" w:themeShade="BF"/>
        </w:rPr>
        <w:t xml:space="preserve"> optimizado que ha demostrado </w:t>
      </w:r>
      <w:r w:rsidRPr="00DA27C1">
        <w:rPr>
          <w:color w:val="C45911" w:themeColor="accent2" w:themeShade="BF"/>
        </w:rPr>
        <w:lastRenderedPageBreak/>
        <w:t>un rendimiento superior en numerosas competiciones de predicción con datos tabulares. Ambos modelos ofrecen, además, métricas de importancia de variables que permiten identificar qué predictores contribuyen más a la predicción, lo que resulta especialmente relevante en este trabajo para evaluar el peso relativo de las variables de sentimiento frente a los retardos históricos del ICC.</w:t>
      </w:r>
    </w:p>
    <w:p w14:paraId="0C82E89A" w14:textId="77777777" w:rsidR="0056299E" w:rsidRPr="00DA27C1" w:rsidRDefault="0056299E" w:rsidP="0056299E">
      <w:pPr>
        <w:rPr>
          <w:color w:val="C45911" w:themeColor="accent2" w:themeShade="BF"/>
        </w:rPr>
      </w:pPr>
      <w:r w:rsidRPr="00DA27C1">
        <w:rPr>
          <w:color w:val="C45911" w:themeColor="accent2" w:themeShade="BF"/>
        </w:rPr>
        <w:t xml:space="preserve">El modelo de referencia utilizado en este proyecto es una regresión lineal con retardos del ICC como únicos predictores, lo que equivale funcionalmente a un modelo autorregresivo estimado por mínimos cuadrados. Este enfoque, denominado en la literatura de predicción </w:t>
      </w:r>
      <w:proofErr w:type="spellStart"/>
      <w:r w:rsidRPr="00DA27C1">
        <w:rPr>
          <w:i/>
          <w:iCs/>
          <w:color w:val="C45911" w:themeColor="accent2" w:themeShade="BF"/>
        </w:rPr>
        <w:t>naive</w:t>
      </w:r>
      <w:proofErr w:type="spellEnd"/>
      <w:r w:rsidRPr="00DA27C1">
        <w:rPr>
          <w:i/>
          <w:iCs/>
          <w:color w:val="C45911" w:themeColor="accent2" w:themeShade="BF"/>
        </w:rPr>
        <w:t xml:space="preserve"> </w:t>
      </w:r>
      <w:proofErr w:type="spellStart"/>
      <w:r w:rsidRPr="00DA27C1">
        <w:rPr>
          <w:i/>
          <w:iCs/>
          <w:color w:val="C45911" w:themeColor="accent2" w:themeShade="BF"/>
        </w:rPr>
        <w:t>baseline</w:t>
      </w:r>
      <w:proofErr w:type="spellEnd"/>
      <w:r w:rsidRPr="00DA27C1">
        <w:rPr>
          <w:color w:val="C45911" w:themeColor="accent2" w:themeShade="BF"/>
        </w:rPr>
        <w:t xml:space="preserve"> o modelo de referencia autorregresivo, es el punto de comparación estándar para evaluar si modelos más complejos aportan mejoras reales en la capacidad predictiva (Hyndman &amp; Athanasopoulos, 2021). La lógica comparativa del proyecto es, por tanto, incremental: si Random Forest </w:t>
      </w:r>
      <w:proofErr w:type="spellStart"/>
      <w:r w:rsidRPr="00DA27C1">
        <w:rPr>
          <w:color w:val="C45911" w:themeColor="accent2" w:themeShade="BF"/>
        </w:rPr>
        <w:t>Regressor</w:t>
      </w:r>
      <w:proofErr w:type="spellEnd"/>
      <w:r w:rsidRPr="00DA27C1">
        <w:rPr>
          <w:color w:val="C45911" w:themeColor="accent2" w:themeShade="BF"/>
        </w:rPr>
        <w:t xml:space="preserve"> y </w:t>
      </w:r>
      <w:proofErr w:type="spellStart"/>
      <w:r w:rsidRPr="00DA27C1">
        <w:rPr>
          <w:color w:val="C45911" w:themeColor="accent2" w:themeShade="BF"/>
        </w:rPr>
        <w:t>XGBoost</w:t>
      </w:r>
      <w:proofErr w:type="spellEnd"/>
      <w:r w:rsidRPr="00DA27C1">
        <w:rPr>
          <w:color w:val="C45911" w:themeColor="accent2" w:themeShade="BF"/>
        </w:rPr>
        <w:t>, incorporando variables de sentimiento, no mejoran al modelo base en las métricas seleccionadas, ello constituye en sí mismo un resultado con valor informativo sobre la utilidad del sentimiento como predictor del ICC.</w:t>
      </w:r>
    </w:p>
    <w:p w14:paraId="152204B6" w14:textId="77777777" w:rsidR="0056299E" w:rsidRPr="00DA27C1" w:rsidRDefault="00000000" w:rsidP="0056299E">
      <w:pPr>
        <w:rPr>
          <w:color w:val="C45911" w:themeColor="accent2" w:themeShade="BF"/>
        </w:rPr>
      </w:pPr>
      <w:r>
        <w:rPr>
          <w:color w:val="C45911" w:themeColor="accent2" w:themeShade="BF"/>
        </w:rPr>
        <w:pict w14:anchorId="00EE4726">
          <v:rect id="_x0000_i1031" style="width:0;height:1.5pt" o:hralign="center" o:hrstd="t" o:hr="t" fillcolor="#a0a0a0" stroked="f"/>
        </w:pict>
      </w:r>
    </w:p>
    <w:p w14:paraId="551B6666" w14:textId="77777777" w:rsidR="0056299E" w:rsidRPr="00DA27C1" w:rsidRDefault="0056299E" w:rsidP="0056299E">
      <w:pPr>
        <w:rPr>
          <w:b/>
          <w:bCs/>
          <w:color w:val="C45911" w:themeColor="accent2" w:themeShade="BF"/>
        </w:rPr>
      </w:pPr>
      <w:r w:rsidRPr="00DA27C1">
        <w:rPr>
          <w:b/>
          <w:bCs/>
          <w:color w:val="C45911" w:themeColor="accent2" w:themeShade="BF"/>
        </w:rPr>
        <w:t>2.3.4. Uso de publicaciones digitales y NLP en predicción económica</w:t>
      </w:r>
    </w:p>
    <w:p w14:paraId="17343E4F" w14:textId="77777777" w:rsidR="0056299E" w:rsidRPr="00DA27C1" w:rsidRDefault="0056299E" w:rsidP="0056299E">
      <w:pPr>
        <w:rPr>
          <w:color w:val="C45911" w:themeColor="accent2" w:themeShade="BF"/>
        </w:rPr>
      </w:pPr>
      <w:r w:rsidRPr="00DA27C1">
        <w:rPr>
          <w:color w:val="C45911" w:themeColor="accent2" w:themeShade="BF"/>
        </w:rPr>
        <w:t xml:space="preserve">La aplicación de técnicas de NLP a fuentes textuales digitales con fines de predicción macroeconómica constituye una línea de investigación en expansión, frecuentemente denominada </w:t>
      </w:r>
      <w:proofErr w:type="spellStart"/>
      <w:r w:rsidRPr="00DA27C1">
        <w:rPr>
          <w:i/>
          <w:iCs/>
          <w:color w:val="C45911" w:themeColor="accent2" w:themeShade="BF"/>
        </w:rPr>
        <w:t>text-based</w:t>
      </w:r>
      <w:proofErr w:type="spellEnd"/>
      <w:r w:rsidRPr="00DA27C1">
        <w:rPr>
          <w:i/>
          <w:iCs/>
          <w:color w:val="C45911" w:themeColor="accent2" w:themeShade="BF"/>
        </w:rPr>
        <w:t xml:space="preserve"> </w:t>
      </w:r>
      <w:proofErr w:type="spellStart"/>
      <w:r w:rsidRPr="00DA27C1">
        <w:rPr>
          <w:i/>
          <w:iCs/>
          <w:color w:val="C45911" w:themeColor="accent2" w:themeShade="BF"/>
        </w:rPr>
        <w:t>forecasting</w:t>
      </w:r>
      <w:proofErr w:type="spellEnd"/>
      <w:r w:rsidRPr="00DA27C1">
        <w:rPr>
          <w:color w:val="C45911" w:themeColor="accent2" w:themeShade="BF"/>
        </w:rPr>
        <w:t xml:space="preserve"> o </w:t>
      </w:r>
      <w:proofErr w:type="spellStart"/>
      <w:r w:rsidRPr="00DA27C1">
        <w:rPr>
          <w:i/>
          <w:iCs/>
          <w:color w:val="C45911" w:themeColor="accent2" w:themeShade="BF"/>
        </w:rPr>
        <w:t>nowcasting</w:t>
      </w:r>
      <w:proofErr w:type="spellEnd"/>
      <w:r w:rsidRPr="00DA27C1">
        <w:rPr>
          <w:color w:val="C45911" w:themeColor="accent2" w:themeShade="BF"/>
        </w:rPr>
        <w:t xml:space="preserve"> textual. A diferencia de los enfoques centrados en los mercados financieros, este campo busca extraer señales predictivas sobre variables de la economía real —producción industrial, desempleo, consumo o confianza— a partir de noticias económicas, comunicados institucionales o contenido generado en plataformas digitales.</w:t>
      </w:r>
    </w:p>
    <w:p w14:paraId="4A471BB7" w14:textId="77777777" w:rsidR="0056299E" w:rsidRPr="00DA27C1" w:rsidRDefault="0056299E" w:rsidP="0056299E">
      <w:pPr>
        <w:rPr>
          <w:color w:val="C45911" w:themeColor="accent2" w:themeShade="BF"/>
        </w:rPr>
      </w:pPr>
      <w:proofErr w:type="spellStart"/>
      <w:r w:rsidRPr="00DA27C1">
        <w:rPr>
          <w:color w:val="C45911" w:themeColor="accent2" w:themeShade="BF"/>
        </w:rPr>
        <w:t>Kalamara</w:t>
      </w:r>
      <w:proofErr w:type="spellEnd"/>
      <w:r w:rsidRPr="00DA27C1">
        <w:rPr>
          <w:color w:val="C45911" w:themeColor="accent2" w:themeShade="BF"/>
        </w:rPr>
        <w:t xml:space="preserve"> et al. (2022) analizaron el uso de noticias de prensa para el </w:t>
      </w:r>
      <w:proofErr w:type="spellStart"/>
      <w:r w:rsidRPr="00DA27C1">
        <w:rPr>
          <w:i/>
          <w:iCs/>
          <w:color w:val="C45911" w:themeColor="accent2" w:themeShade="BF"/>
        </w:rPr>
        <w:t>nowcasting</w:t>
      </w:r>
      <w:proofErr w:type="spellEnd"/>
      <w:r w:rsidRPr="00DA27C1">
        <w:rPr>
          <w:color w:val="C45911" w:themeColor="accent2" w:themeShade="BF"/>
        </w:rPr>
        <w:t xml:space="preserve"> del PIB del Reino Unido, encontrando que la incorporación de variables textuales mejoraba la precisión de los modelos de predicción en tiempo real, especialmente en periodos de turbulencia económica. Su trabajo ilustra tanto el potencial como las limitaciones del enfoque: los resultados son sensibles a la selección de fuentes, al método de cuantificación del sentimiento y a la alineación temporal entre el texto y la variable objetivo. En particular, la elección del retardo entre la fecha de publicación del texto y el periodo de referencia de la variable económica constituye una decisión metodológica con impacto directo en los resultados, aspecto que el presente trabajo aborda en la fase de construcción de variables.</w:t>
      </w:r>
    </w:p>
    <w:p w14:paraId="24FF0C1B" w14:textId="77777777" w:rsidR="0056299E" w:rsidRPr="00DA27C1" w:rsidRDefault="0056299E" w:rsidP="0056299E">
      <w:pPr>
        <w:rPr>
          <w:color w:val="C45911" w:themeColor="accent2" w:themeShade="BF"/>
        </w:rPr>
      </w:pPr>
      <w:r w:rsidRPr="00DA27C1">
        <w:rPr>
          <w:color w:val="C45911" w:themeColor="accent2" w:themeShade="BF"/>
        </w:rPr>
        <w:t xml:space="preserve">Larsen y Thorsrud (2019) desarrollaron un índice de sentimiento basado en el análisis de noticias económicas noruegas y lo utilizaron para predecir indicadores de actividad económica, obteniendo mejoras significativas frente a modelos de referencia. Su metodología combina modelos de tópicos —concretamente </w:t>
      </w:r>
      <w:proofErr w:type="spellStart"/>
      <w:r w:rsidRPr="00DA27C1">
        <w:rPr>
          <w:i/>
          <w:iCs/>
          <w:color w:val="C45911" w:themeColor="accent2" w:themeShade="BF"/>
        </w:rPr>
        <w:t>Latent</w:t>
      </w:r>
      <w:proofErr w:type="spellEnd"/>
      <w:r w:rsidRPr="00DA27C1">
        <w:rPr>
          <w:i/>
          <w:iCs/>
          <w:color w:val="C45911" w:themeColor="accent2" w:themeShade="BF"/>
        </w:rPr>
        <w:t xml:space="preserve"> Dirichlet </w:t>
      </w:r>
      <w:proofErr w:type="spellStart"/>
      <w:r w:rsidRPr="00DA27C1">
        <w:rPr>
          <w:i/>
          <w:iCs/>
          <w:color w:val="C45911" w:themeColor="accent2" w:themeShade="BF"/>
        </w:rPr>
        <w:t>Allocation</w:t>
      </w:r>
      <w:proofErr w:type="spellEnd"/>
      <w:r w:rsidRPr="00DA27C1">
        <w:rPr>
          <w:color w:val="C45911" w:themeColor="accent2" w:themeShade="BF"/>
        </w:rPr>
        <w:t xml:space="preserve"> (LDA)— con análisis de sentimiento, lo que permite capturar no solo el tono general de los textos sino también los temas específicos sobre los que dicho tono se expresa. Aunque este enfoque es metodológicamente más sofisticado que el empleado en el presente trabajo, el resultado central de su investigación —que las fuentes textuales institucionales contienen información predictiva sobre variables de confianza económica— respalda directamente la hipótesis de partida de este proyecto.</w:t>
      </w:r>
    </w:p>
    <w:p w14:paraId="67802C5E" w14:textId="77777777" w:rsidR="0056299E" w:rsidRPr="00DA27C1" w:rsidRDefault="0056299E" w:rsidP="0056299E">
      <w:pPr>
        <w:rPr>
          <w:color w:val="C45911" w:themeColor="accent2" w:themeShade="BF"/>
        </w:rPr>
      </w:pPr>
      <w:r w:rsidRPr="00DA27C1">
        <w:rPr>
          <w:color w:val="C45911" w:themeColor="accent2" w:themeShade="BF"/>
        </w:rPr>
        <w:t xml:space="preserve">Una limitación estructural de esta línea de investigación, relevante para el presente trabajo, es la concentración de los estudios disponibles en fuentes en inglés. La mayoría de los corpus utilizados, las herramientas de NLP más desarrolladas y los modelos de lenguaje específicos del dominio económico —como </w:t>
      </w:r>
      <w:proofErr w:type="spellStart"/>
      <w:r w:rsidRPr="00DA27C1">
        <w:rPr>
          <w:color w:val="C45911" w:themeColor="accent2" w:themeShade="BF"/>
        </w:rPr>
        <w:t>FinBERT</w:t>
      </w:r>
      <w:proofErr w:type="spellEnd"/>
      <w:r w:rsidRPr="00DA27C1">
        <w:rPr>
          <w:color w:val="C45911" w:themeColor="accent2" w:themeShade="BF"/>
        </w:rPr>
        <w:t xml:space="preserve"> (Araci, 2019)— están diseñados o entrenados para el inglés, lo que dificulta la transferencia directa de resultados al contexto español. Los recursos de NLP adaptados al castellano son más escasos, y la investigación sobre </w:t>
      </w:r>
      <w:proofErr w:type="spellStart"/>
      <w:r w:rsidRPr="00DA27C1">
        <w:rPr>
          <w:i/>
          <w:iCs/>
          <w:color w:val="C45911" w:themeColor="accent2" w:themeShade="BF"/>
        </w:rPr>
        <w:t>text-based</w:t>
      </w:r>
      <w:proofErr w:type="spellEnd"/>
      <w:r w:rsidRPr="00DA27C1">
        <w:rPr>
          <w:i/>
          <w:iCs/>
          <w:color w:val="C45911" w:themeColor="accent2" w:themeShade="BF"/>
        </w:rPr>
        <w:t xml:space="preserve"> </w:t>
      </w:r>
      <w:proofErr w:type="spellStart"/>
      <w:r w:rsidRPr="00DA27C1">
        <w:rPr>
          <w:i/>
          <w:iCs/>
          <w:color w:val="C45911" w:themeColor="accent2" w:themeShade="BF"/>
        </w:rPr>
        <w:t>forecasting</w:t>
      </w:r>
      <w:proofErr w:type="spellEnd"/>
      <w:r w:rsidRPr="00DA27C1">
        <w:rPr>
          <w:color w:val="C45911" w:themeColor="accent2" w:themeShade="BF"/>
        </w:rPr>
        <w:t xml:space="preserve"> con fuentes en español permanece </w:t>
      </w:r>
      <w:r w:rsidRPr="00DA27C1">
        <w:rPr>
          <w:color w:val="C45911" w:themeColor="accent2" w:themeShade="BF"/>
        </w:rPr>
        <w:lastRenderedPageBreak/>
        <w:t>comparativamente poco desarrollada. Esta brecha no es únicamente un problema técnico, sino también una limitación de alcance: los patrones léxicos y semánticos que caracterizan el discurso económico en español pueden diferir de los identificados en la literatura anglófona, lo que hace que los resultados de este trabajo no sean directamente comparables con los de la mayoría de los estudios revisados.</w:t>
      </w:r>
    </w:p>
    <w:p w14:paraId="3B32F3B5" w14:textId="77777777" w:rsidR="0056299E" w:rsidRPr="00DA27C1" w:rsidRDefault="0056299E" w:rsidP="0056299E">
      <w:pPr>
        <w:rPr>
          <w:color w:val="C45911" w:themeColor="accent2" w:themeShade="BF"/>
        </w:rPr>
      </w:pPr>
      <w:r w:rsidRPr="00DA27C1">
        <w:rPr>
          <w:color w:val="C45911" w:themeColor="accent2" w:themeShade="BF"/>
        </w:rPr>
        <w:t>En conjunto, la literatura revisada en este bloque respalda la hipótesis de partida del trabajo —que las fuentes textuales digitales contienen información útil para anticipar variables de confianza económica— pero advierte simultáneamente de que los resultados son sensibles al diseño metodológico, a la calidad de las fuentes y a la adecuación de las herramientas de NLP al dominio y al idioma. Estas consideraciones se trasladan directamente al diseño del proyecto y justifican una interpretación cautelosa de los resultados obtenidos.</w:t>
      </w:r>
    </w:p>
    <w:p w14:paraId="2CBC2D43" w14:textId="77777777" w:rsidR="0056299E" w:rsidRPr="00DA27C1" w:rsidRDefault="00000000" w:rsidP="0056299E">
      <w:pPr>
        <w:rPr>
          <w:color w:val="C45911" w:themeColor="accent2" w:themeShade="BF"/>
        </w:rPr>
      </w:pPr>
      <w:r>
        <w:rPr>
          <w:color w:val="C45911" w:themeColor="accent2" w:themeShade="BF"/>
        </w:rPr>
        <w:pict w14:anchorId="502C20B2">
          <v:rect id="_x0000_i1032" style="width:0;height:1.5pt" o:hralign="center" o:hrstd="t" o:hr="t" fillcolor="#a0a0a0" stroked="f"/>
        </w:pict>
      </w:r>
    </w:p>
    <w:p w14:paraId="4A213A42" w14:textId="77777777" w:rsidR="0056299E" w:rsidRPr="00DA27C1" w:rsidRDefault="0056299E" w:rsidP="0056299E">
      <w:pPr>
        <w:rPr>
          <w:color w:val="C45911" w:themeColor="accent2" w:themeShade="BF"/>
        </w:rPr>
      </w:pPr>
      <w:r w:rsidRPr="00DA27C1">
        <w:rPr>
          <w:b/>
          <w:bCs/>
          <w:color w:val="C45911" w:themeColor="accent2" w:themeShade="BF"/>
        </w:rPr>
        <w:t>Referencias citadas en esta sección</w:t>
      </w:r>
      <w:r w:rsidRPr="00DA27C1">
        <w:rPr>
          <w:color w:val="C45911" w:themeColor="accent2" w:themeShade="BF"/>
        </w:rPr>
        <w:t xml:space="preserve"> </w:t>
      </w:r>
      <w:r w:rsidRPr="00DA27C1">
        <w:rPr>
          <w:i/>
          <w:iCs/>
          <w:color w:val="C45911" w:themeColor="accent2" w:themeShade="BF"/>
        </w:rPr>
        <w:t>(para incluir en el capítulo 5)</w:t>
      </w:r>
    </w:p>
    <w:p w14:paraId="77C4C46C" w14:textId="77777777" w:rsidR="0056299E" w:rsidRPr="00DA27C1" w:rsidRDefault="0056299E" w:rsidP="0056299E">
      <w:pPr>
        <w:numPr>
          <w:ilvl w:val="0"/>
          <w:numId w:val="7"/>
        </w:numPr>
        <w:rPr>
          <w:color w:val="C45911" w:themeColor="accent2" w:themeShade="BF"/>
          <w:lang w:val="en-GB"/>
        </w:rPr>
      </w:pPr>
      <w:r w:rsidRPr="00DA27C1">
        <w:rPr>
          <w:color w:val="C45911" w:themeColor="accent2" w:themeShade="BF"/>
          <w:lang w:val="en-GB"/>
        </w:rPr>
        <w:t xml:space="preserve">Araci, D. (2019). </w:t>
      </w:r>
      <w:proofErr w:type="spellStart"/>
      <w:r w:rsidRPr="00DA27C1">
        <w:rPr>
          <w:color w:val="C45911" w:themeColor="accent2" w:themeShade="BF"/>
          <w:lang w:val="en-GB"/>
        </w:rPr>
        <w:t>FinBERT</w:t>
      </w:r>
      <w:proofErr w:type="spellEnd"/>
      <w:r w:rsidRPr="00DA27C1">
        <w:rPr>
          <w:color w:val="C45911" w:themeColor="accent2" w:themeShade="BF"/>
          <w:lang w:val="en-GB"/>
        </w:rPr>
        <w:t xml:space="preserve">: Financial sentiment analysis with pre-trained language models. </w:t>
      </w:r>
      <w:proofErr w:type="spellStart"/>
      <w:r w:rsidRPr="00DA27C1">
        <w:rPr>
          <w:i/>
          <w:iCs/>
          <w:color w:val="C45911" w:themeColor="accent2" w:themeShade="BF"/>
          <w:lang w:val="en-GB"/>
        </w:rPr>
        <w:t>arXiv</w:t>
      </w:r>
      <w:proofErr w:type="spellEnd"/>
      <w:r w:rsidRPr="00DA27C1">
        <w:rPr>
          <w:i/>
          <w:iCs/>
          <w:color w:val="C45911" w:themeColor="accent2" w:themeShade="BF"/>
          <w:lang w:val="en-GB"/>
        </w:rPr>
        <w:t xml:space="preserve"> preprint arXiv:1908.10063</w:t>
      </w:r>
      <w:r w:rsidRPr="00DA27C1">
        <w:rPr>
          <w:color w:val="C45911" w:themeColor="accent2" w:themeShade="BF"/>
          <w:lang w:val="en-GB"/>
        </w:rPr>
        <w:t>.</w:t>
      </w:r>
    </w:p>
    <w:p w14:paraId="52B06A41"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Bollen, J., Mao, H., &amp; Zeng, X. (2011). Twitter mood predicts the stock market. </w:t>
      </w:r>
      <w:proofErr w:type="spellStart"/>
      <w:r w:rsidRPr="00DA27C1">
        <w:rPr>
          <w:i/>
          <w:iCs/>
          <w:color w:val="C45911" w:themeColor="accent2" w:themeShade="BF"/>
        </w:rPr>
        <w:t>Journal</w:t>
      </w:r>
      <w:proofErr w:type="spellEnd"/>
      <w:r w:rsidRPr="00DA27C1">
        <w:rPr>
          <w:i/>
          <w:iCs/>
          <w:color w:val="C45911" w:themeColor="accent2" w:themeShade="BF"/>
        </w:rPr>
        <w:t xml:space="preserve"> </w:t>
      </w:r>
      <w:proofErr w:type="spellStart"/>
      <w:r w:rsidRPr="00DA27C1">
        <w:rPr>
          <w:i/>
          <w:iCs/>
          <w:color w:val="C45911" w:themeColor="accent2" w:themeShade="BF"/>
        </w:rPr>
        <w:t>of</w:t>
      </w:r>
      <w:proofErr w:type="spellEnd"/>
      <w:r w:rsidRPr="00DA27C1">
        <w:rPr>
          <w:i/>
          <w:iCs/>
          <w:color w:val="C45911" w:themeColor="accent2" w:themeShade="BF"/>
        </w:rPr>
        <w:t xml:space="preserve"> </w:t>
      </w:r>
      <w:proofErr w:type="spellStart"/>
      <w:r w:rsidRPr="00DA27C1">
        <w:rPr>
          <w:i/>
          <w:iCs/>
          <w:color w:val="C45911" w:themeColor="accent2" w:themeShade="BF"/>
        </w:rPr>
        <w:t>Computational</w:t>
      </w:r>
      <w:proofErr w:type="spellEnd"/>
      <w:r w:rsidRPr="00DA27C1">
        <w:rPr>
          <w:i/>
          <w:iCs/>
          <w:color w:val="C45911" w:themeColor="accent2" w:themeShade="BF"/>
        </w:rPr>
        <w:t xml:space="preserve"> </w:t>
      </w:r>
      <w:proofErr w:type="spellStart"/>
      <w:r w:rsidRPr="00DA27C1">
        <w:rPr>
          <w:i/>
          <w:iCs/>
          <w:color w:val="C45911" w:themeColor="accent2" w:themeShade="BF"/>
        </w:rPr>
        <w:t>Science</w:t>
      </w:r>
      <w:proofErr w:type="spellEnd"/>
      <w:r w:rsidRPr="00DA27C1">
        <w:rPr>
          <w:i/>
          <w:iCs/>
          <w:color w:val="C45911" w:themeColor="accent2" w:themeShade="BF"/>
        </w:rPr>
        <w:t>, 2</w:t>
      </w:r>
      <w:r w:rsidRPr="00DA27C1">
        <w:rPr>
          <w:color w:val="C45911" w:themeColor="accent2" w:themeShade="BF"/>
        </w:rPr>
        <w:t>(1), 1–8.</w:t>
      </w:r>
    </w:p>
    <w:p w14:paraId="54E925BD"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Box, G. E. P., Jenkins, G. M., Reinsel, G. C., &amp; Ljung, G. M. (2015). </w:t>
      </w:r>
      <w:r w:rsidRPr="00DA27C1">
        <w:rPr>
          <w:i/>
          <w:iCs/>
          <w:color w:val="C45911" w:themeColor="accent2" w:themeShade="BF"/>
        </w:rPr>
        <w:t xml:space="preserve">Time series </w:t>
      </w:r>
      <w:proofErr w:type="spellStart"/>
      <w:r w:rsidRPr="00DA27C1">
        <w:rPr>
          <w:i/>
          <w:iCs/>
          <w:color w:val="C45911" w:themeColor="accent2" w:themeShade="BF"/>
        </w:rPr>
        <w:t>analysis</w:t>
      </w:r>
      <w:proofErr w:type="spellEnd"/>
      <w:r w:rsidRPr="00DA27C1">
        <w:rPr>
          <w:i/>
          <w:iCs/>
          <w:color w:val="C45911" w:themeColor="accent2" w:themeShade="BF"/>
        </w:rPr>
        <w:t xml:space="preserve">: </w:t>
      </w:r>
      <w:proofErr w:type="spellStart"/>
      <w:r w:rsidRPr="00DA27C1">
        <w:rPr>
          <w:i/>
          <w:iCs/>
          <w:color w:val="C45911" w:themeColor="accent2" w:themeShade="BF"/>
        </w:rPr>
        <w:t>Forecasting</w:t>
      </w:r>
      <w:proofErr w:type="spellEnd"/>
      <w:r w:rsidRPr="00DA27C1">
        <w:rPr>
          <w:i/>
          <w:iCs/>
          <w:color w:val="C45911" w:themeColor="accent2" w:themeShade="BF"/>
        </w:rPr>
        <w:t xml:space="preserve"> and control</w:t>
      </w:r>
      <w:r w:rsidRPr="00DA27C1">
        <w:rPr>
          <w:color w:val="C45911" w:themeColor="accent2" w:themeShade="BF"/>
        </w:rPr>
        <w:t xml:space="preserve"> (5th ed.). Wiley.</w:t>
      </w:r>
    </w:p>
    <w:p w14:paraId="0F59B39B" w14:textId="77777777" w:rsidR="0056299E" w:rsidRPr="00DA27C1" w:rsidRDefault="0056299E" w:rsidP="0056299E">
      <w:pPr>
        <w:numPr>
          <w:ilvl w:val="0"/>
          <w:numId w:val="7"/>
        </w:numPr>
        <w:rPr>
          <w:color w:val="C45911" w:themeColor="accent2" w:themeShade="BF"/>
          <w:lang w:val="en-GB"/>
        </w:rPr>
      </w:pPr>
      <w:proofErr w:type="spellStart"/>
      <w:r w:rsidRPr="00DA27C1">
        <w:rPr>
          <w:color w:val="C45911" w:themeColor="accent2" w:themeShade="BF"/>
          <w:lang w:val="en-GB"/>
        </w:rPr>
        <w:t>Breiman</w:t>
      </w:r>
      <w:proofErr w:type="spellEnd"/>
      <w:r w:rsidRPr="00DA27C1">
        <w:rPr>
          <w:color w:val="C45911" w:themeColor="accent2" w:themeShade="BF"/>
          <w:lang w:val="en-GB"/>
        </w:rPr>
        <w:t xml:space="preserve">, L. (2001). Random forests. </w:t>
      </w:r>
      <w:r w:rsidRPr="00DA27C1">
        <w:rPr>
          <w:i/>
          <w:iCs/>
          <w:color w:val="C45911" w:themeColor="accent2" w:themeShade="BF"/>
          <w:lang w:val="en-GB"/>
        </w:rPr>
        <w:t>Machine Learning, 45</w:t>
      </w:r>
      <w:r w:rsidRPr="00DA27C1">
        <w:rPr>
          <w:color w:val="C45911" w:themeColor="accent2" w:themeShade="BF"/>
          <w:lang w:val="en-GB"/>
        </w:rPr>
        <w:t>(1), 5–32.</w:t>
      </w:r>
    </w:p>
    <w:p w14:paraId="7F4C0304"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Carroll, C. D., Fuhrer, J. C., &amp; Wilcox, D. W. (1994). Does consumer sentiment forecast household spending? </w:t>
      </w:r>
      <w:proofErr w:type="spellStart"/>
      <w:r w:rsidRPr="00DA27C1">
        <w:rPr>
          <w:color w:val="C45911" w:themeColor="accent2" w:themeShade="BF"/>
        </w:rPr>
        <w:t>If</w:t>
      </w:r>
      <w:proofErr w:type="spellEnd"/>
      <w:r w:rsidRPr="00DA27C1">
        <w:rPr>
          <w:color w:val="C45911" w:themeColor="accent2" w:themeShade="BF"/>
        </w:rPr>
        <w:t xml:space="preserve"> so, </w:t>
      </w:r>
      <w:proofErr w:type="spellStart"/>
      <w:r w:rsidRPr="00DA27C1">
        <w:rPr>
          <w:color w:val="C45911" w:themeColor="accent2" w:themeShade="BF"/>
        </w:rPr>
        <w:t>why</w:t>
      </w:r>
      <w:proofErr w:type="spellEnd"/>
      <w:r w:rsidRPr="00DA27C1">
        <w:rPr>
          <w:color w:val="C45911" w:themeColor="accent2" w:themeShade="BF"/>
        </w:rPr>
        <w:t xml:space="preserve">? </w:t>
      </w:r>
      <w:r w:rsidRPr="00DA27C1">
        <w:rPr>
          <w:i/>
          <w:iCs/>
          <w:color w:val="C45911" w:themeColor="accent2" w:themeShade="BF"/>
        </w:rPr>
        <w:t xml:space="preserve">American </w:t>
      </w:r>
      <w:proofErr w:type="spellStart"/>
      <w:r w:rsidRPr="00DA27C1">
        <w:rPr>
          <w:i/>
          <w:iCs/>
          <w:color w:val="C45911" w:themeColor="accent2" w:themeShade="BF"/>
        </w:rPr>
        <w:t>Economic</w:t>
      </w:r>
      <w:proofErr w:type="spellEnd"/>
      <w:r w:rsidRPr="00DA27C1">
        <w:rPr>
          <w:i/>
          <w:iCs/>
          <w:color w:val="C45911" w:themeColor="accent2" w:themeShade="BF"/>
        </w:rPr>
        <w:t xml:space="preserve"> </w:t>
      </w:r>
      <w:proofErr w:type="spellStart"/>
      <w:r w:rsidRPr="00DA27C1">
        <w:rPr>
          <w:i/>
          <w:iCs/>
          <w:color w:val="C45911" w:themeColor="accent2" w:themeShade="BF"/>
        </w:rPr>
        <w:t>Review</w:t>
      </w:r>
      <w:proofErr w:type="spellEnd"/>
      <w:r w:rsidRPr="00DA27C1">
        <w:rPr>
          <w:i/>
          <w:iCs/>
          <w:color w:val="C45911" w:themeColor="accent2" w:themeShade="BF"/>
        </w:rPr>
        <w:t>, 84</w:t>
      </w:r>
      <w:r w:rsidRPr="00DA27C1">
        <w:rPr>
          <w:color w:val="C45911" w:themeColor="accent2" w:themeShade="BF"/>
        </w:rPr>
        <w:t>(5), 1397–1408.</w:t>
      </w:r>
    </w:p>
    <w:p w14:paraId="221CBC1F" w14:textId="77777777" w:rsidR="0056299E" w:rsidRPr="00DA27C1" w:rsidRDefault="0056299E" w:rsidP="0056299E">
      <w:pPr>
        <w:numPr>
          <w:ilvl w:val="0"/>
          <w:numId w:val="7"/>
        </w:numPr>
        <w:rPr>
          <w:color w:val="C45911" w:themeColor="accent2" w:themeShade="BF"/>
          <w:lang w:val="en-GB"/>
        </w:rPr>
      </w:pPr>
      <w:r w:rsidRPr="00DA27C1">
        <w:rPr>
          <w:color w:val="C45911" w:themeColor="accent2" w:themeShade="BF"/>
          <w:lang w:val="en-GB"/>
        </w:rPr>
        <w:t xml:space="preserve">Chen, T., &amp; </w:t>
      </w:r>
      <w:proofErr w:type="spellStart"/>
      <w:r w:rsidRPr="00DA27C1">
        <w:rPr>
          <w:color w:val="C45911" w:themeColor="accent2" w:themeShade="BF"/>
          <w:lang w:val="en-GB"/>
        </w:rPr>
        <w:t>Guestrin</w:t>
      </w:r>
      <w:proofErr w:type="spellEnd"/>
      <w:r w:rsidRPr="00DA27C1">
        <w:rPr>
          <w:color w:val="C45911" w:themeColor="accent2" w:themeShade="BF"/>
          <w:lang w:val="en-GB"/>
        </w:rPr>
        <w:t xml:space="preserve">, C. (2016). </w:t>
      </w:r>
      <w:proofErr w:type="spellStart"/>
      <w:r w:rsidRPr="00DA27C1">
        <w:rPr>
          <w:color w:val="C45911" w:themeColor="accent2" w:themeShade="BF"/>
          <w:lang w:val="en-GB"/>
        </w:rPr>
        <w:t>XGBoost</w:t>
      </w:r>
      <w:proofErr w:type="spellEnd"/>
      <w:r w:rsidRPr="00DA27C1">
        <w:rPr>
          <w:color w:val="C45911" w:themeColor="accent2" w:themeShade="BF"/>
          <w:lang w:val="en-GB"/>
        </w:rPr>
        <w:t xml:space="preserve">: A scalable tree boosting system. </w:t>
      </w:r>
      <w:r w:rsidRPr="00DA27C1">
        <w:rPr>
          <w:i/>
          <w:iCs/>
          <w:color w:val="C45911" w:themeColor="accent2" w:themeShade="BF"/>
          <w:lang w:val="en-GB"/>
        </w:rPr>
        <w:t>Proceedings of the 22nd ACM SIGKDD International Conference on Knowledge Discovery and Data Mining</w:t>
      </w:r>
      <w:r w:rsidRPr="00DA27C1">
        <w:rPr>
          <w:color w:val="C45911" w:themeColor="accent2" w:themeShade="BF"/>
          <w:lang w:val="en-GB"/>
        </w:rPr>
        <w:t>, 785–794.</w:t>
      </w:r>
    </w:p>
    <w:p w14:paraId="4369BAEB"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Hyndman, R. J., &amp; Athanasopoulos, G. (2021). </w:t>
      </w:r>
      <w:r w:rsidRPr="00DA27C1">
        <w:rPr>
          <w:i/>
          <w:iCs/>
          <w:color w:val="C45911" w:themeColor="accent2" w:themeShade="BF"/>
          <w:lang w:val="en-GB"/>
        </w:rPr>
        <w:t>Forecasting: Principles and practice</w:t>
      </w:r>
      <w:r w:rsidRPr="00DA27C1">
        <w:rPr>
          <w:color w:val="C45911" w:themeColor="accent2" w:themeShade="BF"/>
          <w:lang w:val="en-GB"/>
        </w:rPr>
        <w:t xml:space="preserve"> (3rd ed.). </w:t>
      </w:r>
      <w:proofErr w:type="spellStart"/>
      <w:r w:rsidRPr="00DA27C1">
        <w:rPr>
          <w:color w:val="C45911" w:themeColor="accent2" w:themeShade="BF"/>
        </w:rPr>
        <w:t>OTexts</w:t>
      </w:r>
      <w:proofErr w:type="spellEnd"/>
      <w:r w:rsidRPr="00DA27C1">
        <w:rPr>
          <w:color w:val="C45911" w:themeColor="accent2" w:themeShade="BF"/>
        </w:rPr>
        <w:t>. https://otexts.com/fpp3/</w:t>
      </w:r>
    </w:p>
    <w:p w14:paraId="4A34920D" w14:textId="77777777" w:rsidR="0056299E" w:rsidRPr="00DA27C1" w:rsidRDefault="0056299E" w:rsidP="0056299E">
      <w:pPr>
        <w:numPr>
          <w:ilvl w:val="0"/>
          <w:numId w:val="7"/>
        </w:numPr>
        <w:rPr>
          <w:color w:val="C45911" w:themeColor="accent2" w:themeShade="BF"/>
          <w:lang w:val="en-GB"/>
        </w:rPr>
      </w:pPr>
      <w:proofErr w:type="spellStart"/>
      <w:r w:rsidRPr="00DA27C1">
        <w:rPr>
          <w:color w:val="C45911" w:themeColor="accent2" w:themeShade="BF"/>
        </w:rPr>
        <w:t>Kalamara</w:t>
      </w:r>
      <w:proofErr w:type="spellEnd"/>
      <w:r w:rsidRPr="00DA27C1">
        <w:rPr>
          <w:color w:val="C45911" w:themeColor="accent2" w:themeShade="BF"/>
        </w:rPr>
        <w:t xml:space="preserve">, E., Turrell, A., Redl, C., </w:t>
      </w:r>
      <w:proofErr w:type="spellStart"/>
      <w:r w:rsidRPr="00DA27C1">
        <w:rPr>
          <w:color w:val="C45911" w:themeColor="accent2" w:themeShade="BF"/>
        </w:rPr>
        <w:t>Kapetanios</w:t>
      </w:r>
      <w:proofErr w:type="spellEnd"/>
      <w:r w:rsidRPr="00DA27C1">
        <w:rPr>
          <w:color w:val="C45911" w:themeColor="accent2" w:themeShade="BF"/>
        </w:rPr>
        <w:t xml:space="preserve">, G., &amp; </w:t>
      </w:r>
      <w:proofErr w:type="spellStart"/>
      <w:r w:rsidRPr="00DA27C1">
        <w:rPr>
          <w:color w:val="C45911" w:themeColor="accent2" w:themeShade="BF"/>
        </w:rPr>
        <w:t>Kapetanios</w:t>
      </w:r>
      <w:proofErr w:type="spellEnd"/>
      <w:r w:rsidRPr="00DA27C1">
        <w:rPr>
          <w:color w:val="C45911" w:themeColor="accent2" w:themeShade="BF"/>
        </w:rPr>
        <w:t xml:space="preserve">, S. (2022). </w:t>
      </w:r>
      <w:r w:rsidRPr="00DA27C1">
        <w:rPr>
          <w:color w:val="C45911" w:themeColor="accent2" w:themeShade="BF"/>
          <w:lang w:val="en-GB"/>
        </w:rPr>
        <w:t xml:space="preserve">Making text count: Economic forecasting using newspaper text. </w:t>
      </w:r>
      <w:r w:rsidRPr="00DA27C1">
        <w:rPr>
          <w:i/>
          <w:iCs/>
          <w:color w:val="C45911" w:themeColor="accent2" w:themeShade="BF"/>
          <w:lang w:val="en-GB"/>
        </w:rPr>
        <w:t>Journal of Applied Econometrics, 37</w:t>
      </w:r>
      <w:r w:rsidRPr="00DA27C1">
        <w:rPr>
          <w:color w:val="C45911" w:themeColor="accent2" w:themeShade="BF"/>
          <w:lang w:val="en-GB"/>
        </w:rPr>
        <w:t>(5), 896–919.</w:t>
      </w:r>
    </w:p>
    <w:p w14:paraId="5DD3DDE7"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Larsen, V. H., &amp; Thorsrud, L. A. (2019). The value of news for economic developments. </w:t>
      </w:r>
      <w:proofErr w:type="spellStart"/>
      <w:r w:rsidRPr="00DA27C1">
        <w:rPr>
          <w:i/>
          <w:iCs/>
          <w:color w:val="C45911" w:themeColor="accent2" w:themeShade="BF"/>
        </w:rPr>
        <w:t>Journal</w:t>
      </w:r>
      <w:proofErr w:type="spellEnd"/>
      <w:r w:rsidRPr="00DA27C1">
        <w:rPr>
          <w:i/>
          <w:iCs/>
          <w:color w:val="C45911" w:themeColor="accent2" w:themeShade="BF"/>
        </w:rPr>
        <w:t xml:space="preserve"> </w:t>
      </w:r>
      <w:proofErr w:type="spellStart"/>
      <w:r w:rsidRPr="00DA27C1">
        <w:rPr>
          <w:i/>
          <w:iCs/>
          <w:color w:val="C45911" w:themeColor="accent2" w:themeShade="BF"/>
        </w:rPr>
        <w:t>of</w:t>
      </w:r>
      <w:proofErr w:type="spellEnd"/>
      <w:r w:rsidRPr="00DA27C1">
        <w:rPr>
          <w:i/>
          <w:iCs/>
          <w:color w:val="C45911" w:themeColor="accent2" w:themeShade="BF"/>
        </w:rPr>
        <w:t xml:space="preserve"> </w:t>
      </w:r>
      <w:proofErr w:type="spellStart"/>
      <w:r w:rsidRPr="00DA27C1">
        <w:rPr>
          <w:i/>
          <w:iCs/>
          <w:color w:val="C45911" w:themeColor="accent2" w:themeShade="BF"/>
        </w:rPr>
        <w:t>Econometrics</w:t>
      </w:r>
      <w:proofErr w:type="spellEnd"/>
      <w:r w:rsidRPr="00DA27C1">
        <w:rPr>
          <w:i/>
          <w:iCs/>
          <w:color w:val="C45911" w:themeColor="accent2" w:themeShade="BF"/>
        </w:rPr>
        <w:t>, 210</w:t>
      </w:r>
      <w:r w:rsidRPr="00DA27C1">
        <w:rPr>
          <w:color w:val="C45911" w:themeColor="accent2" w:themeShade="BF"/>
        </w:rPr>
        <w:t>(1), 203–218.</w:t>
      </w:r>
    </w:p>
    <w:p w14:paraId="23F4D750"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Loughran, T., &amp; McDonald, B. (2011). When is a liability not a liability? </w:t>
      </w:r>
      <w:r w:rsidRPr="00DA27C1">
        <w:rPr>
          <w:color w:val="C45911" w:themeColor="accent2" w:themeShade="BF"/>
        </w:rPr>
        <w:t xml:space="preserve">Textual </w:t>
      </w:r>
      <w:proofErr w:type="spellStart"/>
      <w:r w:rsidRPr="00DA27C1">
        <w:rPr>
          <w:color w:val="C45911" w:themeColor="accent2" w:themeShade="BF"/>
        </w:rPr>
        <w:t>analysis</w:t>
      </w:r>
      <w:proofErr w:type="spellEnd"/>
      <w:r w:rsidRPr="00DA27C1">
        <w:rPr>
          <w:color w:val="C45911" w:themeColor="accent2" w:themeShade="BF"/>
        </w:rPr>
        <w:t xml:space="preserve">, </w:t>
      </w:r>
      <w:proofErr w:type="spellStart"/>
      <w:r w:rsidRPr="00DA27C1">
        <w:rPr>
          <w:color w:val="C45911" w:themeColor="accent2" w:themeShade="BF"/>
        </w:rPr>
        <w:t>dictionaries</w:t>
      </w:r>
      <w:proofErr w:type="spellEnd"/>
      <w:r w:rsidRPr="00DA27C1">
        <w:rPr>
          <w:color w:val="C45911" w:themeColor="accent2" w:themeShade="BF"/>
        </w:rPr>
        <w:t xml:space="preserve">, and 10-Ks. </w:t>
      </w:r>
      <w:proofErr w:type="spellStart"/>
      <w:r w:rsidRPr="00DA27C1">
        <w:rPr>
          <w:i/>
          <w:iCs/>
          <w:color w:val="C45911" w:themeColor="accent2" w:themeShade="BF"/>
        </w:rPr>
        <w:t>Journal</w:t>
      </w:r>
      <w:proofErr w:type="spellEnd"/>
      <w:r w:rsidRPr="00DA27C1">
        <w:rPr>
          <w:i/>
          <w:iCs/>
          <w:color w:val="C45911" w:themeColor="accent2" w:themeShade="BF"/>
        </w:rPr>
        <w:t xml:space="preserve"> </w:t>
      </w:r>
      <w:proofErr w:type="spellStart"/>
      <w:r w:rsidRPr="00DA27C1">
        <w:rPr>
          <w:i/>
          <w:iCs/>
          <w:color w:val="C45911" w:themeColor="accent2" w:themeShade="BF"/>
        </w:rPr>
        <w:t>of</w:t>
      </w:r>
      <w:proofErr w:type="spellEnd"/>
      <w:r w:rsidRPr="00DA27C1">
        <w:rPr>
          <w:i/>
          <w:iCs/>
          <w:color w:val="C45911" w:themeColor="accent2" w:themeShade="BF"/>
        </w:rPr>
        <w:t xml:space="preserve"> </w:t>
      </w:r>
      <w:proofErr w:type="spellStart"/>
      <w:r w:rsidRPr="00DA27C1">
        <w:rPr>
          <w:i/>
          <w:iCs/>
          <w:color w:val="C45911" w:themeColor="accent2" w:themeShade="BF"/>
        </w:rPr>
        <w:t>Finance</w:t>
      </w:r>
      <w:proofErr w:type="spellEnd"/>
      <w:r w:rsidRPr="00DA27C1">
        <w:rPr>
          <w:i/>
          <w:iCs/>
          <w:color w:val="C45911" w:themeColor="accent2" w:themeShade="BF"/>
        </w:rPr>
        <w:t>, 66</w:t>
      </w:r>
      <w:r w:rsidRPr="00DA27C1">
        <w:rPr>
          <w:color w:val="C45911" w:themeColor="accent2" w:themeShade="BF"/>
        </w:rPr>
        <w:t>(1), 35–65.</w:t>
      </w:r>
    </w:p>
    <w:p w14:paraId="02F4DD3A"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Ludvigson, S. C. (2004). Consumer confidence and consumer spending. </w:t>
      </w:r>
      <w:proofErr w:type="spellStart"/>
      <w:r w:rsidRPr="00DA27C1">
        <w:rPr>
          <w:i/>
          <w:iCs/>
          <w:color w:val="C45911" w:themeColor="accent2" w:themeShade="BF"/>
        </w:rPr>
        <w:t>Journal</w:t>
      </w:r>
      <w:proofErr w:type="spellEnd"/>
      <w:r w:rsidRPr="00DA27C1">
        <w:rPr>
          <w:i/>
          <w:iCs/>
          <w:color w:val="C45911" w:themeColor="accent2" w:themeShade="BF"/>
        </w:rPr>
        <w:t xml:space="preserve"> </w:t>
      </w:r>
      <w:proofErr w:type="spellStart"/>
      <w:r w:rsidRPr="00DA27C1">
        <w:rPr>
          <w:i/>
          <w:iCs/>
          <w:color w:val="C45911" w:themeColor="accent2" w:themeShade="BF"/>
        </w:rPr>
        <w:t>of</w:t>
      </w:r>
      <w:proofErr w:type="spellEnd"/>
      <w:r w:rsidRPr="00DA27C1">
        <w:rPr>
          <w:i/>
          <w:iCs/>
          <w:color w:val="C45911" w:themeColor="accent2" w:themeShade="BF"/>
        </w:rPr>
        <w:t xml:space="preserve"> </w:t>
      </w:r>
      <w:proofErr w:type="spellStart"/>
      <w:r w:rsidRPr="00DA27C1">
        <w:rPr>
          <w:i/>
          <w:iCs/>
          <w:color w:val="C45911" w:themeColor="accent2" w:themeShade="BF"/>
        </w:rPr>
        <w:t>Economic</w:t>
      </w:r>
      <w:proofErr w:type="spellEnd"/>
      <w:r w:rsidRPr="00DA27C1">
        <w:rPr>
          <w:i/>
          <w:iCs/>
          <w:color w:val="C45911" w:themeColor="accent2" w:themeShade="BF"/>
        </w:rPr>
        <w:t xml:space="preserve"> </w:t>
      </w:r>
      <w:proofErr w:type="spellStart"/>
      <w:r w:rsidRPr="00DA27C1">
        <w:rPr>
          <w:i/>
          <w:iCs/>
          <w:color w:val="C45911" w:themeColor="accent2" w:themeShade="BF"/>
        </w:rPr>
        <w:t>Perspectives</w:t>
      </w:r>
      <w:proofErr w:type="spellEnd"/>
      <w:r w:rsidRPr="00DA27C1">
        <w:rPr>
          <w:i/>
          <w:iCs/>
          <w:color w:val="C45911" w:themeColor="accent2" w:themeShade="BF"/>
        </w:rPr>
        <w:t>, 18</w:t>
      </w:r>
      <w:r w:rsidRPr="00DA27C1">
        <w:rPr>
          <w:color w:val="C45911" w:themeColor="accent2" w:themeShade="BF"/>
        </w:rPr>
        <w:t>(2), 29–50.</w:t>
      </w:r>
    </w:p>
    <w:p w14:paraId="06D7A04A"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Tetlock, P. C. (2007). Giving content to investor sentiment: The role of media in the stock market. </w:t>
      </w:r>
      <w:proofErr w:type="spellStart"/>
      <w:r w:rsidRPr="00DA27C1">
        <w:rPr>
          <w:i/>
          <w:iCs/>
          <w:color w:val="C45911" w:themeColor="accent2" w:themeShade="BF"/>
        </w:rPr>
        <w:t>Journal</w:t>
      </w:r>
      <w:proofErr w:type="spellEnd"/>
      <w:r w:rsidRPr="00DA27C1">
        <w:rPr>
          <w:i/>
          <w:iCs/>
          <w:color w:val="C45911" w:themeColor="accent2" w:themeShade="BF"/>
        </w:rPr>
        <w:t xml:space="preserve"> </w:t>
      </w:r>
      <w:proofErr w:type="spellStart"/>
      <w:r w:rsidRPr="00DA27C1">
        <w:rPr>
          <w:i/>
          <w:iCs/>
          <w:color w:val="C45911" w:themeColor="accent2" w:themeShade="BF"/>
        </w:rPr>
        <w:t>of</w:t>
      </w:r>
      <w:proofErr w:type="spellEnd"/>
      <w:r w:rsidRPr="00DA27C1">
        <w:rPr>
          <w:i/>
          <w:iCs/>
          <w:color w:val="C45911" w:themeColor="accent2" w:themeShade="BF"/>
        </w:rPr>
        <w:t xml:space="preserve"> </w:t>
      </w:r>
      <w:proofErr w:type="spellStart"/>
      <w:r w:rsidRPr="00DA27C1">
        <w:rPr>
          <w:i/>
          <w:iCs/>
          <w:color w:val="C45911" w:themeColor="accent2" w:themeShade="BF"/>
        </w:rPr>
        <w:t>Finance</w:t>
      </w:r>
      <w:proofErr w:type="spellEnd"/>
      <w:r w:rsidRPr="00DA27C1">
        <w:rPr>
          <w:i/>
          <w:iCs/>
          <w:color w:val="C45911" w:themeColor="accent2" w:themeShade="BF"/>
        </w:rPr>
        <w:t>, 62</w:t>
      </w:r>
      <w:r w:rsidRPr="00DA27C1">
        <w:rPr>
          <w:color w:val="C45911" w:themeColor="accent2" w:themeShade="BF"/>
        </w:rPr>
        <w:t>(3), 1139–1168.</w:t>
      </w:r>
    </w:p>
    <w:p w14:paraId="192CDC6D" w14:textId="77777777" w:rsidR="0056299E" w:rsidRPr="00DA27C1" w:rsidRDefault="0056299E" w:rsidP="0056299E">
      <w:pPr>
        <w:numPr>
          <w:ilvl w:val="0"/>
          <w:numId w:val="7"/>
        </w:numPr>
        <w:rPr>
          <w:color w:val="C45911" w:themeColor="accent2" w:themeShade="BF"/>
        </w:rPr>
      </w:pPr>
      <w:r w:rsidRPr="00DA27C1">
        <w:rPr>
          <w:color w:val="C45911" w:themeColor="accent2" w:themeShade="BF"/>
          <w:lang w:val="en-GB"/>
        </w:rPr>
        <w:t xml:space="preserve">Varian, H. R. (2014). Big data: New tricks for econometrics. </w:t>
      </w:r>
      <w:proofErr w:type="spellStart"/>
      <w:r w:rsidRPr="00DA27C1">
        <w:rPr>
          <w:i/>
          <w:iCs/>
          <w:color w:val="C45911" w:themeColor="accent2" w:themeShade="BF"/>
        </w:rPr>
        <w:t>Journal</w:t>
      </w:r>
      <w:proofErr w:type="spellEnd"/>
      <w:r w:rsidRPr="00DA27C1">
        <w:rPr>
          <w:i/>
          <w:iCs/>
          <w:color w:val="C45911" w:themeColor="accent2" w:themeShade="BF"/>
        </w:rPr>
        <w:t xml:space="preserve"> </w:t>
      </w:r>
      <w:proofErr w:type="spellStart"/>
      <w:r w:rsidRPr="00DA27C1">
        <w:rPr>
          <w:i/>
          <w:iCs/>
          <w:color w:val="C45911" w:themeColor="accent2" w:themeShade="BF"/>
        </w:rPr>
        <w:t>of</w:t>
      </w:r>
      <w:proofErr w:type="spellEnd"/>
      <w:r w:rsidRPr="00DA27C1">
        <w:rPr>
          <w:i/>
          <w:iCs/>
          <w:color w:val="C45911" w:themeColor="accent2" w:themeShade="BF"/>
        </w:rPr>
        <w:t xml:space="preserve"> </w:t>
      </w:r>
      <w:proofErr w:type="spellStart"/>
      <w:r w:rsidRPr="00DA27C1">
        <w:rPr>
          <w:i/>
          <w:iCs/>
          <w:color w:val="C45911" w:themeColor="accent2" w:themeShade="BF"/>
        </w:rPr>
        <w:t>Economic</w:t>
      </w:r>
      <w:proofErr w:type="spellEnd"/>
      <w:r w:rsidRPr="00DA27C1">
        <w:rPr>
          <w:i/>
          <w:iCs/>
          <w:color w:val="C45911" w:themeColor="accent2" w:themeShade="BF"/>
        </w:rPr>
        <w:t xml:space="preserve"> </w:t>
      </w:r>
      <w:proofErr w:type="spellStart"/>
      <w:r w:rsidRPr="00DA27C1">
        <w:rPr>
          <w:i/>
          <w:iCs/>
          <w:color w:val="C45911" w:themeColor="accent2" w:themeShade="BF"/>
        </w:rPr>
        <w:t>Perspectives</w:t>
      </w:r>
      <w:proofErr w:type="spellEnd"/>
      <w:r w:rsidRPr="00DA27C1">
        <w:rPr>
          <w:i/>
          <w:iCs/>
          <w:color w:val="C45911" w:themeColor="accent2" w:themeShade="BF"/>
        </w:rPr>
        <w:t>, 28</w:t>
      </w:r>
      <w:r w:rsidRPr="00DA27C1">
        <w:rPr>
          <w:color w:val="C45911" w:themeColor="accent2" w:themeShade="BF"/>
        </w:rPr>
        <w:t>(2), 3–28.</w:t>
      </w:r>
    </w:p>
    <w:p w14:paraId="69110C24" w14:textId="77777777" w:rsidR="0056299E" w:rsidRPr="00DA27C1" w:rsidRDefault="00000000" w:rsidP="0056299E">
      <w:pPr>
        <w:rPr>
          <w:color w:val="C45911" w:themeColor="accent2" w:themeShade="BF"/>
        </w:rPr>
      </w:pPr>
      <w:r>
        <w:rPr>
          <w:color w:val="C45911" w:themeColor="accent2" w:themeShade="BF"/>
        </w:rPr>
        <w:pict w14:anchorId="47EF26BB">
          <v:rect id="_x0000_i1033" style="width:0;height:1.5pt" o:hralign="center" o:hrstd="t" o:hr="t" fillcolor="#a0a0a0" stroked="f"/>
        </w:pict>
      </w:r>
    </w:p>
    <w:p w14:paraId="4E0BA7C4" w14:textId="77777777" w:rsidR="0056299E" w:rsidRPr="00DA27C1" w:rsidRDefault="0056299E" w:rsidP="0056299E">
      <w:pPr>
        <w:rPr>
          <w:color w:val="C45911" w:themeColor="accent2" w:themeShade="BF"/>
        </w:rPr>
      </w:pPr>
      <w:r w:rsidRPr="00DA27C1">
        <w:rPr>
          <w:color w:val="C45911" w:themeColor="accent2" w:themeShade="BF"/>
        </w:rPr>
        <w:lastRenderedPageBreak/>
        <w:t xml:space="preserve">¿Continúo con la sección </w:t>
      </w:r>
      <w:r w:rsidRPr="00DA27C1">
        <w:rPr>
          <w:b/>
          <w:bCs/>
          <w:color w:val="C45911" w:themeColor="accent2" w:themeShade="BF"/>
        </w:rPr>
        <w:t>2.4 Marco teórico</w:t>
      </w:r>
      <w:r w:rsidRPr="00DA27C1">
        <w:rPr>
          <w:color w:val="C45911" w:themeColor="accent2" w:themeShade="BF"/>
        </w:rPr>
        <w:t>?</w:t>
      </w:r>
    </w:p>
    <w:p w14:paraId="5CCD8911" w14:textId="77777777" w:rsidR="00614BA0" w:rsidRPr="00DA27C1" w:rsidRDefault="00614BA0" w:rsidP="00614BA0">
      <w:pPr>
        <w:rPr>
          <w:color w:val="C45911" w:themeColor="accent2" w:themeShade="BF"/>
        </w:rPr>
      </w:pPr>
      <w:r w:rsidRPr="00DA27C1">
        <w:rPr>
          <w:color w:val="C45911" w:themeColor="accent2" w:themeShade="BF"/>
        </w:rPr>
        <w:t xml:space="preserve">Sí, esta versión del </w:t>
      </w:r>
      <w:r w:rsidRPr="00DA27C1">
        <w:rPr>
          <w:b/>
          <w:bCs/>
          <w:color w:val="C45911" w:themeColor="accent2" w:themeShade="BF"/>
        </w:rPr>
        <w:t>2.3 Estado del arte</w:t>
      </w:r>
      <w:r w:rsidRPr="00DA27C1">
        <w:rPr>
          <w:color w:val="C45911" w:themeColor="accent2" w:themeShade="BF"/>
        </w:rPr>
        <w:t xml:space="preserve"> ya está </w:t>
      </w:r>
      <w:r w:rsidRPr="00DA27C1">
        <w:rPr>
          <w:b/>
          <w:bCs/>
          <w:color w:val="C45911" w:themeColor="accent2" w:themeShade="BF"/>
        </w:rPr>
        <w:t>mucho más limpia</w:t>
      </w:r>
      <w:r w:rsidRPr="00DA27C1">
        <w:rPr>
          <w:color w:val="C45911" w:themeColor="accent2" w:themeShade="BF"/>
        </w:rPr>
        <w:t>. La puedes usar casi tal cual. Está bien porque:</w:t>
      </w:r>
    </w:p>
    <w:p w14:paraId="541029AA" w14:textId="77777777" w:rsidR="00614BA0" w:rsidRPr="00DA27C1" w:rsidRDefault="00614BA0" w:rsidP="00614BA0">
      <w:pPr>
        <w:numPr>
          <w:ilvl w:val="0"/>
          <w:numId w:val="8"/>
        </w:numPr>
        <w:rPr>
          <w:color w:val="C45911" w:themeColor="accent2" w:themeShade="BF"/>
        </w:rPr>
      </w:pPr>
      <w:r w:rsidRPr="00DA27C1">
        <w:rPr>
          <w:color w:val="C45911" w:themeColor="accent2" w:themeShade="BF"/>
        </w:rPr>
        <w:t>Ya no tiene [VERIFICAR REFERENCIA].</w:t>
      </w:r>
    </w:p>
    <w:p w14:paraId="0B1B4C75" w14:textId="77777777" w:rsidR="00614BA0" w:rsidRPr="00DA27C1" w:rsidRDefault="00614BA0" w:rsidP="00614BA0">
      <w:pPr>
        <w:numPr>
          <w:ilvl w:val="0"/>
          <w:numId w:val="8"/>
        </w:numPr>
        <w:rPr>
          <w:color w:val="C45911" w:themeColor="accent2" w:themeShade="BF"/>
        </w:rPr>
      </w:pPr>
      <w:r w:rsidRPr="00DA27C1">
        <w:rPr>
          <w:color w:val="C45911" w:themeColor="accent2" w:themeShade="BF"/>
        </w:rPr>
        <w:t xml:space="preserve">La estructura es crítica, no solo una lista de </w:t>
      </w:r>
      <w:proofErr w:type="spellStart"/>
      <w:r w:rsidRPr="00DA27C1">
        <w:rPr>
          <w:color w:val="C45911" w:themeColor="accent2" w:themeShade="BF"/>
        </w:rPr>
        <w:t>papers</w:t>
      </w:r>
      <w:proofErr w:type="spellEnd"/>
      <w:r w:rsidRPr="00DA27C1">
        <w:rPr>
          <w:color w:val="C45911" w:themeColor="accent2" w:themeShade="BF"/>
        </w:rPr>
        <w:t>.</w:t>
      </w:r>
    </w:p>
    <w:p w14:paraId="3150D4FC" w14:textId="77777777" w:rsidR="00614BA0" w:rsidRPr="00DA27C1" w:rsidRDefault="00614BA0" w:rsidP="00614BA0">
      <w:pPr>
        <w:numPr>
          <w:ilvl w:val="0"/>
          <w:numId w:val="8"/>
        </w:numPr>
        <w:rPr>
          <w:color w:val="C45911" w:themeColor="accent2" w:themeShade="BF"/>
        </w:rPr>
      </w:pPr>
      <w:r w:rsidRPr="00DA27C1">
        <w:rPr>
          <w:color w:val="C45911" w:themeColor="accent2" w:themeShade="BF"/>
        </w:rPr>
        <w:t>Conecta cada bloque con tu TFG.</w:t>
      </w:r>
    </w:p>
    <w:p w14:paraId="05078F08" w14:textId="77777777" w:rsidR="00614BA0" w:rsidRPr="00DA27C1" w:rsidRDefault="00614BA0" w:rsidP="00614BA0">
      <w:pPr>
        <w:numPr>
          <w:ilvl w:val="0"/>
          <w:numId w:val="8"/>
        </w:numPr>
        <w:rPr>
          <w:color w:val="C45911" w:themeColor="accent2" w:themeShade="BF"/>
        </w:rPr>
      </w:pPr>
      <w:r w:rsidRPr="00DA27C1">
        <w:rPr>
          <w:color w:val="C45911" w:themeColor="accent2" w:themeShade="BF"/>
        </w:rPr>
        <w:t xml:space="preserve">Justifica bien por qué usas un </w:t>
      </w:r>
      <w:proofErr w:type="spellStart"/>
      <w:r w:rsidRPr="00DA27C1">
        <w:rPr>
          <w:color w:val="C45911" w:themeColor="accent2" w:themeShade="BF"/>
        </w:rPr>
        <w:t>baseline</w:t>
      </w:r>
      <w:proofErr w:type="spellEnd"/>
      <w:r w:rsidRPr="00DA27C1">
        <w:rPr>
          <w:color w:val="C45911" w:themeColor="accent2" w:themeShade="BF"/>
        </w:rPr>
        <w:t xml:space="preserve"> y modelos de ensamble.</w:t>
      </w:r>
    </w:p>
    <w:p w14:paraId="0E06E453" w14:textId="77777777" w:rsidR="00614BA0" w:rsidRPr="00DA27C1" w:rsidRDefault="00614BA0" w:rsidP="00614BA0">
      <w:pPr>
        <w:numPr>
          <w:ilvl w:val="0"/>
          <w:numId w:val="8"/>
        </w:numPr>
        <w:rPr>
          <w:color w:val="C45911" w:themeColor="accent2" w:themeShade="BF"/>
        </w:rPr>
      </w:pPr>
      <w:r w:rsidRPr="00DA27C1">
        <w:rPr>
          <w:color w:val="C45911" w:themeColor="accent2" w:themeShade="BF"/>
        </w:rPr>
        <w:t xml:space="preserve">Reconoce la limitación de </w:t>
      </w:r>
      <w:proofErr w:type="spellStart"/>
      <w:r w:rsidRPr="00DA27C1">
        <w:rPr>
          <w:color w:val="C45911" w:themeColor="accent2" w:themeShade="BF"/>
        </w:rPr>
        <w:t>TextBlob</w:t>
      </w:r>
      <w:proofErr w:type="spellEnd"/>
      <w:r w:rsidRPr="00DA27C1">
        <w:rPr>
          <w:color w:val="C45911" w:themeColor="accent2" w:themeShade="BF"/>
        </w:rPr>
        <w:t>, lo cual te protege ante el tribunal.</w:t>
      </w:r>
    </w:p>
    <w:p w14:paraId="39720364" w14:textId="77777777" w:rsidR="00614BA0" w:rsidRPr="00DA27C1" w:rsidRDefault="00614BA0" w:rsidP="00614BA0">
      <w:pPr>
        <w:rPr>
          <w:color w:val="C45911" w:themeColor="accent2" w:themeShade="BF"/>
        </w:rPr>
      </w:pPr>
      <w:r w:rsidRPr="00DA27C1">
        <w:rPr>
          <w:color w:val="C45911" w:themeColor="accent2" w:themeShade="BF"/>
        </w:rPr>
        <w:t xml:space="preserve">Pero antes de pegarla, haría </w:t>
      </w:r>
      <w:r w:rsidRPr="00DA27C1">
        <w:rPr>
          <w:b/>
          <w:bCs/>
          <w:color w:val="C45911" w:themeColor="accent2" w:themeShade="BF"/>
        </w:rPr>
        <w:t>3 correcciones pequeñas</w:t>
      </w:r>
      <w:r w:rsidRPr="00DA27C1">
        <w:rPr>
          <w:color w:val="C45911" w:themeColor="accent2" w:themeShade="BF"/>
        </w:rPr>
        <w:t>.</w:t>
      </w:r>
    </w:p>
    <w:p w14:paraId="65F8F8DB" w14:textId="77777777" w:rsidR="00614BA0" w:rsidRPr="00DA27C1" w:rsidRDefault="00614BA0" w:rsidP="00614BA0">
      <w:pPr>
        <w:rPr>
          <w:b/>
          <w:bCs/>
          <w:color w:val="C45911" w:themeColor="accent2" w:themeShade="BF"/>
        </w:rPr>
      </w:pPr>
      <w:r w:rsidRPr="00DA27C1">
        <w:rPr>
          <w:b/>
          <w:bCs/>
          <w:color w:val="C45911" w:themeColor="accent2" w:themeShade="BF"/>
        </w:rPr>
        <w:t xml:space="preserve">1. Cuidado con </w:t>
      </w:r>
      <w:proofErr w:type="spellStart"/>
      <w:r w:rsidRPr="00DA27C1">
        <w:rPr>
          <w:b/>
          <w:bCs/>
          <w:color w:val="C45911" w:themeColor="accent2" w:themeShade="BF"/>
        </w:rPr>
        <w:t>TextBlob</w:t>
      </w:r>
      <w:proofErr w:type="spellEnd"/>
    </w:p>
    <w:p w14:paraId="1B6FC81F" w14:textId="77777777" w:rsidR="00614BA0" w:rsidRPr="00DA27C1" w:rsidRDefault="00614BA0" w:rsidP="00614BA0">
      <w:pPr>
        <w:rPr>
          <w:color w:val="C45911" w:themeColor="accent2" w:themeShade="BF"/>
        </w:rPr>
      </w:pPr>
      <w:r w:rsidRPr="00DA27C1">
        <w:rPr>
          <w:color w:val="C45911" w:themeColor="accent2" w:themeShade="BF"/>
        </w:rPr>
        <w:t>Ahora dice:</w:t>
      </w:r>
    </w:p>
    <w:p w14:paraId="2A5D0995" w14:textId="77777777" w:rsidR="00614BA0" w:rsidRPr="00DA27C1" w:rsidRDefault="00614BA0" w:rsidP="00614BA0">
      <w:pPr>
        <w:rPr>
          <w:color w:val="C45911" w:themeColor="accent2" w:themeShade="BF"/>
        </w:rPr>
      </w:pPr>
      <w:r w:rsidRPr="00DA27C1">
        <w:rPr>
          <w:color w:val="C45911" w:themeColor="accent2" w:themeShade="BF"/>
        </w:rPr>
        <w:t>“</w:t>
      </w:r>
      <w:proofErr w:type="spellStart"/>
      <w:r w:rsidRPr="00DA27C1">
        <w:rPr>
          <w:color w:val="C45911" w:themeColor="accent2" w:themeShade="BF"/>
        </w:rPr>
        <w:t>TextBlob</w:t>
      </w:r>
      <w:proofErr w:type="spellEnd"/>
      <w:r w:rsidRPr="00DA27C1">
        <w:rPr>
          <w:color w:val="C45911" w:themeColor="accent2" w:themeShade="BF"/>
        </w:rPr>
        <w:t xml:space="preserve"> aplica un modelo léxico entrenado sobre corpus en inglés…”</w:t>
      </w:r>
    </w:p>
    <w:p w14:paraId="4E455512" w14:textId="77777777" w:rsidR="00614BA0" w:rsidRPr="00DA27C1" w:rsidRDefault="00614BA0" w:rsidP="00614BA0">
      <w:pPr>
        <w:rPr>
          <w:color w:val="C45911" w:themeColor="accent2" w:themeShade="BF"/>
        </w:rPr>
      </w:pPr>
      <w:r w:rsidRPr="00DA27C1">
        <w:rPr>
          <w:color w:val="C45911" w:themeColor="accent2" w:themeShade="BF"/>
        </w:rPr>
        <w:t xml:space="preserve">Esto puede ser demasiado tajante. </w:t>
      </w:r>
      <w:proofErr w:type="spellStart"/>
      <w:r w:rsidRPr="00DA27C1">
        <w:rPr>
          <w:color w:val="C45911" w:themeColor="accent2" w:themeShade="BF"/>
        </w:rPr>
        <w:t>TextBlob</w:t>
      </w:r>
      <w:proofErr w:type="spellEnd"/>
      <w:r w:rsidRPr="00DA27C1">
        <w:rPr>
          <w:color w:val="C45911" w:themeColor="accent2" w:themeShade="BF"/>
        </w:rPr>
        <w:t xml:space="preserve"> como librería puede usarse de distintas formas y su comportamiento depende de cómo lo hayas aplicado. Si no estás 100% seguro, mejor escribirlo más prudente.</w:t>
      </w:r>
    </w:p>
    <w:p w14:paraId="54DD795E" w14:textId="77777777" w:rsidR="00614BA0" w:rsidRPr="00DA27C1" w:rsidRDefault="00614BA0" w:rsidP="00614BA0">
      <w:pPr>
        <w:rPr>
          <w:color w:val="C45911" w:themeColor="accent2" w:themeShade="BF"/>
        </w:rPr>
      </w:pPr>
      <w:r w:rsidRPr="00DA27C1">
        <w:rPr>
          <w:color w:val="C45911" w:themeColor="accent2" w:themeShade="BF"/>
        </w:rPr>
        <w:t>Usa esta versión:</w:t>
      </w:r>
    </w:p>
    <w:p w14:paraId="4F85DF38" w14:textId="77777777" w:rsidR="00614BA0" w:rsidRPr="00DA27C1" w:rsidRDefault="00614BA0" w:rsidP="00614BA0">
      <w:pPr>
        <w:rPr>
          <w:color w:val="C45911" w:themeColor="accent2" w:themeShade="BF"/>
        </w:rPr>
      </w:pPr>
      <w:r w:rsidRPr="00DA27C1">
        <w:rPr>
          <w:color w:val="C45911" w:themeColor="accent2" w:themeShade="BF"/>
        </w:rPr>
        <w:t>En el presente trabajo se opta por una herramienta de análisis de sentimiento de tipo léxico por razones de viabilidad técnica, reproducibilidad y facilidad de integración en el flujo de trabajo. Esta elección implica asumir limitaciones metodológicas reconocidas: los enfoques léxicos pueden presentar un rendimiento inferior al de modelos específicamente entrenados para el dominio económico y para el idioma de los textos analizados. Por ello, las puntuaciones de polaridad resultantes deben interpretarse como aproximaciones al sentimiento económico presente en las publicaciones, y no como medidas perfectas del tono real de los textos.</w:t>
      </w:r>
    </w:p>
    <w:p w14:paraId="5DD1398A" w14:textId="77777777" w:rsidR="00614BA0" w:rsidRPr="00DA27C1" w:rsidRDefault="00614BA0" w:rsidP="00614BA0">
      <w:pPr>
        <w:rPr>
          <w:color w:val="C45911" w:themeColor="accent2" w:themeShade="BF"/>
        </w:rPr>
      </w:pPr>
      <w:r w:rsidRPr="00DA27C1">
        <w:rPr>
          <w:color w:val="C45911" w:themeColor="accent2" w:themeShade="BF"/>
        </w:rPr>
        <w:t xml:space="preserve">Esta redacción te evita problemas si luego alguien te pregunta si </w:t>
      </w:r>
      <w:proofErr w:type="spellStart"/>
      <w:r w:rsidRPr="00DA27C1">
        <w:rPr>
          <w:color w:val="C45911" w:themeColor="accent2" w:themeShade="BF"/>
        </w:rPr>
        <w:t>TextBlob</w:t>
      </w:r>
      <w:proofErr w:type="spellEnd"/>
      <w:r w:rsidRPr="00DA27C1">
        <w:rPr>
          <w:color w:val="C45911" w:themeColor="accent2" w:themeShade="BF"/>
        </w:rPr>
        <w:t xml:space="preserve"> está entrenado en inglés, español, si traduces, etc.</w:t>
      </w:r>
    </w:p>
    <w:p w14:paraId="3E9946F0" w14:textId="77777777" w:rsidR="00614BA0" w:rsidRPr="00DA27C1" w:rsidRDefault="00614BA0" w:rsidP="00614BA0">
      <w:pPr>
        <w:rPr>
          <w:b/>
          <w:bCs/>
          <w:color w:val="C45911" w:themeColor="accent2" w:themeShade="BF"/>
        </w:rPr>
      </w:pPr>
      <w:r w:rsidRPr="00DA27C1">
        <w:rPr>
          <w:b/>
          <w:bCs/>
          <w:color w:val="C45911" w:themeColor="accent2" w:themeShade="BF"/>
        </w:rPr>
        <w:t>2. En Larsen y Thorsrud no digas “fuentes textuales institucionales”</w:t>
      </w:r>
    </w:p>
    <w:p w14:paraId="19433CEE" w14:textId="77777777" w:rsidR="00614BA0" w:rsidRPr="00DA27C1" w:rsidRDefault="00614BA0" w:rsidP="00614BA0">
      <w:pPr>
        <w:rPr>
          <w:color w:val="C45911" w:themeColor="accent2" w:themeShade="BF"/>
        </w:rPr>
      </w:pPr>
      <w:r w:rsidRPr="00DA27C1">
        <w:rPr>
          <w:color w:val="C45911" w:themeColor="accent2" w:themeShade="BF"/>
        </w:rPr>
        <w:t>En tu texto pone:</w:t>
      </w:r>
    </w:p>
    <w:p w14:paraId="438544D6" w14:textId="77777777" w:rsidR="00614BA0" w:rsidRPr="00DA27C1" w:rsidRDefault="00614BA0" w:rsidP="00614BA0">
      <w:pPr>
        <w:rPr>
          <w:color w:val="C45911" w:themeColor="accent2" w:themeShade="BF"/>
        </w:rPr>
      </w:pPr>
      <w:r w:rsidRPr="00DA27C1">
        <w:rPr>
          <w:color w:val="C45911" w:themeColor="accent2" w:themeShade="BF"/>
        </w:rPr>
        <w:t>“fuentes textuales institucionales contienen información predictiva…”</w:t>
      </w:r>
    </w:p>
    <w:p w14:paraId="6AAE9F6E" w14:textId="77777777" w:rsidR="00614BA0" w:rsidRPr="00DA27C1" w:rsidRDefault="00614BA0" w:rsidP="00614BA0">
      <w:pPr>
        <w:rPr>
          <w:color w:val="C45911" w:themeColor="accent2" w:themeShade="BF"/>
        </w:rPr>
      </w:pPr>
      <w:r w:rsidRPr="00DA27C1">
        <w:rPr>
          <w:color w:val="C45911" w:themeColor="accent2" w:themeShade="BF"/>
        </w:rPr>
        <w:t xml:space="preserve">Pero Larsen y Thorsrud trabajan con </w:t>
      </w:r>
      <w:r w:rsidRPr="00DA27C1">
        <w:rPr>
          <w:b/>
          <w:bCs/>
          <w:color w:val="C45911" w:themeColor="accent2" w:themeShade="BF"/>
        </w:rPr>
        <w:t>noticias económicas</w:t>
      </w:r>
      <w:r w:rsidRPr="00DA27C1">
        <w:rPr>
          <w:color w:val="C45911" w:themeColor="accent2" w:themeShade="BF"/>
        </w:rPr>
        <w:t>, no necesariamente fuentes institucionales. Mejor pon:</w:t>
      </w:r>
    </w:p>
    <w:p w14:paraId="4827290F" w14:textId="77777777" w:rsidR="00614BA0" w:rsidRPr="00DA27C1" w:rsidRDefault="00614BA0" w:rsidP="00614BA0">
      <w:pPr>
        <w:rPr>
          <w:color w:val="C45911" w:themeColor="accent2" w:themeShade="BF"/>
        </w:rPr>
      </w:pPr>
      <w:r w:rsidRPr="00DA27C1">
        <w:rPr>
          <w:color w:val="C45911" w:themeColor="accent2" w:themeShade="BF"/>
        </w:rPr>
        <w:t>fuentes textuales económicas contienen información predictiva sobre variables macroeconómicas</w:t>
      </w:r>
    </w:p>
    <w:p w14:paraId="215F0615" w14:textId="77777777" w:rsidR="00614BA0" w:rsidRPr="00DA27C1" w:rsidRDefault="00614BA0" w:rsidP="00614BA0">
      <w:pPr>
        <w:rPr>
          <w:color w:val="C45911" w:themeColor="accent2" w:themeShade="BF"/>
        </w:rPr>
      </w:pPr>
      <w:r w:rsidRPr="00DA27C1">
        <w:rPr>
          <w:color w:val="C45911" w:themeColor="accent2" w:themeShade="BF"/>
        </w:rPr>
        <w:t>Así no exageras.</w:t>
      </w:r>
    </w:p>
    <w:p w14:paraId="5579211B" w14:textId="77777777" w:rsidR="00614BA0" w:rsidRPr="00DA27C1" w:rsidRDefault="00614BA0" w:rsidP="00614BA0">
      <w:pPr>
        <w:rPr>
          <w:b/>
          <w:bCs/>
          <w:color w:val="C45911" w:themeColor="accent2" w:themeShade="BF"/>
        </w:rPr>
      </w:pPr>
      <w:r w:rsidRPr="00DA27C1">
        <w:rPr>
          <w:b/>
          <w:bCs/>
          <w:color w:val="C45911" w:themeColor="accent2" w:themeShade="BF"/>
        </w:rPr>
        <w:t>3. En 2.3.4 no afirmes demasiado la hipótesis</w:t>
      </w:r>
    </w:p>
    <w:p w14:paraId="22F7DB9B" w14:textId="77777777" w:rsidR="00614BA0" w:rsidRPr="00DA27C1" w:rsidRDefault="00614BA0" w:rsidP="00614BA0">
      <w:pPr>
        <w:rPr>
          <w:color w:val="C45911" w:themeColor="accent2" w:themeShade="BF"/>
        </w:rPr>
      </w:pPr>
      <w:r w:rsidRPr="00DA27C1">
        <w:rPr>
          <w:color w:val="C45911" w:themeColor="accent2" w:themeShade="BF"/>
        </w:rPr>
        <w:t>La frase:</w:t>
      </w:r>
    </w:p>
    <w:p w14:paraId="19B09823" w14:textId="77777777" w:rsidR="00614BA0" w:rsidRPr="00DA27C1" w:rsidRDefault="00614BA0" w:rsidP="00614BA0">
      <w:pPr>
        <w:rPr>
          <w:color w:val="C45911" w:themeColor="accent2" w:themeShade="BF"/>
        </w:rPr>
      </w:pPr>
      <w:r w:rsidRPr="00DA27C1">
        <w:rPr>
          <w:color w:val="C45911" w:themeColor="accent2" w:themeShade="BF"/>
        </w:rPr>
        <w:lastRenderedPageBreak/>
        <w:t>“respalda la hipótesis de partida del trabajo —que las fuentes textuales digitales contienen información útil…”</w:t>
      </w:r>
    </w:p>
    <w:p w14:paraId="26C92D7D" w14:textId="77777777" w:rsidR="00614BA0" w:rsidRPr="00DA27C1" w:rsidRDefault="00614BA0" w:rsidP="00614BA0">
      <w:pPr>
        <w:rPr>
          <w:color w:val="C45911" w:themeColor="accent2" w:themeShade="BF"/>
        </w:rPr>
      </w:pPr>
      <w:r w:rsidRPr="00DA27C1">
        <w:rPr>
          <w:color w:val="C45911" w:themeColor="accent2" w:themeShade="BF"/>
        </w:rPr>
        <w:t>Está bien, pero yo la suavizaría:</w:t>
      </w:r>
    </w:p>
    <w:p w14:paraId="0EE2E5C9" w14:textId="77777777" w:rsidR="00614BA0" w:rsidRPr="00DA27C1" w:rsidRDefault="00614BA0" w:rsidP="00614BA0">
      <w:pPr>
        <w:rPr>
          <w:color w:val="C45911" w:themeColor="accent2" w:themeShade="BF"/>
        </w:rPr>
      </w:pPr>
      <w:r w:rsidRPr="00DA27C1">
        <w:rPr>
          <w:color w:val="C45911" w:themeColor="accent2" w:themeShade="BF"/>
        </w:rPr>
        <w:t>respalda la pertinencia de la hipótesis de partida del trabajo —que las fuentes textuales digitales pueden contener información útil...</w:t>
      </w:r>
    </w:p>
    <w:p w14:paraId="31960D89" w14:textId="77777777" w:rsidR="00614BA0" w:rsidRPr="00DA27C1" w:rsidRDefault="00614BA0" w:rsidP="00614BA0">
      <w:pPr>
        <w:rPr>
          <w:color w:val="C45911" w:themeColor="accent2" w:themeShade="BF"/>
        </w:rPr>
      </w:pPr>
      <w:r w:rsidRPr="00DA27C1">
        <w:rPr>
          <w:color w:val="C45911" w:themeColor="accent2" w:themeShade="BF"/>
        </w:rPr>
        <w:t>Ese “pueden” es importante.</w:t>
      </w:r>
    </w:p>
    <w:p w14:paraId="64921F7A" w14:textId="77777777" w:rsidR="00614BA0" w:rsidRPr="00DA27C1" w:rsidRDefault="00000000" w:rsidP="00614BA0">
      <w:pPr>
        <w:rPr>
          <w:color w:val="C45911" w:themeColor="accent2" w:themeShade="BF"/>
        </w:rPr>
      </w:pPr>
      <w:r>
        <w:rPr>
          <w:color w:val="C45911" w:themeColor="accent2" w:themeShade="BF"/>
        </w:rPr>
        <w:pict w14:anchorId="148F6976">
          <v:rect id="_x0000_i1034" style="width:0;height:1.5pt" o:hralign="center" o:hrstd="t" o:hr="t" fillcolor="#a0a0a0" stroked="f"/>
        </w:pict>
      </w:r>
    </w:p>
    <w:p w14:paraId="54CE7BF0" w14:textId="77777777" w:rsidR="00614BA0" w:rsidRPr="00DA27C1" w:rsidRDefault="00614BA0" w:rsidP="00614BA0">
      <w:pPr>
        <w:rPr>
          <w:b/>
          <w:bCs/>
          <w:color w:val="C45911" w:themeColor="accent2" w:themeShade="BF"/>
        </w:rPr>
      </w:pPr>
      <w:r w:rsidRPr="00DA27C1">
        <w:rPr>
          <w:b/>
          <w:bCs/>
          <w:color w:val="C45911" w:themeColor="accent2" w:themeShade="BF"/>
        </w:rPr>
        <w:t>Veredicto</w:t>
      </w:r>
    </w:p>
    <w:p w14:paraId="10758041" w14:textId="77777777" w:rsidR="00614BA0" w:rsidRPr="00DA27C1" w:rsidRDefault="00614BA0" w:rsidP="00614BA0">
      <w:pPr>
        <w:rPr>
          <w:color w:val="C45911" w:themeColor="accent2" w:themeShade="BF"/>
        </w:rPr>
      </w:pPr>
      <w:r w:rsidRPr="00DA27C1">
        <w:rPr>
          <w:color w:val="C45911" w:themeColor="accent2" w:themeShade="BF"/>
        </w:rPr>
        <w:t xml:space="preserve">Sí: </w:t>
      </w:r>
      <w:r w:rsidRPr="00DA27C1">
        <w:rPr>
          <w:b/>
          <w:bCs/>
          <w:color w:val="C45911" w:themeColor="accent2" w:themeShade="BF"/>
        </w:rPr>
        <w:t>puedes dar por bastante cerrado el 2.3</w:t>
      </w:r>
      <w:r w:rsidRPr="00DA27C1">
        <w:rPr>
          <w:color w:val="C45911" w:themeColor="accent2" w:themeShade="BF"/>
        </w:rPr>
        <w:t xml:space="preserve"> con esas correcciones.</w:t>
      </w:r>
    </w:p>
    <w:p w14:paraId="06C5FDD5" w14:textId="77777777" w:rsidR="00614BA0" w:rsidRPr="00DA27C1" w:rsidRDefault="00614BA0" w:rsidP="00614BA0">
      <w:pPr>
        <w:rPr>
          <w:color w:val="C45911" w:themeColor="accent2" w:themeShade="BF"/>
        </w:rPr>
      </w:pPr>
      <w:r w:rsidRPr="00DA27C1">
        <w:rPr>
          <w:color w:val="C45911" w:themeColor="accent2" w:themeShade="BF"/>
        </w:rPr>
        <w:t>Para seguir, dile a Claude:</w:t>
      </w:r>
    </w:p>
    <w:p w14:paraId="74A77B0A" w14:textId="77777777" w:rsidR="00614BA0" w:rsidRPr="00DA27C1" w:rsidRDefault="00614BA0" w:rsidP="00614BA0">
      <w:pPr>
        <w:rPr>
          <w:color w:val="C45911" w:themeColor="accent2" w:themeShade="BF"/>
        </w:rPr>
      </w:pPr>
      <w:r w:rsidRPr="00DA27C1">
        <w:rPr>
          <w:color w:val="C45911" w:themeColor="accent2" w:themeShade="BF"/>
        </w:rPr>
        <w:t>Continúa con la sección 2.4 Marco teórico. Redáctala en tono académico y lista para pegar en Word. Debe explicar los conceptos necesarios para entender el proyecto, no repetir el estado del arte.</w:t>
      </w:r>
    </w:p>
    <w:p w14:paraId="58282458" w14:textId="77777777" w:rsidR="00614BA0" w:rsidRPr="00DA27C1" w:rsidRDefault="00614BA0" w:rsidP="00614BA0">
      <w:pPr>
        <w:rPr>
          <w:color w:val="C45911" w:themeColor="accent2" w:themeShade="BF"/>
        </w:rPr>
      </w:pPr>
    </w:p>
    <w:p w14:paraId="17072B99" w14:textId="77777777" w:rsidR="00614BA0" w:rsidRPr="00DA27C1" w:rsidRDefault="00614BA0" w:rsidP="00614BA0">
      <w:pPr>
        <w:rPr>
          <w:color w:val="C45911" w:themeColor="accent2" w:themeShade="BF"/>
        </w:rPr>
      </w:pPr>
      <w:r w:rsidRPr="00DA27C1">
        <w:rPr>
          <w:color w:val="C45911" w:themeColor="accent2" w:themeShade="BF"/>
        </w:rPr>
        <w:t>Incluye estos apartados:</w:t>
      </w:r>
    </w:p>
    <w:p w14:paraId="09204814" w14:textId="77777777" w:rsidR="00614BA0" w:rsidRPr="00DA27C1" w:rsidRDefault="00614BA0" w:rsidP="00614BA0">
      <w:pPr>
        <w:rPr>
          <w:color w:val="C45911" w:themeColor="accent2" w:themeShade="BF"/>
        </w:rPr>
      </w:pPr>
      <w:r w:rsidRPr="00DA27C1">
        <w:rPr>
          <w:color w:val="C45911" w:themeColor="accent2" w:themeShade="BF"/>
        </w:rPr>
        <w:t>2.4.1. Índice de Confianza del Consumidor</w:t>
      </w:r>
    </w:p>
    <w:p w14:paraId="3679E349" w14:textId="77777777" w:rsidR="00614BA0" w:rsidRPr="00DA27C1" w:rsidRDefault="00614BA0" w:rsidP="00614BA0">
      <w:pPr>
        <w:rPr>
          <w:color w:val="C45911" w:themeColor="accent2" w:themeShade="BF"/>
        </w:rPr>
      </w:pPr>
      <w:r w:rsidRPr="00DA27C1">
        <w:rPr>
          <w:color w:val="C45911" w:themeColor="accent2" w:themeShade="BF"/>
        </w:rPr>
        <w:t>2.4.2. Series temporales y retardos</w:t>
      </w:r>
    </w:p>
    <w:p w14:paraId="7D112DF3" w14:textId="77777777" w:rsidR="00614BA0" w:rsidRPr="00DA27C1" w:rsidRDefault="00614BA0" w:rsidP="00614BA0">
      <w:pPr>
        <w:rPr>
          <w:color w:val="C45911" w:themeColor="accent2" w:themeShade="BF"/>
        </w:rPr>
      </w:pPr>
      <w:r w:rsidRPr="00DA27C1">
        <w:rPr>
          <w:color w:val="C45911" w:themeColor="accent2" w:themeShade="BF"/>
        </w:rPr>
        <w:t>2.4.3. Procesamiento de Lenguaje Natural</w:t>
      </w:r>
    </w:p>
    <w:p w14:paraId="171CB998" w14:textId="77777777" w:rsidR="00614BA0" w:rsidRPr="00DA27C1" w:rsidRDefault="00614BA0" w:rsidP="00614BA0">
      <w:pPr>
        <w:rPr>
          <w:color w:val="C45911" w:themeColor="accent2" w:themeShade="BF"/>
        </w:rPr>
      </w:pPr>
      <w:r w:rsidRPr="00DA27C1">
        <w:rPr>
          <w:color w:val="C45911" w:themeColor="accent2" w:themeShade="BF"/>
        </w:rPr>
        <w:t>2.4.4. Análisis de sentimiento</w:t>
      </w:r>
    </w:p>
    <w:p w14:paraId="4408A880" w14:textId="77777777" w:rsidR="00614BA0" w:rsidRPr="00DA27C1" w:rsidRDefault="00614BA0" w:rsidP="00614BA0">
      <w:pPr>
        <w:rPr>
          <w:color w:val="C45911" w:themeColor="accent2" w:themeShade="BF"/>
        </w:rPr>
      </w:pPr>
      <w:r w:rsidRPr="00DA27C1">
        <w:rPr>
          <w:color w:val="C45911" w:themeColor="accent2" w:themeShade="BF"/>
        </w:rPr>
        <w:t>2.4.5. Modelos predictivos de regresión</w:t>
      </w:r>
    </w:p>
    <w:p w14:paraId="1B351DC1" w14:textId="77777777" w:rsidR="00614BA0" w:rsidRPr="00DA27C1" w:rsidRDefault="00614BA0" w:rsidP="00614BA0">
      <w:pPr>
        <w:rPr>
          <w:color w:val="C45911" w:themeColor="accent2" w:themeShade="BF"/>
        </w:rPr>
      </w:pPr>
      <w:r w:rsidRPr="00DA27C1">
        <w:rPr>
          <w:color w:val="C45911" w:themeColor="accent2" w:themeShade="BF"/>
        </w:rPr>
        <w:t>2.4.6. Métricas de evaluación: MAE, RMSE, MAPE y R²</w:t>
      </w:r>
    </w:p>
    <w:p w14:paraId="5FC33420" w14:textId="77777777" w:rsidR="00614BA0" w:rsidRPr="00DA27C1" w:rsidRDefault="00614BA0" w:rsidP="00614BA0">
      <w:pPr>
        <w:rPr>
          <w:color w:val="C45911" w:themeColor="accent2" w:themeShade="BF"/>
        </w:rPr>
      </w:pPr>
    </w:p>
    <w:p w14:paraId="5EB3A69C" w14:textId="77777777" w:rsidR="00614BA0" w:rsidRPr="00DA27C1" w:rsidRDefault="00614BA0" w:rsidP="00614BA0">
      <w:pPr>
        <w:rPr>
          <w:color w:val="C45911" w:themeColor="accent2" w:themeShade="BF"/>
        </w:rPr>
      </w:pPr>
      <w:r w:rsidRPr="00DA27C1">
        <w:rPr>
          <w:color w:val="C45911" w:themeColor="accent2" w:themeShade="BF"/>
        </w:rPr>
        <w:t>No incluyas LSTM, SVM ni clasificación como elementos centrales. Mi problema es de regresión: predigo el valor numérico del ICC del periodo siguiente.</w:t>
      </w:r>
    </w:p>
    <w:p w14:paraId="2D0B9999" w14:textId="77777777" w:rsidR="00614BA0" w:rsidRPr="00DA27C1" w:rsidRDefault="00614BA0" w:rsidP="00614BA0">
      <w:pPr>
        <w:rPr>
          <w:color w:val="C45911" w:themeColor="accent2" w:themeShade="BF"/>
        </w:rPr>
      </w:pPr>
      <w:r w:rsidRPr="00DA27C1">
        <w:rPr>
          <w:color w:val="C45911" w:themeColor="accent2" w:themeShade="BF"/>
        </w:rPr>
        <w:t xml:space="preserve">El </w:t>
      </w:r>
      <w:r w:rsidRPr="00DA27C1">
        <w:rPr>
          <w:b/>
          <w:bCs/>
          <w:color w:val="C45911" w:themeColor="accent2" w:themeShade="BF"/>
        </w:rPr>
        <w:t>2.4 Marco teórico</w:t>
      </w:r>
      <w:r w:rsidRPr="00DA27C1">
        <w:rPr>
          <w:color w:val="C45911" w:themeColor="accent2" w:themeShade="BF"/>
        </w:rPr>
        <w:t xml:space="preserve"> debe ser más técnico y explicativo. El </w:t>
      </w:r>
      <w:r w:rsidRPr="00DA27C1">
        <w:rPr>
          <w:b/>
          <w:bCs/>
          <w:color w:val="C45911" w:themeColor="accent2" w:themeShade="BF"/>
        </w:rPr>
        <w:t>2.3 Estado del arte</w:t>
      </w:r>
      <w:r w:rsidRPr="00DA27C1">
        <w:rPr>
          <w:color w:val="C45911" w:themeColor="accent2" w:themeShade="BF"/>
        </w:rPr>
        <w:t xml:space="preserve"> ya es la revisión de literatura; no conviene que se repitan.</w:t>
      </w:r>
    </w:p>
    <w:p w14:paraId="465A59F8" w14:textId="77777777" w:rsidR="00917FA7" w:rsidRPr="00DA27C1" w:rsidRDefault="00917FA7" w:rsidP="00917FA7">
      <w:pPr>
        <w:rPr>
          <w:b/>
          <w:bCs/>
          <w:color w:val="C45911" w:themeColor="accent2" w:themeShade="BF"/>
        </w:rPr>
      </w:pPr>
      <w:r w:rsidRPr="00DA27C1">
        <w:rPr>
          <w:b/>
          <w:bCs/>
          <w:color w:val="C45911" w:themeColor="accent2" w:themeShade="BF"/>
        </w:rPr>
        <w:t>2.4. Marco teórico</w:t>
      </w:r>
    </w:p>
    <w:p w14:paraId="133A5B55" w14:textId="77777777" w:rsidR="00917FA7" w:rsidRPr="00DA27C1" w:rsidRDefault="00917FA7" w:rsidP="00917FA7">
      <w:pPr>
        <w:rPr>
          <w:color w:val="C45911" w:themeColor="accent2" w:themeShade="BF"/>
        </w:rPr>
      </w:pPr>
      <w:r w:rsidRPr="00DA27C1">
        <w:rPr>
          <w:color w:val="C45911" w:themeColor="accent2" w:themeShade="BF"/>
        </w:rPr>
        <w:t>Este apartado desarrolla los fundamentos conceptuales y técnicos sobre los que se asienta el proyecto. Su propósito no es revisar la literatura previa, sino definir con precisión los conceptos que resultan imprescindibles para entender las decisiones metodológicas adoptadas: qué es el indicador que se predice, cómo se estructura el problema desde el punto de vista estadístico, qué herramientas de procesamiento de lenguaje natural permiten transformar texto en variables cuantitativas y qué modelos y métricas se emplean para construir y evaluar las predicciones.</w:t>
      </w:r>
    </w:p>
    <w:p w14:paraId="40CE965C" w14:textId="77777777" w:rsidR="00917FA7" w:rsidRPr="00DA27C1" w:rsidRDefault="00917FA7" w:rsidP="00917FA7">
      <w:pPr>
        <w:rPr>
          <w:b/>
          <w:bCs/>
          <w:color w:val="C45911" w:themeColor="accent2" w:themeShade="BF"/>
        </w:rPr>
      </w:pPr>
      <w:r w:rsidRPr="00DA27C1">
        <w:rPr>
          <w:b/>
          <w:bCs/>
          <w:color w:val="C45911" w:themeColor="accent2" w:themeShade="BF"/>
        </w:rPr>
        <w:t>2.4.1. Índice de Confianza del Consumidor</w:t>
      </w:r>
    </w:p>
    <w:p w14:paraId="506B1007" w14:textId="77777777" w:rsidR="00917FA7" w:rsidRPr="00DA27C1" w:rsidRDefault="00917FA7" w:rsidP="00917FA7">
      <w:pPr>
        <w:rPr>
          <w:color w:val="C45911" w:themeColor="accent2" w:themeShade="BF"/>
        </w:rPr>
      </w:pPr>
      <w:r w:rsidRPr="00DA27C1">
        <w:rPr>
          <w:color w:val="C45911" w:themeColor="accent2" w:themeShade="BF"/>
        </w:rPr>
        <w:t xml:space="preserve">El Índice de Confianza del Consumidor (ICC) es un indicador estadístico que mide la percepción que los hogares y ciudadanos tienen sobre la situación económica actual y sus expectativas para los próximos </w:t>
      </w:r>
      <w:r w:rsidRPr="00DA27C1">
        <w:rPr>
          <w:color w:val="C45911" w:themeColor="accent2" w:themeShade="BF"/>
        </w:rPr>
        <w:lastRenderedPageBreak/>
        <w:t>meses. Se construye a partir de encuestas periódicas —generalmente mensuales— en las que se interroga a una muestra representativa de la población sobre su valoración de la economía en general, la situación financiera del hogar y la disposición a realizar compras importantes.</w:t>
      </w:r>
    </w:p>
    <w:p w14:paraId="3652B6C2" w14:textId="77777777" w:rsidR="00917FA7" w:rsidRPr="00DA27C1" w:rsidRDefault="00917FA7" w:rsidP="00917FA7">
      <w:pPr>
        <w:rPr>
          <w:color w:val="C45911" w:themeColor="accent2" w:themeShade="BF"/>
        </w:rPr>
      </w:pPr>
      <w:r w:rsidRPr="00DA27C1">
        <w:rPr>
          <w:color w:val="C45911" w:themeColor="accent2" w:themeShade="BF"/>
        </w:rPr>
        <w:t>En España, el Índice de Confianza del Consumidor ha sido elaborado y publicado tradicionalmente por el Centro de Investigaciones Sociológicas (CIS), con periodicidad mensual. A escala europea, la Comisión Europea publica indicadores análogos de confianza del consumidor dentro de sus encuestas de coyuntura económica. En todos los casos, el resultado se expresa como un valor numérico que oscila en torno a un punto neutro: valores por encima de ese umbral indican optimismo neto y valores por debajo reflejan pesimismo neto.</w:t>
      </w:r>
    </w:p>
    <w:p w14:paraId="1E39FEA1" w14:textId="77777777" w:rsidR="00917FA7" w:rsidRPr="00DA27C1" w:rsidRDefault="00917FA7" w:rsidP="00917FA7">
      <w:pPr>
        <w:rPr>
          <w:color w:val="C45911" w:themeColor="accent2" w:themeShade="BF"/>
        </w:rPr>
      </w:pPr>
      <w:r w:rsidRPr="00DA27C1">
        <w:rPr>
          <w:color w:val="C45911" w:themeColor="accent2" w:themeShade="BF"/>
        </w:rPr>
        <w:t>El interés del ICC reside en que actúa como indicador adelantado de la actividad económica. Cuando la confianza sube, los consumidores tienden a gastar más, reducir el ahorro precautorio e invertir en bienes duraderos; cuando baja, el efecto es el contrario. Esta relación entre expectativas y comportamiento hace que el ICC sea seguido de cerca por empresas, analistas e instituciones públicas para anticipar cambios en la demanda agregada y ajustar estrategias comerciales, financieras o presupuestarias.</w:t>
      </w:r>
    </w:p>
    <w:p w14:paraId="31EA2B46" w14:textId="77777777" w:rsidR="00917FA7" w:rsidRPr="00DA27C1" w:rsidRDefault="00917FA7" w:rsidP="00917FA7">
      <w:pPr>
        <w:rPr>
          <w:color w:val="C45911" w:themeColor="accent2" w:themeShade="BF"/>
        </w:rPr>
      </w:pPr>
      <w:r w:rsidRPr="00DA27C1">
        <w:rPr>
          <w:color w:val="C45911" w:themeColor="accent2" w:themeShade="BF"/>
        </w:rPr>
        <w:t>Predecir el valor del ICC en el periodo siguiente tiene, por tanto, valor práctico directo: permite a las empresas de distribución ajustar inventarios, a las entidades financieras calibrar el riesgo de crédito al consumo y a los organismos públicos diseñar políticas económicas con mayor anticipación. En este proyecto, el ICC es la variable objetivo, y el problema se formula como una tarea de regresión en la que se trata de estimar su valor numérico en t+1 a partir de información disponible hasta el periodo t.</w:t>
      </w:r>
    </w:p>
    <w:p w14:paraId="7F8AEC86" w14:textId="77777777" w:rsidR="00917FA7" w:rsidRPr="00DA27C1" w:rsidRDefault="00917FA7" w:rsidP="00917FA7">
      <w:pPr>
        <w:rPr>
          <w:b/>
          <w:bCs/>
          <w:color w:val="C45911" w:themeColor="accent2" w:themeShade="BF"/>
        </w:rPr>
      </w:pPr>
      <w:r w:rsidRPr="00DA27C1">
        <w:rPr>
          <w:b/>
          <w:bCs/>
          <w:color w:val="C45911" w:themeColor="accent2" w:themeShade="BF"/>
        </w:rPr>
        <w:t>2.4.2. Series temporales y retardos</w:t>
      </w:r>
    </w:p>
    <w:p w14:paraId="0FA0D78E" w14:textId="77777777" w:rsidR="00917FA7" w:rsidRPr="00DA27C1" w:rsidRDefault="00917FA7" w:rsidP="00917FA7">
      <w:pPr>
        <w:rPr>
          <w:color w:val="C45911" w:themeColor="accent2" w:themeShade="BF"/>
        </w:rPr>
      </w:pPr>
      <w:r w:rsidRPr="00DA27C1">
        <w:rPr>
          <w:color w:val="C45911" w:themeColor="accent2" w:themeShade="BF"/>
        </w:rPr>
        <w:t>Una serie temporal es una secuencia de observaciones ordenadas en el tiempo. A diferencia de los conjuntos de datos tabulares estándar, en los que las filas son independientes entre sí, en una serie temporal cada observación está relacionada con las anteriores: la demanda de un mes depende en parte de la del mes anterior, y la confianza de los consumidores en un periodo dado refleja, al menos parcialmente, lo ocurrido en periodos recientes.</w:t>
      </w:r>
    </w:p>
    <w:p w14:paraId="287A1444" w14:textId="77777777" w:rsidR="00917FA7" w:rsidRPr="00DA27C1" w:rsidRDefault="00917FA7" w:rsidP="00917FA7">
      <w:pPr>
        <w:rPr>
          <w:color w:val="C45911" w:themeColor="accent2" w:themeShade="BF"/>
        </w:rPr>
      </w:pPr>
      <w:r w:rsidRPr="00DA27C1">
        <w:rPr>
          <w:color w:val="C45911" w:themeColor="accent2" w:themeShade="BF"/>
        </w:rPr>
        <w:t xml:space="preserve">Desde un punto de vista estadístico, el mecanismo que permite incorporar esa dependencia temporal en un modelo de regresión son los retardos o </w:t>
      </w:r>
      <w:proofErr w:type="spellStart"/>
      <w:r w:rsidRPr="00DA27C1">
        <w:rPr>
          <w:color w:val="C45911" w:themeColor="accent2" w:themeShade="BF"/>
        </w:rPr>
        <w:t>lags</w:t>
      </w:r>
      <w:proofErr w:type="spellEnd"/>
      <w:r w:rsidRPr="00DA27C1">
        <w:rPr>
          <w:color w:val="C45911" w:themeColor="accent2" w:themeShade="BF"/>
        </w:rPr>
        <w:t>. Un retardo de orden k sobre una variable X en el instante t se define como el valor que tomó esa variable k periodos antes:</w:t>
      </w:r>
    </w:p>
    <w:p w14:paraId="6E683896" w14:textId="77777777" w:rsidR="00917FA7" w:rsidRPr="00DA27C1" w:rsidRDefault="00917FA7" w:rsidP="00917FA7">
      <w:pPr>
        <w:rPr>
          <w:color w:val="C45911" w:themeColor="accent2" w:themeShade="BF"/>
        </w:rPr>
      </w:pPr>
      <w:r w:rsidRPr="00DA27C1">
        <w:rPr>
          <w:i/>
          <w:color w:val="C45911" w:themeColor="accent2" w:themeShade="BF"/>
        </w:rPr>
        <w:t>X_{t-k}</w:t>
      </w:r>
    </w:p>
    <w:p w14:paraId="2F4FC210" w14:textId="77777777" w:rsidR="00917FA7" w:rsidRPr="00DA27C1" w:rsidRDefault="00917FA7" w:rsidP="00917FA7">
      <w:pPr>
        <w:rPr>
          <w:color w:val="C45911" w:themeColor="accent2" w:themeShade="BF"/>
        </w:rPr>
      </w:pPr>
      <w:r w:rsidRPr="00DA27C1">
        <w:rPr>
          <w:color w:val="C45911" w:themeColor="accent2" w:themeShade="BF"/>
        </w:rPr>
        <w:t>En este proyecto, los retardos del ICC constituyen las variables predictoras endógenas: ICC_{t}, ICC_{t-1}, ICC_{t-2}, etc., esto es, los valores del propio indicador en meses anteriores. La idea subyacente es que la confianza del consumidor muestra una cierta inercia: su valor presente depende de forma estadísticamente significativa de su valor pasado reciente.</w:t>
      </w:r>
    </w:p>
    <w:p w14:paraId="21D4A520" w14:textId="77777777" w:rsidR="00917FA7" w:rsidRPr="00DA27C1" w:rsidRDefault="00917FA7" w:rsidP="00917FA7">
      <w:pPr>
        <w:rPr>
          <w:color w:val="C45911" w:themeColor="accent2" w:themeShade="BF"/>
        </w:rPr>
      </w:pPr>
      <w:r w:rsidRPr="00DA27C1">
        <w:rPr>
          <w:color w:val="C45911" w:themeColor="accent2" w:themeShade="BF"/>
        </w:rPr>
        <w:t>Junto a las variables endógenas —procedentes de la propia serie objetivo— el modelo puede incorporar variables exógenas, es decir, variables externas que aporten información adicional sobre el proceso que se quiere predecir. En este trabajo, las variables de sentimiento extraídas de las publicaciones digitales institucionales actúan como variables exógenas: no forman parte del ICC, pero pueden contener señales sobre el clima económico percibido que complementan la información histórica de la serie.</w:t>
      </w:r>
    </w:p>
    <w:p w14:paraId="75CF70C6" w14:textId="77777777" w:rsidR="00917FA7" w:rsidRPr="00DA27C1" w:rsidRDefault="00917FA7" w:rsidP="00917FA7">
      <w:pPr>
        <w:rPr>
          <w:color w:val="C45911" w:themeColor="accent2" w:themeShade="BF"/>
        </w:rPr>
      </w:pPr>
      <w:r w:rsidRPr="00DA27C1">
        <w:rPr>
          <w:color w:val="C45911" w:themeColor="accent2" w:themeShade="BF"/>
        </w:rPr>
        <w:t xml:space="preserve">La ventaja de trabajar con retardos es que convierte el problema de predicción de series temporales en un problema de regresión tabular estándar: cada observación mensual pasa a ser una fila del conjunto de datos, y los retardos y variables de sentimiento son las columnas predictoras. Esto permite aplicar </w:t>
      </w:r>
      <w:r w:rsidRPr="00DA27C1">
        <w:rPr>
          <w:color w:val="C45911" w:themeColor="accent2" w:themeShade="BF"/>
        </w:rPr>
        <w:lastRenderedPageBreak/>
        <w:t>directamente algoritmos de aprendizaje automático sin necesidad de recurrir a arquitecturas especializadas en secuencias.</w:t>
      </w:r>
    </w:p>
    <w:p w14:paraId="322645F4" w14:textId="77777777" w:rsidR="00917FA7" w:rsidRPr="00DA27C1" w:rsidRDefault="00917FA7" w:rsidP="00917FA7">
      <w:pPr>
        <w:rPr>
          <w:b/>
          <w:bCs/>
          <w:color w:val="C45911" w:themeColor="accent2" w:themeShade="BF"/>
        </w:rPr>
      </w:pPr>
      <w:r w:rsidRPr="00DA27C1">
        <w:rPr>
          <w:b/>
          <w:bCs/>
          <w:color w:val="C45911" w:themeColor="accent2" w:themeShade="BF"/>
        </w:rPr>
        <w:t>2.4.3. Procesamiento de Lenguaje Natural</w:t>
      </w:r>
    </w:p>
    <w:p w14:paraId="01567C62" w14:textId="77777777" w:rsidR="00917FA7" w:rsidRPr="00DA27C1" w:rsidRDefault="00917FA7" w:rsidP="00917FA7">
      <w:pPr>
        <w:rPr>
          <w:color w:val="C45911" w:themeColor="accent2" w:themeShade="BF"/>
        </w:rPr>
      </w:pPr>
      <w:r w:rsidRPr="00DA27C1">
        <w:rPr>
          <w:color w:val="C45911" w:themeColor="accent2" w:themeShade="BF"/>
        </w:rPr>
        <w:t xml:space="preserve">El Procesamiento de Lenguaje Natural (PLN, o NLP por sus siglas en inglés, Natural </w:t>
      </w:r>
      <w:proofErr w:type="spellStart"/>
      <w:r w:rsidRPr="00DA27C1">
        <w:rPr>
          <w:color w:val="C45911" w:themeColor="accent2" w:themeShade="BF"/>
        </w:rPr>
        <w:t>Language</w:t>
      </w:r>
      <w:proofErr w:type="spellEnd"/>
      <w:r w:rsidRPr="00DA27C1">
        <w:rPr>
          <w:color w:val="C45911" w:themeColor="accent2" w:themeShade="BF"/>
        </w:rPr>
        <w:t xml:space="preserve"> Processing) es la rama de la inteligencia artificial que estudia cómo los ordenadores pueden comprender, interpretar y generar texto humano. Su aportación fundamental al análisis de datos es que permite transformar texto no estructurado —publicaciones en redes sociales, notas de prensa, comunicados institucionales— en variables numéricas que pueden incorporarse a modelos cuantitativos.</w:t>
      </w:r>
    </w:p>
    <w:p w14:paraId="6DEE6DCD" w14:textId="77777777" w:rsidR="00917FA7" w:rsidRPr="00DA27C1" w:rsidRDefault="00917FA7" w:rsidP="00917FA7">
      <w:pPr>
        <w:rPr>
          <w:color w:val="C45911" w:themeColor="accent2" w:themeShade="BF"/>
        </w:rPr>
      </w:pPr>
      <w:r w:rsidRPr="00DA27C1">
        <w:rPr>
          <w:color w:val="C45911" w:themeColor="accent2" w:themeShade="BF"/>
        </w:rPr>
        <w:t>El proceso habitual de preparación del texto antes de aplicar técnicas de NLP incluye las siguientes etapas:</w:t>
      </w:r>
    </w:p>
    <w:p w14:paraId="6EF74622" w14:textId="77777777" w:rsidR="00917FA7" w:rsidRPr="00DA27C1" w:rsidRDefault="00917FA7" w:rsidP="00917FA7">
      <w:pPr>
        <w:rPr>
          <w:color w:val="C45911" w:themeColor="accent2" w:themeShade="BF"/>
        </w:rPr>
      </w:pPr>
      <w:r w:rsidRPr="00DA27C1">
        <w:rPr>
          <w:color w:val="C45911" w:themeColor="accent2" w:themeShade="BF"/>
        </w:rPr>
        <w:t>La limpieza del texto consiste en eliminar elementos que no aportan información semántica: enlaces URL, menciones a usuarios, caracteres especiales, números en ciertos contextos y espacios redundantes. En el caso de publicaciones en redes sociales, también se eliminan habitualmente los hashtags o bien se extraen como campo separado.</w:t>
      </w:r>
    </w:p>
    <w:p w14:paraId="1F4A8B0D" w14:textId="77777777" w:rsidR="00917FA7" w:rsidRPr="00DA27C1" w:rsidRDefault="00917FA7" w:rsidP="00917FA7">
      <w:pPr>
        <w:rPr>
          <w:color w:val="C45911" w:themeColor="accent2" w:themeShade="BF"/>
        </w:rPr>
      </w:pPr>
      <w:r w:rsidRPr="00DA27C1">
        <w:rPr>
          <w:color w:val="C45911" w:themeColor="accent2" w:themeShade="BF"/>
        </w:rPr>
        <w:t xml:space="preserve">La </w:t>
      </w:r>
      <w:proofErr w:type="spellStart"/>
      <w:r w:rsidRPr="00DA27C1">
        <w:rPr>
          <w:color w:val="C45911" w:themeColor="accent2" w:themeShade="BF"/>
        </w:rPr>
        <w:t>tokenización</w:t>
      </w:r>
      <w:proofErr w:type="spellEnd"/>
      <w:r w:rsidRPr="00DA27C1">
        <w:rPr>
          <w:color w:val="C45911" w:themeColor="accent2" w:themeShade="BF"/>
        </w:rPr>
        <w:t xml:space="preserve"> divide el texto en unidades mínimas de análisis, generalmente palabras o </w:t>
      </w:r>
      <w:proofErr w:type="spellStart"/>
      <w:r w:rsidRPr="00DA27C1">
        <w:rPr>
          <w:color w:val="C45911" w:themeColor="accent2" w:themeShade="BF"/>
        </w:rPr>
        <w:t>subpalabras</w:t>
      </w:r>
      <w:proofErr w:type="spellEnd"/>
      <w:r w:rsidRPr="00DA27C1">
        <w:rPr>
          <w:color w:val="C45911" w:themeColor="accent2" w:themeShade="BF"/>
        </w:rPr>
        <w:t>. Esta operación es el punto de partida para la mayoría de los análisis posteriores, pues convierte la cadena de texto en una secuencia de tokens manejables.</w:t>
      </w:r>
    </w:p>
    <w:p w14:paraId="09C53F94" w14:textId="77777777" w:rsidR="00917FA7" w:rsidRPr="00DA27C1" w:rsidRDefault="00917FA7" w:rsidP="00917FA7">
      <w:pPr>
        <w:rPr>
          <w:color w:val="C45911" w:themeColor="accent2" w:themeShade="BF"/>
        </w:rPr>
      </w:pPr>
      <w:r w:rsidRPr="00DA27C1">
        <w:rPr>
          <w:color w:val="C45911" w:themeColor="accent2" w:themeShade="BF"/>
        </w:rPr>
        <w:t xml:space="preserve">La normalización agrupa formas distintas de una misma palabra bajo una representación común. Las técnicas más habituales son la lematización, que reduce cada palabra a su lema o forma canónica (por ejemplo, "aumentaron" → "aumentar"), y el </w:t>
      </w:r>
      <w:proofErr w:type="spellStart"/>
      <w:r w:rsidRPr="00DA27C1">
        <w:rPr>
          <w:color w:val="C45911" w:themeColor="accent2" w:themeShade="BF"/>
        </w:rPr>
        <w:t>stemming</w:t>
      </w:r>
      <w:proofErr w:type="spellEnd"/>
      <w:r w:rsidRPr="00DA27C1">
        <w:rPr>
          <w:color w:val="C45911" w:themeColor="accent2" w:themeShade="BF"/>
        </w:rPr>
        <w:t>, que aplica reglas morfológicas para truncar sufijos.</w:t>
      </w:r>
    </w:p>
    <w:p w14:paraId="6F24B9AD" w14:textId="77777777" w:rsidR="00917FA7" w:rsidRPr="00DA27C1" w:rsidRDefault="00917FA7" w:rsidP="00917FA7">
      <w:pPr>
        <w:rPr>
          <w:color w:val="C45911" w:themeColor="accent2" w:themeShade="BF"/>
        </w:rPr>
      </w:pPr>
      <w:r w:rsidRPr="00DA27C1">
        <w:rPr>
          <w:color w:val="C45911" w:themeColor="accent2" w:themeShade="BF"/>
        </w:rPr>
        <w:t xml:space="preserve">La eliminación de palabras vacías o </w:t>
      </w:r>
      <w:proofErr w:type="spellStart"/>
      <w:r w:rsidRPr="00DA27C1">
        <w:rPr>
          <w:color w:val="C45911" w:themeColor="accent2" w:themeShade="BF"/>
        </w:rPr>
        <w:t>stopwords</w:t>
      </w:r>
      <w:proofErr w:type="spellEnd"/>
      <w:r w:rsidRPr="00DA27C1">
        <w:rPr>
          <w:color w:val="C45911" w:themeColor="accent2" w:themeShade="BF"/>
        </w:rPr>
        <w:t xml:space="preserve"> suprime términos de alta frecuencia pero escaso contenido semántico, como artículos, preposiciones o conjunciones, cuya presencia dificultaría el análisis.</w:t>
      </w:r>
    </w:p>
    <w:p w14:paraId="6EF4026D" w14:textId="77777777" w:rsidR="00917FA7" w:rsidRPr="00DA27C1" w:rsidRDefault="00917FA7" w:rsidP="00917FA7">
      <w:pPr>
        <w:rPr>
          <w:color w:val="C45911" w:themeColor="accent2" w:themeShade="BF"/>
        </w:rPr>
      </w:pPr>
      <w:r w:rsidRPr="00DA27C1">
        <w:rPr>
          <w:color w:val="C45911" w:themeColor="accent2" w:themeShade="BF"/>
        </w:rPr>
        <w:t xml:space="preserve">Una vez procesado el texto, es posible extraer características cuantitativas: frecuencias de términos, puntuaciones de polaridad, proporciones de contenido positivo o negativo, o </w:t>
      </w:r>
      <w:proofErr w:type="spellStart"/>
      <w:r w:rsidRPr="00DA27C1">
        <w:rPr>
          <w:color w:val="C45911" w:themeColor="accent2" w:themeShade="BF"/>
        </w:rPr>
        <w:t>embeddings</w:t>
      </w:r>
      <w:proofErr w:type="spellEnd"/>
      <w:r w:rsidRPr="00DA27C1">
        <w:rPr>
          <w:color w:val="C45911" w:themeColor="accent2" w:themeShade="BF"/>
        </w:rPr>
        <w:t xml:space="preserve"> vectoriales que representan el significado semántico. En este proyecto, el resultado del procesamiento NLP son variables agregadas mensualmente que actúan como señales del tono económico presente en las publicaciones institucionales analizadas.</w:t>
      </w:r>
    </w:p>
    <w:p w14:paraId="220E150C" w14:textId="77777777" w:rsidR="00917FA7" w:rsidRPr="00DA27C1" w:rsidRDefault="00917FA7" w:rsidP="00917FA7">
      <w:pPr>
        <w:rPr>
          <w:b/>
          <w:bCs/>
          <w:color w:val="C45911" w:themeColor="accent2" w:themeShade="BF"/>
        </w:rPr>
      </w:pPr>
      <w:r w:rsidRPr="00DA27C1">
        <w:rPr>
          <w:b/>
          <w:bCs/>
          <w:color w:val="C45911" w:themeColor="accent2" w:themeShade="BF"/>
        </w:rPr>
        <w:t>2.4.4. Análisis de sentimiento</w:t>
      </w:r>
    </w:p>
    <w:p w14:paraId="114A342B" w14:textId="77777777" w:rsidR="00917FA7" w:rsidRPr="00DA27C1" w:rsidRDefault="00917FA7" w:rsidP="00917FA7">
      <w:pPr>
        <w:rPr>
          <w:color w:val="C45911" w:themeColor="accent2" w:themeShade="BF"/>
        </w:rPr>
      </w:pPr>
      <w:r w:rsidRPr="00DA27C1">
        <w:rPr>
          <w:color w:val="C45911" w:themeColor="accent2" w:themeShade="BF"/>
        </w:rPr>
        <w:t>El análisis de sentimiento es una aplicación específica del NLP orientada a determinar la orientación emocional o valorativa de un texto: si expresa una visión positiva, negativa o neutra sobre un tema concreto. Se trata de uno de los enfoques más extendidos en el análisis de redes sociales, encuestas de opinión y monitorización de medios.</w:t>
      </w:r>
    </w:p>
    <w:p w14:paraId="66C0220C" w14:textId="77777777" w:rsidR="00917FA7" w:rsidRPr="00DA27C1" w:rsidRDefault="00917FA7" w:rsidP="00917FA7">
      <w:pPr>
        <w:rPr>
          <w:color w:val="C45911" w:themeColor="accent2" w:themeShade="BF"/>
        </w:rPr>
      </w:pPr>
      <w:r w:rsidRPr="00DA27C1">
        <w:rPr>
          <w:color w:val="C45911" w:themeColor="accent2" w:themeShade="BF"/>
        </w:rPr>
        <w:t xml:space="preserve">El concepto central es el de polaridad, que se define como una puntuación numérica asignada a cada texto o fragmento de texto que refleja su orientación emocional. Convencionalmente, los valores positivos de polaridad indican un tono favorable </w:t>
      </w:r>
      <w:proofErr w:type="spellStart"/>
      <w:r w:rsidRPr="00DA27C1">
        <w:rPr>
          <w:color w:val="C45911" w:themeColor="accent2" w:themeShade="BF"/>
        </w:rPr>
        <w:t>o</w:t>
      </w:r>
      <w:proofErr w:type="spellEnd"/>
      <w:r w:rsidRPr="00DA27C1">
        <w:rPr>
          <w:color w:val="C45911" w:themeColor="accent2" w:themeShade="BF"/>
        </w:rPr>
        <w:t xml:space="preserve"> optimista, los valores negativos reflejan un tono desfavorable o pesimista, y los valores próximos a cero corresponden a textos neutros o ambivalentes. La escala de polaridad depende del método empleado: algunos sistemas la definen entre −1 y +1, otros entre 0 y 1.</w:t>
      </w:r>
    </w:p>
    <w:p w14:paraId="73E70AAF" w14:textId="77777777" w:rsidR="00917FA7" w:rsidRPr="00DA27C1" w:rsidRDefault="00917FA7" w:rsidP="00917FA7">
      <w:pPr>
        <w:rPr>
          <w:color w:val="C45911" w:themeColor="accent2" w:themeShade="BF"/>
        </w:rPr>
      </w:pPr>
      <w:r w:rsidRPr="00DA27C1">
        <w:rPr>
          <w:color w:val="C45911" w:themeColor="accent2" w:themeShade="BF"/>
        </w:rPr>
        <w:lastRenderedPageBreak/>
        <w:t>Existen dos grandes familias de métodos para calcular la polaridad. Los métodos basados en léxico o diccionario asignan puntuaciones predefinidas a cada palabra del vocabulario y agregan esas puntuaciones para obtener la polaridad global del texto. Son transparentes e interpretables, aunque su rendimiento puede verse afectado por la ironía, el contexto o el vocabulario específico del dominio. Los métodos basados en aprendizaje automático, por su parte, aprenden a clasificar textos a partir de ejemplos etiquetados y suelen alcanzar mejor rendimiento en dominios específicos, aunque requieren datos de entrenamiento.</w:t>
      </w:r>
    </w:p>
    <w:p w14:paraId="0191E419" w14:textId="77777777" w:rsidR="00917FA7" w:rsidRPr="00DA27C1" w:rsidRDefault="00917FA7" w:rsidP="00917FA7">
      <w:pPr>
        <w:rPr>
          <w:color w:val="C45911" w:themeColor="accent2" w:themeShade="BF"/>
        </w:rPr>
      </w:pPr>
      <w:r w:rsidRPr="00DA27C1">
        <w:rPr>
          <w:color w:val="C45911" w:themeColor="accent2" w:themeShade="BF"/>
        </w:rPr>
        <w:t>En este proyecto, el sentimiento se calcula sobre publicaciones digitales procedentes de la cuenta institucional del Ministerio de Economía, Comercio y Empresa en redes sociales, y se agrega mensualmente. Las variables que resultan de este proceso son la polaridad media de las publicaciones del mes, la proporción de textos con polaridad positiva, la proporción de textos con polaridad negativa y el volumen total de publicaciones. Estas variables se interpretan como una señal aproximada del tono con que las instituciones comunican la situación económica, no como una medida directa ni perfecta del estado real de la economía. Su utilidad reside en que pueden anticipar o reflejar cambios en la percepción ciudadana que el ICC capta con cierto retardo.</w:t>
      </w:r>
    </w:p>
    <w:p w14:paraId="54E844C2" w14:textId="77777777" w:rsidR="00917FA7" w:rsidRPr="00DA27C1" w:rsidRDefault="00917FA7" w:rsidP="00917FA7">
      <w:pPr>
        <w:rPr>
          <w:b/>
          <w:bCs/>
          <w:color w:val="C45911" w:themeColor="accent2" w:themeShade="BF"/>
        </w:rPr>
      </w:pPr>
      <w:r w:rsidRPr="00DA27C1">
        <w:rPr>
          <w:b/>
          <w:bCs/>
          <w:color w:val="C45911" w:themeColor="accent2" w:themeShade="BF"/>
        </w:rPr>
        <w:t>2.4.5. Modelos predictivos de regresión</w:t>
      </w:r>
    </w:p>
    <w:p w14:paraId="6DA2B0B9" w14:textId="77777777" w:rsidR="00917FA7" w:rsidRPr="00DA27C1" w:rsidRDefault="00917FA7" w:rsidP="00917FA7">
      <w:pPr>
        <w:rPr>
          <w:color w:val="C45911" w:themeColor="accent2" w:themeShade="BF"/>
        </w:rPr>
      </w:pPr>
      <w:r w:rsidRPr="00DA27C1">
        <w:rPr>
          <w:color w:val="C45911" w:themeColor="accent2" w:themeShade="BF"/>
        </w:rPr>
        <w:t>El problema de este proyecto es un problema de regresión: se trata de predecir un valor numérico continuo —el ICC del mes siguiente— a partir de un conjunto de variables predictoras históricas y de sentimiento. A continuación se describen los tres tipos de modelo planteados en el proyecto.</w:t>
      </w:r>
    </w:p>
    <w:p w14:paraId="1562A43E" w14:textId="77777777" w:rsidR="00917FA7" w:rsidRPr="00DA27C1" w:rsidRDefault="00917FA7" w:rsidP="00917FA7">
      <w:pPr>
        <w:rPr>
          <w:b/>
          <w:bCs/>
          <w:color w:val="C45911" w:themeColor="accent2" w:themeShade="BF"/>
        </w:rPr>
      </w:pPr>
      <w:r w:rsidRPr="00DA27C1">
        <w:rPr>
          <w:b/>
          <w:bCs/>
          <w:color w:val="C45911" w:themeColor="accent2" w:themeShade="BF"/>
        </w:rPr>
        <w:t>Regresión lineal múltiple</w:t>
      </w:r>
    </w:p>
    <w:p w14:paraId="04439BE5" w14:textId="77777777" w:rsidR="00917FA7" w:rsidRPr="00DA27C1" w:rsidRDefault="00917FA7" w:rsidP="00917FA7">
      <w:pPr>
        <w:rPr>
          <w:color w:val="C45911" w:themeColor="accent2" w:themeShade="BF"/>
        </w:rPr>
      </w:pPr>
      <w:r w:rsidRPr="00DA27C1">
        <w:rPr>
          <w:color w:val="C45911" w:themeColor="accent2" w:themeShade="BF"/>
        </w:rPr>
        <w:t xml:space="preserve">La regresión lineal es el modelo de referencia o </w:t>
      </w:r>
      <w:proofErr w:type="spellStart"/>
      <w:r w:rsidRPr="00DA27C1">
        <w:rPr>
          <w:color w:val="C45911" w:themeColor="accent2" w:themeShade="BF"/>
        </w:rPr>
        <w:t>baseline</w:t>
      </w:r>
      <w:proofErr w:type="spellEnd"/>
      <w:r w:rsidRPr="00DA27C1">
        <w:rPr>
          <w:color w:val="C45911" w:themeColor="accent2" w:themeShade="BF"/>
        </w:rPr>
        <w:t xml:space="preserve"> del proyecto. Asume que la variable objetivo puede expresarse como una combinación lineal ponderada de las variables predictoras más un término de error:</w:t>
      </w:r>
    </w:p>
    <w:p w14:paraId="30C04A9A" w14:textId="77777777" w:rsidR="00917FA7" w:rsidRPr="00DA27C1" w:rsidRDefault="00917FA7" w:rsidP="00917FA7">
      <w:pPr>
        <w:rPr>
          <w:color w:val="C45911" w:themeColor="accent2" w:themeShade="BF"/>
        </w:rPr>
      </w:pPr>
      <w:r w:rsidRPr="00DA27C1">
        <w:rPr>
          <w:i/>
          <w:color w:val="C45911" w:themeColor="accent2" w:themeShade="BF"/>
        </w:rPr>
        <w:t xml:space="preserve">ICC_{t+1} = </w:t>
      </w:r>
      <w:r w:rsidRPr="00DA27C1">
        <w:rPr>
          <w:i/>
          <w:color w:val="C45911" w:themeColor="accent2" w:themeShade="BF"/>
          <w:lang w:val="en-US"/>
        </w:rPr>
        <w:t>β</w:t>
      </w:r>
      <w:r w:rsidRPr="00DA27C1">
        <w:rPr>
          <w:i/>
          <w:color w:val="C45911" w:themeColor="accent2" w:themeShade="BF"/>
        </w:rPr>
        <w:t xml:space="preserve">₀ + </w:t>
      </w:r>
      <w:r w:rsidRPr="00DA27C1">
        <w:rPr>
          <w:i/>
          <w:color w:val="C45911" w:themeColor="accent2" w:themeShade="BF"/>
          <w:lang w:val="en-US"/>
        </w:rPr>
        <w:t>β</w:t>
      </w:r>
      <w:r w:rsidRPr="00DA27C1">
        <w:rPr>
          <w:i/>
          <w:color w:val="C45911" w:themeColor="accent2" w:themeShade="BF"/>
        </w:rPr>
        <w:t>₁·</w:t>
      </w:r>
      <w:proofErr w:type="spellStart"/>
      <w:r w:rsidRPr="00DA27C1">
        <w:rPr>
          <w:i/>
          <w:color w:val="C45911" w:themeColor="accent2" w:themeShade="BF"/>
        </w:rPr>
        <w:t>ICC_t</w:t>
      </w:r>
      <w:proofErr w:type="spellEnd"/>
      <w:r w:rsidRPr="00DA27C1">
        <w:rPr>
          <w:i/>
          <w:color w:val="C45911" w:themeColor="accent2" w:themeShade="BF"/>
        </w:rPr>
        <w:t xml:space="preserve"> + </w:t>
      </w:r>
      <w:r w:rsidRPr="00DA27C1">
        <w:rPr>
          <w:i/>
          <w:color w:val="C45911" w:themeColor="accent2" w:themeShade="BF"/>
          <w:lang w:val="en-US"/>
        </w:rPr>
        <w:t>β</w:t>
      </w:r>
      <w:r w:rsidRPr="00DA27C1">
        <w:rPr>
          <w:i/>
          <w:color w:val="C45911" w:themeColor="accent2" w:themeShade="BF"/>
        </w:rPr>
        <w:t xml:space="preserve">₂·ICC_{t-1} + ... + </w:t>
      </w:r>
      <w:r w:rsidRPr="00DA27C1">
        <w:rPr>
          <w:i/>
          <w:color w:val="C45911" w:themeColor="accent2" w:themeShade="BF"/>
          <w:lang w:val="en-US"/>
        </w:rPr>
        <w:t>β</w:t>
      </w:r>
      <w:r w:rsidRPr="00DA27C1">
        <w:rPr>
          <w:i/>
          <w:color w:val="C45911" w:themeColor="accent2" w:themeShade="BF"/>
        </w:rPr>
        <w:t xml:space="preserve">ₖ·Xₖ + </w:t>
      </w:r>
      <w:r w:rsidRPr="00DA27C1">
        <w:rPr>
          <w:i/>
          <w:color w:val="C45911" w:themeColor="accent2" w:themeShade="BF"/>
          <w:lang w:val="en-US"/>
        </w:rPr>
        <w:t>ε</w:t>
      </w:r>
    </w:p>
    <w:p w14:paraId="5BFAC871" w14:textId="77777777" w:rsidR="00917FA7" w:rsidRPr="00DA27C1" w:rsidRDefault="00917FA7" w:rsidP="00917FA7">
      <w:pPr>
        <w:rPr>
          <w:color w:val="C45911" w:themeColor="accent2" w:themeShade="BF"/>
        </w:rPr>
      </w:pPr>
      <w:r w:rsidRPr="00DA27C1">
        <w:rPr>
          <w:color w:val="C45911" w:themeColor="accent2" w:themeShade="BF"/>
        </w:rPr>
        <w:t>En esta expresión, Xₖ representa el conjunto de variables exógenas incorporadas al modelo, entre ellas las variables de sentimiento económico agregadas por periodo.</w:t>
      </w:r>
    </w:p>
    <w:p w14:paraId="3EE8705E" w14:textId="77777777" w:rsidR="00917FA7" w:rsidRPr="00DA27C1" w:rsidRDefault="00917FA7" w:rsidP="00917FA7">
      <w:pPr>
        <w:rPr>
          <w:color w:val="C45911" w:themeColor="accent2" w:themeShade="BF"/>
        </w:rPr>
      </w:pPr>
      <w:r w:rsidRPr="00DA27C1">
        <w:rPr>
          <w:color w:val="C45911" w:themeColor="accent2" w:themeShade="BF"/>
        </w:rPr>
        <w:t xml:space="preserve">Los coeficientes </w:t>
      </w:r>
      <w:r w:rsidRPr="00DA27C1">
        <w:rPr>
          <w:color w:val="C45911" w:themeColor="accent2" w:themeShade="BF"/>
          <w:lang w:val="en-US"/>
        </w:rPr>
        <w:t>β</w:t>
      </w:r>
      <w:r w:rsidRPr="00DA27C1">
        <w:rPr>
          <w:color w:val="C45911" w:themeColor="accent2" w:themeShade="BF"/>
        </w:rPr>
        <w:t xml:space="preserve"> se estiman por mínimos cuadrados ordinarios, minimizando la suma de los errores al cuadrado. Su principal virtud es la interpretabilidad: cada coeficiente cuantifica el efecto marginal de la variable correspondiente sobre la predicción, manteniendo el resto constante. Actúa como punto de comparación para evaluar si los modelos más complejos aportan una mejora sustancial en la predicción.</w:t>
      </w:r>
    </w:p>
    <w:p w14:paraId="762B8D67" w14:textId="77777777" w:rsidR="00917FA7" w:rsidRPr="00DA27C1" w:rsidRDefault="00917FA7" w:rsidP="00917FA7">
      <w:pPr>
        <w:rPr>
          <w:b/>
          <w:bCs/>
          <w:color w:val="C45911" w:themeColor="accent2" w:themeShade="BF"/>
        </w:rPr>
      </w:pPr>
      <w:r w:rsidRPr="00DA27C1">
        <w:rPr>
          <w:b/>
          <w:bCs/>
          <w:color w:val="C45911" w:themeColor="accent2" w:themeShade="BF"/>
        </w:rPr>
        <w:t xml:space="preserve">Random Forest </w:t>
      </w:r>
      <w:proofErr w:type="spellStart"/>
      <w:r w:rsidRPr="00DA27C1">
        <w:rPr>
          <w:b/>
          <w:bCs/>
          <w:color w:val="C45911" w:themeColor="accent2" w:themeShade="BF"/>
        </w:rPr>
        <w:t>Regressor</w:t>
      </w:r>
      <w:proofErr w:type="spellEnd"/>
    </w:p>
    <w:p w14:paraId="7FDC9EA7" w14:textId="77777777" w:rsidR="00917FA7" w:rsidRPr="00DA27C1" w:rsidRDefault="00917FA7" w:rsidP="00917FA7">
      <w:pPr>
        <w:rPr>
          <w:color w:val="C45911" w:themeColor="accent2" w:themeShade="BF"/>
        </w:rPr>
      </w:pPr>
      <w:r w:rsidRPr="00DA27C1">
        <w:rPr>
          <w:color w:val="C45911" w:themeColor="accent2" w:themeShade="BF"/>
        </w:rPr>
        <w:t>Random Forest es un modelo de ensamble basado en la combinación de múltiples árboles de decisión entrenados en paralelo sobre subconjuntos aleatorios de los datos y las variables (</w:t>
      </w:r>
      <w:proofErr w:type="spellStart"/>
      <w:r w:rsidRPr="00DA27C1">
        <w:rPr>
          <w:color w:val="C45911" w:themeColor="accent2" w:themeShade="BF"/>
        </w:rPr>
        <w:t>bagging</w:t>
      </w:r>
      <w:proofErr w:type="spellEnd"/>
      <w:r w:rsidRPr="00DA27C1">
        <w:rPr>
          <w:color w:val="C45911" w:themeColor="accent2" w:themeShade="BF"/>
        </w:rPr>
        <w:t>). La predicción final es el promedio de las predicciones de todos los árboles individuales. Este mecanismo reduce la varianza del modelo sin incrementar el sesgo de forma significativa, lo que lo hace especialmente robusto frente al sobreajuste.</w:t>
      </w:r>
    </w:p>
    <w:p w14:paraId="4DBF5EC9" w14:textId="77777777" w:rsidR="00917FA7" w:rsidRPr="00DA27C1" w:rsidRDefault="00917FA7" w:rsidP="00917FA7">
      <w:pPr>
        <w:rPr>
          <w:color w:val="C45911" w:themeColor="accent2" w:themeShade="BF"/>
        </w:rPr>
      </w:pPr>
      <w:r w:rsidRPr="00DA27C1">
        <w:rPr>
          <w:color w:val="C45911" w:themeColor="accent2" w:themeShade="BF"/>
        </w:rPr>
        <w:t>Random Forest es adecuado para este problema porque puede capturar relaciones no lineales entre las variables predictoras y el ICC, maneja bien la colinealidad entre retardos y variables de sentimiento, y proporciona una medida de importancia de variables que facilita la interpretación de qué señales contribuyen más a la predicción. Al tratarse de un modelo tabular, no requiere suposiciones sobre la distribución de los errores ni sobre la forma funcional de las relaciones.</w:t>
      </w:r>
    </w:p>
    <w:p w14:paraId="41A41112" w14:textId="77777777" w:rsidR="00917FA7" w:rsidRPr="00DA27C1" w:rsidRDefault="00917FA7" w:rsidP="00917FA7">
      <w:pPr>
        <w:rPr>
          <w:b/>
          <w:bCs/>
          <w:color w:val="C45911" w:themeColor="accent2" w:themeShade="BF"/>
        </w:rPr>
      </w:pPr>
      <w:proofErr w:type="spellStart"/>
      <w:r w:rsidRPr="00DA27C1">
        <w:rPr>
          <w:b/>
          <w:bCs/>
          <w:color w:val="C45911" w:themeColor="accent2" w:themeShade="BF"/>
        </w:rPr>
        <w:lastRenderedPageBreak/>
        <w:t>XGBoost</w:t>
      </w:r>
      <w:proofErr w:type="spellEnd"/>
      <w:r w:rsidRPr="00DA27C1">
        <w:rPr>
          <w:b/>
          <w:bCs/>
          <w:color w:val="C45911" w:themeColor="accent2" w:themeShade="BF"/>
        </w:rPr>
        <w:t xml:space="preserve"> </w:t>
      </w:r>
      <w:proofErr w:type="spellStart"/>
      <w:r w:rsidRPr="00DA27C1">
        <w:rPr>
          <w:b/>
          <w:bCs/>
          <w:color w:val="C45911" w:themeColor="accent2" w:themeShade="BF"/>
        </w:rPr>
        <w:t>Regressor</w:t>
      </w:r>
      <w:proofErr w:type="spellEnd"/>
    </w:p>
    <w:p w14:paraId="4E2FC764" w14:textId="77777777" w:rsidR="00917FA7" w:rsidRPr="00DA27C1" w:rsidRDefault="00917FA7" w:rsidP="00917FA7">
      <w:pPr>
        <w:rPr>
          <w:color w:val="C45911" w:themeColor="accent2" w:themeShade="BF"/>
        </w:rPr>
      </w:pPr>
      <w:proofErr w:type="spellStart"/>
      <w:r w:rsidRPr="00DA27C1">
        <w:rPr>
          <w:color w:val="C45911" w:themeColor="accent2" w:themeShade="BF"/>
        </w:rPr>
        <w:t>XGBoost</w:t>
      </w:r>
      <w:proofErr w:type="spellEnd"/>
      <w:r w:rsidRPr="00DA27C1">
        <w:rPr>
          <w:color w:val="C45911" w:themeColor="accent2" w:themeShade="BF"/>
        </w:rPr>
        <w:t xml:space="preserve"> (Extreme </w:t>
      </w:r>
      <w:proofErr w:type="spellStart"/>
      <w:r w:rsidRPr="00DA27C1">
        <w:rPr>
          <w:color w:val="C45911" w:themeColor="accent2" w:themeShade="BF"/>
        </w:rPr>
        <w:t>Gradient</w:t>
      </w:r>
      <w:proofErr w:type="spellEnd"/>
      <w:r w:rsidRPr="00DA27C1">
        <w:rPr>
          <w:color w:val="C45911" w:themeColor="accent2" w:themeShade="BF"/>
        </w:rPr>
        <w:t xml:space="preserve"> </w:t>
      </w:r>
      <w:proofErr w:type="spellStart"/>
      <w:r w:rsidRPr="00DA27C1">
        <w:rPr>
          <w:color w:val="C45911" w:themeColor="accent2" w:themeShade="BF"/>
        </w:rPr>
        <w:t>Boosting</w:t>
      </w:r>
      <w:proofErr w:type="spellEnd"/>
      <w:r w:rsidRPr="00DA27C1">
        <w:rPr>
          <w:color w:val="C45911" w:themeColor="accent2" w:themeShade="BF"/>
        </w:rPr>
        <w:t xml:space="preserve">) es un modelo de </w:t>
      </w:r>
      <w:proofErr w:type="spellStart"/>
      <w:r w:rsidRPr="00DA27C1">
        <w:rPr>
          <w:color w:val="C45911" w:themeColor="accent2" w:themeShade="BF"/>
        </w:rPr>
        <w:t>boosting</w:t>
      </w:r>
      <w:proofErr w:type="spellEnd"/>
      <w:r w:rsidRPr="00DA27C1">
        <w:rPr>
          <w:color w:val="C45911" w:themeColor="accent2" w:themeShade="BF"/>
        </w:rPr>
        <w:t xml:space="preserve"> basado en árboles de decisión. A diferencia de Random Forest, que construye los árboles en paralelo, </w:t>
      </w:r>
      <w:proofErr w:type="spellStart"/>
      <w:r w:rsidRPr="00DA27C1">
        <w:rPr>
          <w:color w:val="C45911" w:themeColor="accent2" w:themeShade="BF"/>
        </w:rPr>
        <w:t>XGBoost</w:t>
      </w:r>
      <w:proofErr w:type="spellEnd"/>
      <w:r w:rsidRPr="00DA27C1">
        <w:rPr>
          <w:color w:val="C45911" w:themeColor="accent2" w:themeShade="BF"/>
        </w:rPr>
        <w:t xml:space="preserve"> los construye de forma secuencial: cada árbol nuevo se entrena para corregir los errores residuales del modelo anterior, de modo que el conjunto converge hacia una solución que minimiza una función de pérdida con regularización.</w:t>
      </w:r>
    </w:p>
    <w:p w14:paraId="1A0117BB" w14:textId="77777777" w:rsidR="00917FA7" w:rsidRPr="00DA27C1" w:rsidRDefault="00917FA7" w:rsidP="00917FA7">
      <w:pPr>
        <w:rPr>
          <w:color w:val="C45911" w:themeColor="accent2" w:themeShade="BF"/>
        </w:rPr>
      </w:pPr>
      <w:proofErr w:type="spellStart"/>
      <w:r w:rsidRPr="00DA27C1">
        <w:rPr>
          <w:color w:val="C45911" w:themeColor="accent2" w:themeShade="BF"/>
        </w:rPr>
        <w:t>XGBoost</w:t>
      </w:r>
      <w:proofErr w:type="spellEnd"/>
      <w:r w:rsidRPr="00DA27C1">
        <w:rPr>
          <w:color w:val="C45911" w:themeColor="accent2" w:themeShade="BF"/>
        </w:rPr>
        <w:t xml:space="preserve"> es conocido por su alto rendimiento predictivo en problemas de aprendizaje automático sobre datos tabulares, y ha demostrado ser competitivo en una amplia variedad de contextos de regresión. Incorpora mecanismos de regularización L1 y L2 que reducen el riesgo de sobreajuste, y su implementación está optimizada para ser computacionalmente eficiente. Su principal limitación respecto a la regresión lineal es la menor interpretabilidad directa, aunque dispone igualmente de métricas de importancia de variables.</w:t>
      </w:r>
    </w:p>
    <w:p w14:paraId="36F81097" w14:textId="77777777" w:rsidR="00917FA7" w:rsidRPr="00DA27C1" w:rsidRDefault="00917FA7" w:rsidP="00917FA7">
      <w:pPr>
        <w:rPr>
          <w:color w:val="C45911" w:themeColor="accent2" w:themeShade="BF"/>
        </w:rPr>
      </w:pPr>
      <w:r w:rsidRPr="00DA27C1">
        <w:rPr>
          <w:color w:val="C45911" w:themeColor="accent2" w:themeShade="BF"/>
        </w:rPr>
        <w:t xml:space="preserve">Los tres modelos —regresión lineal, Random Forest y </w:t>
      </w:r>
      <w:proofErr w:type="spellStart"/>
      <w:r w:rsidRPr="00DA27C1">
        <w:rPr>
          <w:color w:val="C45911" w:themeColor="accent2" w:themeShade="BF"/>
        </w:rPr>
        <w:t>XGBoost</w:t>
      </w:r>
      <w:proofErr w:type="spellEnd"/>
      <w:r w:rsidRPr="00DA27C1">
        <w:rPr>
          <w:color w:val="C45911" w:themeColor="accent2" w:themeShade="BF"/>
        </w:rPr>
        <w:t>— son adecuados para un problema de regresión tabular con las características del presente proyecto: número moderado de variables predictoras, posibles relaciones no lineales entre retardos y variable objetivo, y combinación de variables endógenas (retardos del ICC) con variables exógenas (sentimiento).</w:t>
      </w:r>
    </w:p>
    <w:p w14:paraId="65A13869" w14:textId="77777777" w:rsidR="00917FA7" w:rsidRPr="00DA27C1" w:rsidRDefault="00917FA7" w:rsidP="00917FA7">
      <w:pPr>
        <w:rPr>
          <w:b/>
          <w:bCs/>
          <w:color w:val="C45911" w:themeColor="accent2" w:themeShade="BF"/>
        </w:rPr>
      </w:pPr>
      <w:r w:rsidRPr="00DA27C1">
        <w:rPr>
          <w:b/>
          <w:bCs/>
          <w:color w:val="C45911" w:themeColor="accent2" w:themeShade="BF"/>
        </w:rPr>
        <w:t>2.4.6. Métricas de evaluación: MAE, RMSE, MAPE y R²</w:t>
      </w:r>
    </w:p>
    <w:p w14:paraId="74FDFFE3" w14:textId="77777777" w:rsidR="00917FA7" w:rsidRPr="00DA27C1" w:rsidRDefault="00917FA7" w:rsidP="00917FA7">
      <w:pPr>
        <w:rPr>
          <w:color w:val="C45911" w:themeColor="accent2" w:themeShade="BF"/>
        </w:rPr>
      </w:pPr>
      <w:r w:rsidRPr="00DA27C1">
        <w:rPr>
          <w:color w:val="C45911" w:themeColor="accent2" w:themeShade="BF"/>
        </w:rPr>
        <w:t>La evaluación rigurosa de los modelos predictivos requiere el uso de métricas cuantitativas que permitan comparar el rendimiento de distintas aproximaciones de forma objetiva. En problemas de regresión, las métricas más habituales son el error absoluto medio, la raíz del error cuadrático medio, el error porcentual absoluto medio y el coeficiente de determinación. A continuación se describe cada una de ellas.</w:t>
      </w:r>
    </w:p>
    <w:p w14:paraId="4F4EAF4F" w14:textId="77777777" w:rsidR="00917FA7" w:rsidRPr="00DA27C1" w:rsidRDefault="00917FA7" w:rsidP="00917FA7">
      <w:pPr>
        <w:rPr>
          <w:b/>
          <w:bCs/>
          <w:color w:val="C45911" w:themeColor="accent2" w:themeShade="BF"/>
        </w:rPr>
      </w:pPr>
      <w:r w:rsidRPr="00DA27C1">
        <w:rPr>
          <w:b/>
          <w:bCs/>
          <w:color w:val="C45911" w:themeColor="accent2" w:themeShade="BF"/>
        </w:rPr>
        <w:t>Error Absoluto Medio (MAE, Mean Absolute Error)</w:t>
      </w:r>
    </w:p>
    <w:p w14:paraId="18A84FAE" w14:textId="77777777" w:rsidR="00917FA7" w:rsidRPr="00DA27C1" w:rsidRDefault="00917FA7" w:rsidP="00917FA7">
      <w:pPr>
        <w:rPr>
          <w:color w:val="C45911" w:themeColor="accent2" w:themeShade="BF"/>
        </w:rPr>
      </w:pPr>
      <w:r w:rsidRPr="00DA27C1">
        <w:rPr>
          <w:color w:val="C45911" w:themeColor="accent2" w:themeShade="BF"/>
        </w:rPr>
        <w:t>El MAE mide el promedio de los errores absolutos entre los valores predichos y los valores reales:</w:t>
      </w:r>
    </w:p>
    <w:p w14:paraId="0C0581DB" w14:textId="77777777" w:rsidR="00917FA7" w:rsidRPr="00DA27C1" w:rsidRDefault="00917FA7" w:rsidP="00917FA7">
      <w:pPr>
        <w:rPr>
          <w:color w:val="C45911" w:themeColor="accent2" w:themeShade="BF"/>
        </w:rPr>
      </w:pPr>
      <w:r w:rsidRPr="00DA27C1">
        <w:rPr>
          <w:i/>
          <w:color w:val="C45911" w:themeColor="accent2" w:themeShade="BF"/>
        </w:rPr>
        <w:t xml:space="preserve">MAE = (1/n) · </w:t>
      </w:r>
      <w:r w:rsidRPr="00DA27C1">
        <w:rPr>
          <w:i/>
          <w:color w:val="C45911" w:themeColor="accent2" w:themeShade="BF"/>
          <w:lang w:val="en-US"/>
        </w:rPr>
        <w:t>Σ</w:t>
      </w:r>
      <w:r w:rsidRPr="00DA27C1">
        <w:rPr>
          <w:i/>
          <w:color w:val="C45911" w:themeColor="accent2" w:themeShade="BF"/>
        </w:rPr>
        <w:t xml:space="preserve"> |y</w:t>
      </w:r>
      <w:r w:rsidRPr="00DA27C1">
        <w:rPr>
          <w:i/>
          <w:color w:val="C45911" w:themeColor="accent2" w:themeShade="BF"/>
          <w:lang w:val="en-US"/>
        </w:rPr>
        <w:t>ᵢ</w:t>
      </w:r>
      <w:r w:rsidRPr="00DA27C1">
        <w:rPr>
          <w:i/>
          <w:color w:val="C45911" w:themeColor="accent2" w:themeShade="BF"/>
        </w:rPr>
        <w:t xml:space="preserve"> - ŷ</w:t>
      </w:r>
      <w:r w:rsidRPr="00DA27C1">
        <w:rPr>
          <w:i/>
          <w:color w:val="C45911" w:themeColor="accent2" w:themeShade="BF"/>
          <w:lang w:val="en-US"/>
        </w:rPr>
        <w:t>ᵢ</w:t>
      </w:r>
      <w:r w:rsidRPr="00DA27C1">
        <w:rPr>
          <w:i/>
          <w:color w:val="C45911" w:themeColor="accent2" w:themeShade="BF"/>
        </w:rPr>
        <w:t>|</w:t>
      </w:r>
    </w:p>
    <w:p w14:paraId="4A537883" w14:textId="77777777" w:rsidR="00917FA7" w:rsidRPr="00DA27C1" w:rsidRDefault="00917FA7" w:rsidP="00917FA7">
      <w:pPr>
        <w:rPr>
          <w:color w:val="C45911" w:themeColor="accent2" w:themeShade="BF"/>
        </w:rPr>
      </w:pPr>
      <w:r w:rsidRPr="00DA27C1">
        <w:rPr>
          <w:color w:val="C45911" w:themeColor="accent2" w:themeShade="BF"/>
        </w:rPr>
        <w:t>Su interpretación es directa: representa el error medio de predicción en las mismas unidades que la variable objetivo. Es robusto frente a valores atípicos porque no penaliza de forma desproporcionada los errores grandes. Un MAE de 2 puntos en el ICC significa que, en promedio, la predicción se desvía 2 unidades del valor real.</w:t>
      </w:r>
    </w:p>
    <w:p w14:paraId="7F431E24" w14:textId="77777777" w:rsidR="00917FA7" w:rsidRPr="00DA27C1" w:rsidRDefault="00917FA7" w:rsidP="00917FA7">
      <w:pPr>
        <w:rPr>
          <w:b/>
          <w:bCs/>
          <w:color w:val="C45911" w:themeColor="accent2" w:themeShade="BF"/>
        </w:rPr>
      </w:pPr>
      <w:r w:rsidRPr="00DA27C1">
        <w:rPr>
          <w:b/>
          <w:bCs/>
          <w:color w:val="C45911" w:themeColor="accent2" w:themeShade="BF"/>
        </w:rPr>
        <w:t xml:space="preserve">Raíz del Error Cuadrático Medio (RMSE, Root Mean </w:t>
      </w:r>
      <w:proofErr w:type="spellStart"/>
      <w:r w:rsidRPr="00DA27C1">
        <w:rPr>
          <w:b/>
          <w:bCs/>
          <w:color w:val="C45911" w:themeColor="accent2" w:themeShade="BF"/>
        </w:rPr>
        <w:t>Squared</w:t>
      </w:r>
      <w:proofErr w:type="spellEnd"/>
      <w:r w:rsidRPr="00DA27C1">
        <w:rPr>
          <w:b/>
          <w:bCs/>
          <w:color w:val="C45911" w:themeColor="accent2" w:themeShade="BF"/>
        </w:rPr>
        <w:t xml:space="preserve"> Error)</w:t>
      </w:r>
    </w:p>
    <w:p w14:paraId="4CE84224" w14:textId="77777777" w:rsidR="00917FA7" w:rsidRPr="00DA27C1" w:rsidRDefault="00917FA7" w:rsidP="00917FA7">
      <w:pPr>
        <w:rPr>
          <w:color w:val="C45911" w:themeColor="accent2" w:themeShade="BF"/>
        </w:rPr>
      </w:pPr>
      <w:r w:rsidRPr="00DA27C1">
        <w:rPr>
          <w:color w:val="C45911" w:themeColor="accent2" w:themeShade="BF"/>
        </w:rPr>
        <w:t>El RMSE eleva los errores al cuadrado antes de promediarlos y luego toma la raíz cuadrada:</w:t>
      </w:r>
    </w:p>
    <w:p w14:paraId="053E2AAF" w14:textId="77777777" w:rsidR="00917FA7" w:rsidRPr="00DA27C1" w:rsidRDefault="00917FA7" w:rsidP="00917FA7">
      <w:pPr>
        <w:rPr>
          <w:color w:val="C45911" w:themeColor="accent2" w:themeShade="BF"/>
        </w:rPr>
      </w:pPr>
      <w:r w:rsidRPr="00DA27C1">
        <w:rPr>
          <w:i/>
          <w:color w:val="C45911" w:themeColor="accent2" w:themeShade="BF"/>
        </w:rPr>
        <w:t xml:space="preserve">RMSE = √[(1/n) · </w:t>
      </w:r>
      <w:r w:rsidRPr="00DA27C1">
        <w:rPr>
          <w:i/>
          <w:color w:val="C45911" w:themeColor="accent2" w:themeShade="BF"/>
          <w:lang w:val="en-US"/>
        </w:rPr>
        <w:t>Σ</w:t>
      </w:r>
      <w:r w:rsidRPr="00DA27C1">
        <w:rPr>
          <w:i/>
          <w:color w:val="C45911" w:themeColor="accent2" w:themeShade="BF"/>
        </w:rPr>
        <w:t xml:space="preserve"> (y</w:t>
      </w:r>
      <w:r w:rsidRPr="00DA27C1">
        <w:rPr>
          <w:i/>
          <w:color w:val="C45911" w:themeColor="accent2" w:themeShade="BF"/>
          <w:lang w:val="en-US"/>
        </w:rPr>
        <w:t>ᵢ</w:t>
      </w:r>
      <w:r w:rsidRPr="00DA27C1">
        <w:rPr>
          <w:i/>
          <w:color w:val="C45911" w:themeColor="accent2" w:themeShade="BF"/>
        </w:rPr>
        <w:t xml:space="preserve"> - ŷ</w:t>
      </w:r>
      <w:r w:rsidRPr="00DA27C1">
        <w:rPr>
          <w:i/>
          <w:color w:val="C45911" w:themeColor="accent2" w:themeShade="BF"/>
          <w:lang w:val="en-US"/>
        </w:rPr>
        <w:t>ᵢ</w:t>
      </w:r>
      <w:r w:rsidRPr="00DA27C1">
        <w:rPr>
          <w:i/>
          <w:color w:val="C45911" w:themeColor="accent2" w:themeShade="BF"/>
        </w:rPr>
        <w:t>)²]</w:t>
      </w:r>
    </w:p>
    <w:p w14:paraId="3CF8399E" w14:textId="77777777" w:rsidR="00917FA7" w:rsidRPr="00DA27C1" w:rsidRDefault="00917FA7" w:rsidP="00917FA7">
      <w:pPr>
        <w:rPr>
          <w:color w:val="C45911" w:themeColor="accent2" w:themeShade="BF"/>
        </w:rPr>
      </w:pPr>
      <w:r w:rsidRPr="00DA27C1">
        <w:rPr>
          <w:color w:val="C45911" w:themeColor="accent2" w:themeShade="BF"/>
        </w:rPr>
        <w:t xml:space="preserve">Al elevar al cuadrado, el RMSE penaliza con más intensidad los errores grandes, lo que lo hace sensible a los </w:t>
      </w:r>
      <w:proofErr w:type="spellStart"/>
      <w:r w:rsidRPr="00DA27C1">
        <w:rPr>
          <w:color w:val="C45911" w:themeColor="accent2" w:themeShade="BF"/>
        </w:rPr>
        <w:t>outliers</w:t>
      </w:r>
      <w:proofErr w:type="spellEnd"/>
      <w:r w:rsidRPr="00DA27C1">
        <w:rPr>
          <w:color w:val="C45911" w:themeColor="accent2" w:themeShade="BF"/>
        </w:rPr>
        <w:t>. Se expresa también en las mismas unidades que la variable objetivo. Un RMSE sistemáticamente mayor que el MAE indica que el modelo comete algunos errores puntualmente grandes. En problemas donde los errores grandes son especialmente costosos, el RMSE es preferible al MAE como criterio de optimización.</w:t>
      </w:r>
    </w:p>
    <w:p w14:paraId="19C7252A" w14:textId="77777777" w:rsidR="00917FA7" w:rsidRPr="00DA27C1" w:rsidRDefault="00917FA7" w:rsidP="00917FA7">
      <w:pPr>
        <w:rPr>
          <w:b/>
          <w:bCs/>
          <w:color w:val="C45911" w:themeColor="accent2" w:themeShade="BF"/>
        </w:rPr>
      </w:pPr>
      <w:r w:rsidRPr="00DA27C1">
        <w:rPr>
          <w:b/>
          <w:bCs/>
          <w:color w:val="C45911" w:themeColor="accent2" w:themeShade="BF"/>
        </w:rPr>
        <w:t xml:space="preserve">Error Porcentual Absoluto Medio (MAPE, Mean Absolute </w:t>
      </w:r>
      <w:proofErr w:type="spellStart"/>
      <w:r w:rsidRPr="00DA27C1">
        <w:rPr>
          <w:b/>
          <w:bCs/>
          <w:color w:val="C45911" w:themeColor="accent2" w:themeShade="BF"/>
        </w:rPr>
        <w:t>Percentage</w:t>
      </w:r>
      <w:proofErr w:type="spellEnd"/>
      <w:r w:rsidRPr="00DA27C1">
        <w:rPr>
          <w:b/>
          <w:bCs/>
          <w:color w:val="C45911" w:themeColor="accent2" w:themeShade="BF"/>
        </w:rPr>
        <w:t xml:space="preserve"> Error)</w:t>
      </w:r>
    </w:p>
    <w:p w14:paraId="07E969AB" w14:textId="77777777" w:rsidR="00917FA7" w:rsidRPr="00DA27C1" w:rsidRDefault="00917FA7" w:rsidP="00917FA7">
      <w:pPr>
        <w:rPr>
          <w:color w:val="C45911" w:themeColor="accent2" w:themeShade="BF"/>
        </w:rPr>
      </w:pPr>
      <w:r w:rsidRPr="00DA27C1">
        <w:rPr>
          <w:color w:val="C45911" w:themeColor="accent2" w:themeShade="BF"/>
        </w:rPr>
        <w:t>El MAPE expresa el error en términos porcentuales respecto al valor real:</w:t>
      </w:r>
    </w:p>
    <w:p w14:paraId="20877B72" w14:textId="77777777" w:rsidR="00917FA7" w:rsidRPr="00DA27C1" w:rsidRDefault="00917FA7" w:rsidP="00917FA7">
      <w:pPr>
        <w:rPr>
          <w:color w:val="C45911" w:themeColor="accent2" w:themeShade="BF"/>
        </w:rPr>
      </w:pPr>
      <w:r w:rsidRPr="00DA27C1">
        <w:rPr>
          <w:i/>
          <w:color w:val="C45911" w:themeColor="accent2" w:themeShade="BF"/>
        </w:rPr>
        <w:lastRenderedPageBreak/>
        <w:t xml:space="preserve">MAPE = (100/n) · </w:t>
      </w:r>
      <w:r w:rsidRPr="00DA27C1">
        <w:rPr>
          <w:i/>
          <w:color w:val="C45911" w:themeColor="accent2" w:themeShade="BF"/>
          <w:lang w:val="en-US"/>
        </w:rPr>
        <w:t>Σ</w:t>
      </w:r>
      <w:r w:rsidRPr="00DA27C1">
        <w:rPr>
          <w:i/>
          <w:color w:val="C45911" w:themeColor="accent2" w:themeShade="BF"/>
        </w:rPr>
        <w:t xml:space="preserve"> |y</w:t>
      </w:r>
      <w:r w:rsidRPr="00DA27C1">
        <w:rPr>
          <w:i/>
          <w:color w:val="C45911" w:themeColor="accent2" w:themeShade="BF"/>
          <w:lang w:val="en-US"/>
        </w:rPr>
        <w:t>ᵢ</w:t>
      </w:r>
      <w:r w:rsidRPr="00DA27C1">
        <w:rPr>
          <w:i/>
          <w:color w:val="C45911" w:themeColor="accent2" w:themeShade="BF"/>
        </w:rPr>
        <w:t xml:space="preserve"> - ŷ</w:t>
      </w:r>
      <w:r w:rsidRPr="00DA27C1">
        <w:rPr>
          <w:i/>
          <w:color w:val="C45911" w:themeColor="accent2" w:themeShade="BF"/>
          <w:lang w:val="en-US"/>
        </w:rPr>
        <w:t>ᵢ</w:t>
      </w:r>
      <w:r w:rsidRPr="00DA27C1">
        <w:rPr>
          <w:i/>
          <w:color w:val="C45911" w:themeColor="accent2" w:themeShade="BF"/>
        </w:rPr>
        <w:t>| / |y</w:t>
      </w:r>
      <w:r w:rsidRPr="00DA27C1">
        <w:rPr>
          <w:i/>
          <w:color w:val="C45911" w:themeColor="accent2" w:themeShade="BF"/>
          <w:lang w:val="en-US"/>
        </w:rPr>
        <w:t>ᵢ</w:t>
      </w:r>
      <w:r w:rsidRPr="00DA27C1">
        <w:rPr>
          <w:i/>
          <w:color w:val="C45911" w:themeColor="accent2" w:themeShade="BF"/>
        </w:rPr>
        <w:t>|</w:t>
      </w:r>
    </w:p>
    <w:p w14:paraId="08979258" w14:textId="77777777" w:rsidR="00917FA7" w:rsidRPr="00DA27C1" w:rsidRDefault="00917FA7" w:rsidP="00917FA7">
      <w:pPr>
        <w:rPr>
          <w:color w:val="C45911" w:themeColor="accent2" w:themeShade="BF"/>
        </w:rPr>
      </w:pPr>
      <w:r w:rsidRPr="00DA27C1">
        <w:rPr>
          <w:color w:val="C45911" w:themeColor="accent2" w:themeShade="BF"/>
        </w:rPr>
        <w:t>Su ventaja es que facilita la comparación entre modelos aplicados a series con distintas escalas o magnitudes, ya que el resultado es independiente de las unidades. Un MAPE del 5% indica que el modelo se equivoca, en promedio, en un 5% respecto al valor real. Su principal limitación es que se vuelve inestable o indefinido cuando los valores reales son próximos a cero.</w:t>
      </w:r>
    </w:p>
    <w:p w14:paraId="39D5E9D9" w14:textId="77777777" w:rsidR="00917FA7" w:rsidRPr="00DA27C1" w:rsidRDefault="00917FA7" w:rsidP="00917FA7">
      <w:pPr>
        <w:rPr>
          <w:b/>
          <w:bCs/>
          <w:color w:val="C45911" w:themeColor="accent2" w:themeShade="BF"/>
        </w:rPr>
      </w:pPr>
      <w:r w:rsidRPr="00DA27C1">
        <w:rPr>
          <w:b/>
          <w:bCs/>
          <w:color w:val="C45911" w:themeColor="accent2" w:themeShade="BF"/>
        </w:rPr>
        <w:t>Coeficiente de determinación (R²)</w:t>
      </w:r>
    </w:p>
    <w:p w14:paraId="5E79064B" w14:textId="77777777" w:rsidR="00917FA7" w:rsidRPr="00DA27C1" w:rsidRDefault="00917FA7" w:rsidP="00917FA7">
      <w:pPr>
        <w:rPr>
          <w:color w:val="C45911" w:themeColor="accent2" w:themeShade="BF"/>
        </w:rPr>
      </w:pPr>
      <w:r w:rsidRPr="00DA27C1">
        <w:rPr>
          <w:color w:val="C45911" w:themeColor="accent2" w:themeShade="BF"/>
        </w:rPr>
        <w:t>El R² mide la proporción de la varianza de la variable objetivo que es explicada por el modelo:</w:t>
      </w:r>
    </w:p>
    <w:p w14:paraId="63F34AA1" w14:textId="77777777" w:rsidR="00917FA7" w:rsidRPr="00DA27C1" w:rsidRDefault="00917FA7" w:rsidP="00917FA7">
      <w:pPr>
        <w:rPr>
          <w:color w:val="C45911" w:themeColor="accent2" w:themeShade="BF"/>
        </w:rPr>
      </w:pPr>
      <w:r w:rsidRPr="00DA27C1">
        <w:rPr>
          <w:i/>
          <w:color w:val="C45911" w:themeColor="accent2" w:themeShade="BF"/>
        </w:rPr>
        <w:t>R² = 1 - [</w:t>
      </w:r>
      <w:r w:rsidRPr="00DA27C1">
        <w:rPr>
          <w:i/>
          <w:color w:val="C45911" w:themeColor="accent2" w:themeShade="BF"/>
          <w:lang w:val="en-US"/>
        </w:rPr>
        <w:t>Σ</w:t>
      </w:r>
      <w:r w:rsidRPr="00DA27C1">
        <w:rPr>
          <w:i/>
          <w:color w:val="C45911" w:themeColor="accent2" w:themeShade="BF"/>
        </w:rPr>
        <w:t>(y</w:t>
      </w:r>
      <w:r w:rsidRPr="00DA27C1">
        <w:rPr>
          <w:i/>
          <w:color w:val="C45911" w:themeColor="accent2" w:themeShade="BF"/>
          <w:lang w:val="en-US"/>
        </w:rPr>
        <w:t>ᵢ</w:t>
      </w:r>
      <w:r w:rsidRPr="00DA27C1">
        <w:rPr>
          <w:i/>
          <w:color w:val="C45911" w:themeColor="accent2" w:themeShade="BF"/>
        </w:rPr>
        <w:t xml:space="preserve"> - ŷ</w:t>
      </w:r>
      <w:r w:rsidRPr="00DA27C1">
        <w:rPr>
          <w:i/>
          <w:color w:val="C45911" w:themeColor="accent2" w:themeShade="BF"/>
          <w:lang w:val="en-US"/>
        </w:rPr>
        <w:t>ᵢ</w:t>
      </w:r>
      <w:r w:rsidRPr="00DA27C1">
        <w:rPr>
          <w:i/>
          <w:color w:val="C45911" w:themeColor="accent2" w:themeShade="BF"/>
        </w:rPr>
        <w:t>)²] / [</w:t>
      </w:r>
      <w:r w:rsidRPr="00DA27C1">
        <w:rPr>
          <w:i/>
          <w:color w:val="C45911" w:themeColor="accent2" w:themeShade="BF"/>
          <w:lang w:val="en-US"/>
        </w:rPr>
        <w:t>Σ</w:t>
      </w:r>
      <w:r w:rsidRPr="00DA27C1">
        <w:rPr>
          <w:i/>
          <w:color w:val="C45911" w:themeColor="accent2" w:themeShade="BF"/>
        </w:rPr>
        <w:t>(y</w:t>
      </w:r>
      <w:r w:rsidRPr="00DA27C1">
        <w:rPr>
          <w:i/>
          <w:color w:val="C45911" w:themeColor="accent2" w:themeShade="BF"/>
          <w:lang w:val="en-US"/>
        </w:rPr>
        <w:t>ᵢ</w:t>
      </w:r>
      <w:r w:rsidRPr="00DA27C1">
        <w:rPr>
          <w:i/>
          <w:color w:val="C45911" w:themeColor="accent2" w:themeShade="BF"/>
        </w:rPr>
        <w:t xml:space="preserve"> - ȳ)²]</w:t>
      </w:r>
    </w:p>
    <w:p w14:paraId="0782E519" w14:textId="77777777" w:rsidR="00917FA7" w:rsidRPr="00DA27C1" w:rsidRDefault="00917FA7" w:rsidP="00917FA7">
      <w:pPr>
        <w:rPr>
          <w:color w:val="C45911" w:themeColor="accent2" w:themeShade="BF"/>
        </w:rPr>
      </w:pPr>
      <w:r w:rsidRPr="00DA27C1">
        <w:rPr>
          <w:color w:val="C45911" w:themeColor="accent2" w:themeShade="BF"/>
        </w:rPr>
        <w:t>Toma valores entre −∞ y 1. Un R² = 1 indica que el modelo predice perfectamente; R² = 0 significa que el modelo no mejora al predictor trivial que siempre devuelve la media; valores negativos indican que el modelo es peor que ese predictor trivial. A diferencia de las métricas anteriores, el R² es adimensional y permite evaluar cuánta información aporta el modelo en términos relativos.</w:t>
      </w:r>
    </w:p>
    <w:p w14:paraId="439BA50E" w14:textId="77777777" w:rsidR="00917FA7" w:rsidRPr="00DA27C1" w:rsidRDefault="00917FA7" w:rsidP="00917FA7">
      <w:pPr>
        <w:rPr>
          <w:color w:val="C45911" w:themeColor="accent2" w:themeShade="BF"/>
        </w:rPr>
      </w:pPr>
      <w:r w:rsidRPr="00DA27C1">
        <w:rPr>
          <w:color w:val="C45911" w:themeColor="accent2" w:themeShade="BF"/>
        </w:rPr>
        <w:t>Emplear las cuatro métricas de forma conjunta permite obtener una visión más completa del rendimiento de cada modelo: el MAE y el RMSE informan sobre la magnitud absoluta de los errores, el MAPE facilita la interpretación porcentual y la comparación entre contextos, y el R² indica qué fracción de la variabilidad del ICC queda explicada. Un modelo que obtiene buenos resultados en todas ellas ofrece garantías de robustez que ninguna métrica por sí sola podría proporcionar.</w:t>
      </w:r>
    </w:p>
    <w:p w14:paraId="4517F409" w14:textId="77777777" w:rsidR="00917FA7" w:rsidRPr="00DA27C1" w:rsidRDefault="00917FA7" w:rsidP="00917FA7">
      <w:pPr>
        <w:rPr>
          <w:color w:val="C45911" w:themeColor="accent2" w:themeShade="BF"/>
        </w:rPr>
      </w:pPr>
      <w:r w:rsidRPr="00DA27C1">
        <w:rPr>
          <w:color w:val="C45911" w:themeColor="accent2" w:themeShade="BF"/>
        </w:rPr>
        <w:t xml:space="preserve">Los conceptos desarrollados en este marco teórico proporcionan la base necesaria para comprender las decisiones técnicas del proyecto. El ICC define el objeto de predicción y justifica su utilidad práctica; la noción de serie temporal y de retardos explica cómo se estructura el problema de regresión; el NLP y el análisis de sentimiento describen el proceso mediante el cual las publicaciones institucionales se convierten en variables cuantitativas; los modelos de regresión lineal, Random Forest y </w:t>
      </w:r>
      <w:proofErr w:type="spellStart"/>
      <w:r w:rsidRPr="00DA27C1">
        <w:rPr>
          <w:color w:val="C45911" w:themeColor="accent2" w:themeShade="BF"/>
        </w:rPr>
        <w:t>XGBoost</w:t>
      </w:r>
      <w:proofErr w:type="spellEnd"/>
      <w:r w:rsidRPr="00DA27C1">
        <w:rPr>
          <w:color w:val="C45911" w:themeColor="accent2" w:themeShade="BF"/>
        </w:rPr>
        <w:t xml:space="preserve"> ofrecen las herramientas predictivas que se comparan; y las métricas de evaluación establecen los criterios con los que se mide el rendimiento. Sobre esta base conceptual se desarrollarán, en los apartados siguientes, la ingeniería del dato, la generación de variables de sentimiento, la construcción de los modelos y la comparación sistemática de sus resultados.</w:t>
      </w:r>
    </w:p>
    <w:p w14:paraId="31D585BF" w14:textId="4F29AA99" w:rsidR="00C305FB" w:rsidRPr="00DA27C1" w:rsidRDefault="00C305FB" w:rsidP="002E50A1">
      <w:pPr>
        <w:rPr>
          <w:color w:val="C45911" w:themeColor="accent2" w:themeShade="BF"/>
        </w:rPr>
      </w:pPr>
    </w:p>
    <w:p w14:paraId="4CE86DA7" w14:textId="77777777" w:rsidR="00D77768" w:rsidRPr="00DA27C1" w:rsidRDefault="00D77768" w:rsidP="00D77768">
      <w:pPr>
        <w:rPr>
          <w:b/>
          <w:bCs/>
          <w:color w:val="C45911" w:themeColor="accent2" w:themeShade="BF"/>
        </w:rPr>
      </w:pPr>
      <w:r w:rsidRPr="00DA27C1">
        <w:rPr>
          <w:b/>
          <w:bCs/>
          <w:color w:val="C45911" w:themeColor="accent2" w:themeShade="BF"/>
        </w:rPr>
        <w:t>3.1. Herramientas empleadas</w:t>
      </w:r>
    </w:p>
    <w:p w14:paraId="0BC384E6" w14:textId="77777777" w:rsidR="00D77768" w:rsidRPr="00DA27C1" w:rsidRDefault="00D77768" w:rsidP="00D77768">
      <w:pPr>
        <w:rPr>
          <w:color w:val="C45911" w:themeColor="accent2" w:themeShade="BF"/>
        </w:rPr>
      </w:pPr>
      <w:r w:rsidRPr="00DA27C1">
        <w:rPr>
          <w:color w:val="C45911" w:themeColor="accent2" w:themeShade="BF"/>
        </w:rPr>
        <w:t>El desarrollo técnico del presente Trabajo Fin de Grado se ha llevado a cabo utilizando principalmente el lenguaje de programación Python, debido a su amplia implantación en proyectos de análisis de datos, aprendizaje automático y procesamiento de lenguaje natural. Python permite integrar en un mismo flujo de trabajo las distintas fases del proyecto: carga de datos, limpieza, transformación, análisis exploratorio, generación de variables de sentimiento, construcción de modelos predictivos, evaluación de resultados y visualización.</w:t>
      </w:r>
    </w:p>
    <w:p w14:paraId="66CE2E3D" w14:textId="77777777" w:rsidR="00D77768" w:rsidRPr="00DA27C1" w:rsidRDefault="00D77768" w:rsidP="00D77768">
      <w:pPr>
        <w:rPr>
          <w:color w:val="C45911" w:themeColor="accent2" w:themeShade="BF"/>
        </w:rPr>
      </w:pPr>
      <w:r w:rsidRPr="00DA27C1">
        <w:rPr>
          <w:color w:val="C45911" w:themeColor="accent2" w:themeShade="BF"/>
        </w:rPr>
        <w:t xml:space="preserve">Como entorno de trabajo se ha utilizado </w:t>
      </w:r>
      <w:proofErr w:type="spellStart"/>
      <w:r w:rsidRPr="00DA27C1">
        <w:rPr>
          <w:color w:val="C45911" w:themeColor="accent2" w:themeShade="BF"/>
        </w:rPr>
        <w:t>Jupyter</w:t>
      </w:r>
      <w:proofErr w:type="spellEnd"/>
      <w:r w:rsidRPr="00DA27C1">
        <w:rPr>
          <w:color w:val="C45911" w:themeColor="accent2" w:themeShade="BF"/>
        </w:rPr>
        <w:t xml:space="preserve"> Notebook. Este entorno resulta especialmente adecuado para proyectos de Business </w:t>
      </w:r>
      <w:proofErr w:type="spellStart"/>
      <w:r w:rsidRPr="00DA27C1">
        <w:rPr>
          <w:color w:val="C45911" w:themeColor="accent2" w:themeShade="BF"/>
        </w:rPr>
        <w:t>Analytics</w:t>
      </w:r>
      <w:proofErr w:type="spellEnd"/>
      <w:r w:rsidRPr="00DA27C1">
        <w:rPr>
          <w:color w:val="C45911" w:themeColor="accent2" w:themeShade="BF"/>
        </w:rPr>
        <w:t>, ya que permite combinar código ejecutable, resultados intermedios, gráficos y comentarios explicativos dentro de un mismo documento técnico. Además, facilita la trazabilidad del proceso analítico, al conservar de forma ordenada las operaciones realizadas sobre los datos desde su carga inicial hasta la obtención de los resultados finales.</w:t>
      </w:r>
    </w:p>
    <w:p w14:paraId="0ED0CD54" w14:textId="77777777" w:rsidR="00D77768" w:rsidRPr="00DA27C1" w:rsidRDefault="00D77768" w:rsidP="00D77768">
      <w:pPr>
        <w:rPr>
          <w:color w:val="C45911" w:themeColor="accent2" w:themeShade="BF"/>
        </w:rPr>
      </w:pPr>
      <w:r w:rsidRPr="00DA27C1">
        <w:rPr>
          <w:color w:val="C45911" w:themeColor="accent2" w:themeShade="BF"/>
        </w:rPr>
        <w:t xml:space="preserve">Para la manipulación y transformación de datos se ha empleado la librería pandas, una de las herramientas más utilizadas en Python para el trabajo con datos tabulares. En este proyecto, pandas se </w:t>
      </w:r>
      <w:r w:rsidRPr="00DA27C1">
        <w:rPr>
          <w:color w:val="C45911" w:themeColor="accent2" w:themeShade="BF"/>
        </w:rPr>
        <w:lastRenderedPageBreak/>
        <w:t xml:space="preserve">ha utilizado para cargar los archivos CSV, revisar la estructura de los </w:t>
      </w:r>
      <w:proofErr w:type="spellStart"/>
      <w:r w:rsidRPr="00DA27C1">
        <w:rPr>
          <w:color w:val="C45911" w:themeColor="accent2" w:themeShade="BF"/>
        </w:rPr>
        <w:t>datasets</w:t>
      </w:r>
      <w:proofErr w:type="spellEnd"/>
      <w:r w:rsidRPr="00DA27C1">
        <w:rPr>
          <w:color w:val="C45911" w:themeColor="accent2" w:themeShade="BF"/>
        </w:rPr>
        <w:t xml:space="preserve">, transformar columnas de fecha, ordenar temporalmente las observaciones, crear variables agregadas por mes, generar retardos del Índice de Confianza del Consumidor y construir la variable objetivo del modelo. Su uso ha sido especialmente relevante para integrar dos fuentes de naturaleza distinta: el </w:t>
      </w:r>
      <w:proofErr w:type="spellStart"/>
      <w:r w:rsidRPr="00DA27C1">
        <w:rPr>
          <w:color w:val="C45911" w:themeColor="accent2" w:themeShade="BF"/>
        </w:rPr>
        <w:t>dataset</w:t>
      </w:r>
      <w:proofErr w:type="spellEnd"/>
      <w:r w:rsidRPr="00DA27C1">
        <w:rPr>
          <w:color w:val="C45911" w:themeColor="accent2" w:themeShade="BF"/>
        </w:rPr>
        <w:t xml:space="preserve"> de publicaciones digitales institucionales y la serie histórica mensual del ICC.</w:t>
      </w:r>
    </w:p>
    <w:p w14:paraId="7B61C9F5" w14:textId="77777777" w:rsidR="00D77768" w:rsidRPr="00DA27C1" w:rsidRDefault="00D77768" w:rsidP="00D77768">
      <w:pPr>
        <w:rPr>
          <w:color w:val="C45911" w:themeColor="accent2" w:themeShade="BF"/>
        </w:rPr>
      </w:pPr>
      <w:r w:rsidRPr="00DA27C1">
        <w:rPr>
          <w:color w:val="C45911" w:themeColor="accent2" w:themeShade="BF"/>
        </w:rPr>
        <w:t xml:space="preserve">La librería </w:t>
      </w:r>
      <w:proofErr w:type="spellStart"/>
      <w:r w:rsidRPr="00DA27C1">
        <w:rPr>
          <w:color w:val="C45911" w:themeColor="accent2" w:themeShade="BF"/>
        </w:rPr>
        <w:t>NumPy</w:t>
      </w:r>
      <w:proofErr w:type="spellEnd"/>
      <w:r w:rsidRPr="00DA27C1">
        <w:rPr>
          <w:color w:val="C45911" w:themeColor="accent2" w:themeShade="BF"/>
        </w:rPr>
        <w:t xml:space="preserve"> se ha utilizado como apoyo para operaciones numéricas, tratamiento de valores, cálculos vectorizados y preparación de estructuras de datos compatibles con los modelos de aprendizaje automático. Aunque gran parte del tratamiento tabular se realiza mediante pandas, </w:t>
      </w:r>
      <w:proofErr w:type="spellStart"/>
      <w:r w:rsidRPr="00DA27C1">
        <w:rPr>
          <w:color w:val="C45911" w:themeColor="accent2" w:themeShade="BF"/>
        </w:rPr>
        <w:t>NumPy</w:t>
      </w:r>
      <w:proofErr w:type="spellEnd"/>
      <w:r w:rsidRPr="00DA27C1">
        <w:rPr>
          <w:color w:val="C45911" w:themeColor="accent2" w:themeShade="BF"/>
        </w:rPr>
        <w:t xml:space="preserve"> constituye una base fundamental para el cálculo eficiente de variables numéricas y métricas.</w:t>
      </w:r>
    </w:p>
    <w:p w14:paraId="718DAFEA" w14:textId="77777777" w:rsidR="00D77768" w:rsidRPr="00DA27C1" w:rsidRDefault="00D77768" w:rsidP="00D77768">
      <w:pPr>
        <w:rPr>
          <w:color w:val="C45911" w:themeColor="accent2" w:themeShade="BF"/>
        </w:rPr>
      </w:pPr>
      <w:r w:rsidRPr="00DA27C1">
        <w:rPr>
          <w:color w:val="C45911" w:themeColor="accent2" w:themeShade="BF"/>
        </w:rPr>
        <w:t xml:space="preserve">Para la visualización de datos se han utilizado </w:t>
      </w:r>
      <w:proofErr w:type="spellStart"/>
      <w:r w:rsidRPr="00DA27C1">
        <w:rPr>
          <w:color w:val="C45911" w:themeColor="accent2" w:themeShade="BF"/>
        </w:rPr>
        <w:t>matplotlib</w:t>
      </w:r>
      <w:proofErr w:type="spellEnd"/>
      <w:r w:rsidRPr="00DA27C1">
        <w:rPr>
          <w:color w:val="C45911" w:themeColor="accent2" w:themeShade="BF"/>
        </w:rPr>
        <w:t xml:space="preserve"> y </w:t>
      </w:r>
      <w:proofErr w:type="spellStart"/>
      <w:r w:rsidRPr="00DA27C1">
        <w:rPr>
          <w:color w:val="C45911" w:themeColor="accent2" w:themeShade="BF"/>
        </w:rPr>
        <w:t>seaborn</w:t>
      </w:r>
      <w:proofErr w:type="spellEnd"/>
      <w:r w:rsidRPr="00DA27C1">
        <w:rPr>
          <w:color w:val="C45911" w:themeColor="accent2" w:themeShade="BF"/>
        </w:rPr>
        <w:t>. Estas librerías permiten representar de forma gráfica la evolución temporal del ICC, la distribución mensual de publicaciones, la evolución del sentimiento agregado, la comparación entre valores reales y predichos, y las métricas obtenidas por los distintos modelos. La visualización cumple una función relevante dentro del proyecto, ya que permite detectar patrones temporales, posibles valores atípicos, periodos con escasa cobertura de datos y diferencias de rendimiento entre modelos.</w:t>
      </w:r>
    </w:p>
    <w:p w14:paraId="63A2A435" w14:textId="77777777" w:rsidR="00D77768" w:rsidRPr="00DA27C1" w:rsidRDefault="00D77768" w:rsidP="00D77768">
      <w:pPr>
        <w:rPr>
          <w:color w:val="C45911" w:themeColor="accent2" w:themeShade="BF"/>
        </w:rPr>
      </w:pPr>
      <w:r w:rsidRPr="00DA27C1">
        <w:rPr>
          <w:color w:val="C45911" w:themeColor="accent2" w:themeShade="BF"/>
        </w:rPr>
        <w:t xml:space="preserve">En la fase de procesamiento de lenguaje natural se han utilizado recursos de la librería NLTK para apoyar la preparación del texto, especialmente en tareas relacionadas con </w:t>
      </w:r>
      <w:proofErr w:type="spellStart"/>
      <w:r w:rsidRPr="00DA27C1">
        <w:rPr>
          <w:color w:val="C45911" w:themeColor="accent2" w:themeShade="BF"/>
        </w:rPr>
        <w:t>tokenización</w:t>
      </w:r>
      <w:proofErr w:type="spellEnd"/>
      <w:r w:rsidRPr="00DA27C1">
        <w:rPr>
          <w:color w:val="C45911" w:themeColor="accent2" w:themeShade="BF"/>
        </w:rPr>
        <w:t xml:space="preserve">, tratamiento de palabras vacías y normalización básica del contenido textual. Adicionalmente, se ha utilizado </w:t>
      </w:r>
      <w:proofErr w:type="spellStart"/>
      <w:r w:rsidRPr="00DA27C1">
        <w:rPr>
          <w:color w:val="C45911" w:themeColor="accent2" w:themeShade="BF"/>
        </w:rPr>
        <w:t>TextBlob</w:t>
      </w:r>
      <w:proofErr w:type="spellEnd"/>
      <w:r w:rsidRPr="00DA27C1">
        <w:rPr>
          <w:color w:val="C45911" w:themeColor="accent2" w:themeShade="BF"/>
        </w:rPr>
        <w:t xml:space="preserve"> como herramienta de análisis de sentimiento de tipo léxico, con el objetivo de transformar el contenido textual de las publicaciones digitales en variables cuantitativas. A partir de cada publicación se obtiene una puntuación de polaridad en el intervalo [−1, 1], donde los valores negativos se asocian a un tono desfavorable, los valores positivos a un tono favorable y los valores próximos a cero a una orientación neutra o ambivalente. Posteriormente, estas puntuaciones se agregan a escala mensual para generar variables como la polaridad media, la proporción de publicaciones positivas, la proporción de publicaciones negativas y el volumen total de publicaciones. Dado que este tipo de herramientas presenta limitaciones cuando se aplica a textos económicos en español, los resultados de sentimiento se interpretan como una aproximación al tono general de las publicaciones, y no como una medida perfecta del contenido semántico.</w:t>
      </w:r>
    </w:p>
    <w:p w14:paraId="71827D5C" w14:textId="77777777" w:rsidR="00D77768" w:rsidRPr="00DA27C1" w:rsidRDefault="00D77768" w:rsidP="00D77768">
      <w:pPr>
        <w:rPr>
          <w:color w:val="C45911" w:themeColor="accent2" w:themeShade="BF"/>
        </w:rPr>
      </w:pPr>
      <w:r w:rsidRPr="00DA27C1">
        <w:rPr>
          <w:color w:val="C45911" w:themeColor="accent2" w:themeShade="BF"/>
        </w:rPr>
        <w:t xml:space="preserve">Para la construcción y evaluación de los modelos predictivos se ha utilizado </w:t>
      </w:r>
      <w:proofErr w:type="spellStart"/>
      <w:r w:rsidRPr="00DA27C1">
        <w:rPr>
          <w:color w:val="C45911" w:themeColor="accent2" w:themeShade="BF"/>
        </w:rPr>
        <w:t>scikit-learn</w:t>
      </w:r>
      <w:proofErr w:type="spellEnd"/>
      <w:r w:rsidRPr="00DA27C1">
        <w:rPr>
          <w:color w:val="C45911" w:themeColor="accent2" w:themeShade="BF"/>
        </w:rPr>
        <w:t xml:space="preserve">, librería de referencia en Python para aprendizaje automático. Esta herramienta permite preparar los conjuntos de entrenamiento y prueba, entrenar modelos supervisados de regresión, obtener predicciones y calcular métricas de evaluación. En particular, se utiliza para implementar el modelo de referencia basado en retardos históricos del ICC y para aplicar modelos de regresión más flexibles, como Random Forest </w:t>
      </w:r>
      <w:proofErr w:type="spellStart"/>
      <w:r w:rsidRPr="00DA27C1">
        <w:rPr>
          <w:color w:val="C45911" w:themeColor="accent2" w:themeShade="BF"/>
        </w:rPr>
        <w:t>Regressor</w:t>
      </w:r>
      <w:proofErr w:type="spellEnd"/>
      <w:r w:rsidRPr="00DA27C1">
        <w:rPr>
          <w:color w:val="C45911" w:themeColor="accent2" w:themeShade="BF"/>
        </w:rPr>
        <w:t>.</w:t>
      </w:r>
    </w:p>
    <w:p w14:paraId="36103925" w14:textId="77777777" w:rsidR="00D77768" w:rsidRPr="00DA27C1" w:rsidRDefault="00D77768" w:rsidP="00D77768">
      <w:pPr>
        <w:rPr>
          <w:color w:val="C45911" w:themeColor="accent2" w:themeShade="BF"/>
        </w:rPr>
      </w:pPr>
      <w:r w:rsidRPr="00DA27C1">
        <w:rPr>
          <w:color w:val="C45911" w:themeColor="accent2" w:themeShade="BF"/>
        </w:rPr>
        <w:t xml:space="preserve">Adicionalmente, se contempla el uso de </w:t>
      </w:r>
      <w:proofErr w:type="spellStart"/>
      <w:r w:rsidRPr="00DA27C1">
        <w:rPr>
          <w:color w:val="C45911" w:themeColor="accent2" w:themeShade="BF"/>
        </w:rPr>
        <w:t>XGBoost</w:t>
      </w:r>
      <w:proofErr w:type="spellEnd"/>
      <w:r w:rsidRPr="00DA27C1">
        <w:rPr>
          <w:color w:val="C45911" w:themeColor="accent2" w:themeShade="BF"/>
        </w:rPr>
        <w:t xml:space="preserve"> para implementar un modelo de </w:t>
      </w:r>
      <w:proofErr w:type="spellStart"/>
      <w:r w:rsidRPr="00DA27C1">
        <w:rPr>
          <w:color w:val="C45911" w:themeColor="accent2" w:themeShade="BF"/>
        </w:rPr>
        <w:t>boosting</w:t>
      </w:r>
      <w:proofErr w:type="spellEnd"/>
      <w:r w:rsidRPr="00DA27C1">
        <w:rPr>
          <w:color w:val="C45911" w:themeColor="accent2" w:themeShade="BF"/>
        </w:rPr>
        <w:t xml:space="preserve"> basado en árboles de decisión. Esta librería es ampliamente utilizada en problemas de predicción con datos tabulares por su capacidad para capturar relaciones no lineales e interacciones entre variables, así como por su eficiencia computacional. Su inclusión permite comparar el rendimiento de un modelo de </w:t>
      </w:r>
      <w:proofErr w:type="spellStart"/>
      <w:r w:rsidRPr="00DA27C1">
        <w:rPr>
          <w:color w:val="C45911" w:themeColor="accent2" w:themeShade="BF"/>
        </w:rPr>
        <w:t>boosting</w:t>
      </w:r>
      <w:proofErr w:type="spellEnd"/>
      <w:r w:rsidRPr="00DA27C1">
        <w:rPr>
          <w:color w:val="C45911" w:themeColor="accent2" w:themeShade="BF"/>
        </w:rPr>
        <w:t xml:space="preserve"> frente al modelo base y frente a Random Forest, siempre que su implementación resulte compatible con el conjunto final de datos y con el flujo de evaluación definido.</w:t>
      </w:r>
    </w:p>
    <w:p w14:paraId="276D0AB2" w14:textId="77777777" w:rsidR="00D77768" w:rsidRPr="00DA27C1" w:rsidRDefault="00D77768" w:rsidP="00D77768">
      <w:pPr>
        <w:rPr>
          <w:color w:val="C45911" w:themeColor="accent2" w:themeShade="BF"/>
        </w:rPr>
      </w:pPr>
      <w:r w:rsidRPr="00DA27C1">
        <w:rPr>
          <w:color w:val="C45911" w:themeColor="accent2" w:themeShade="BF"/>
        </w:rPr>
        <w:t xml:space="preserve">En cuanto a las fuentes de datos, se han utilizado dos archivos principales. El primero, tweets_gobierno_economia.csv, contiene publicaciones digitales de cuentas institucionales vinculadas al ámbito económico del Gobierno de España. Este </w:t>
      </w:r>
      <w:proofErr w:type="spellStart"/>
      <w:r w:rsidRPr="00DA27C1">
        <w:rPr>
          <w:color w:val="C45911" w:themeColor="accent2" w:themeShade="BF"/>
        </w:rPr>
        <w:t>dataset</w:t>
      </w:r>
      <w:proofErr w:type="spellEnd"/>
      <w:r w:rsidRPr="00DA27C1">
        <w:rPr>
          <w:color w:val="C45911" w:themeColor="accent2" w:themeShade="BF"/>
        </w:rPr>
        <w:t xml:space="preserve"> incluye variables como la fecha de publicación, la cuenta de origen, el contenido textual, los hashtags, el tipo de publicación y métricas de interacción como comentarios, </w:t>
      </w:r>
      <w:proofErr w:type="spellStart"/>
      <w:r w:rsidRPr="00DA27C1">
        <w:rPr>
          <w:color w:val="C45911" w:themeColor="accent2" w:themeShade="BF"/>
        </w:rPr>
        <w:t>retweets</w:t>
      </w:r>
      <w:proofErr w:type="spellEnd"/>
      <w:r w:rsidRPr="00DA27C1">
        <w:rPr>
          <w:color w:val="C45911" w:themeColor="accent2" w:themeShade="BF"/>
        </w:rPr>
        <w:t xml:space="preserve">, </w:t>
      </w:r>
      <w:proofErr w:type="spellStart"/>
      <w:r w:rsidRPr="00DA27C1">
        <w:rPr>
          <w:color w:val="C45911" w:themeColor="accent2" w:themeShade="BF"/>
        </w:rPr>
        <w:t>likes</w:t>
      </w:r>
      <w:proofErr w:type="spellEnd"/>
      <w:r w:rsidRPr="00DA27C1">
        <w:rPr>
          <w:color w:val="C45911" w:themeColor="accent2" w:themeShade="BF"/>
        </w:rPr>
        <w:t xml:space="preserve"> y visualizaciones. El segundo archivo, </w:t>
      </w:r>
      <w:r w:rsidRPr="00DA27C1">
        <w:rPr>
          <w:color w:val="C45911" w:themeColor="accent2" w:themeShade="BF"/>
        </w:rPr>
        <w:lastRenderedPageBreak/>
        <w:t xml:space="preserve">evolucion_de_la_confianza_del_consumidor_desde_2004.csv, contiene la serie histórica mensual del Índice de Confianza del Consumidor, distribuida por </w:t>
      </w:r>
      <w:proofErr w:type="spellStart"/>
      <w:r w:rsidRPr="00DA27C1">
        <w:rPr>
          <w:color w:val="C45911" w:themeColor="accent2" w:themeShade="BF"/>
        </w:rPr>
        <w:t>EpData</w:t>
      </w:r>
      <w:proofErr w:type="spellEnd"/>
      <w:r w:rsidRPr="00DA27C1">
        <w:rPr>
          <w:color w:val="C45911" w:themeColor="accent2" w:themeShade="BF"/>
        </w:rPr>
        <w:t xml:space="preserve"> a partir de datos del Centro de Investigaciones Sociológicas. Esta serie proporciona la base para construir la variable objetivo del modelo predictivo.</w:t>
      </w:r>
    </w:p>
    <w:p w14:paraId="1D4028BB" w14:textId="77777777" w:rsidR="00D77768" w:rsidRPr="00DA27C1" w:rsidRDefault="00D77768" w:rsidP="00D77768">
      <w:pPr>
        <w:rPr>
          <w:color w:val="C45911" w:themeColor="accent2" w:themeShade="BF"/>
        </w:rPr>
      </w:pPr>
      <w:r w:rsidRPr="00DA27C1">
        <w:rPr>
          <w:color w:val="C45911" w:themeColor="accent2" w:themeShade="BF"/>
        </w:rPr>
        <w:t>Finalmente, Microsoft Word se ha utilizado para la redacción y maquetación de la memoria final del TFG, siguiendo la plantilla y los requisitos formales establecidos por la Universidad Francisco de Vitoria. El uso combinado de estas herramientas ha permitido desarrollar un flujo de trabajo completo y reproducible, desde la obtención y preparación de los datos hasta la interpretación de los resultados desde una perspectiva de negocio.</w:t>
      </w:r>
    </w:p>
    <w:p w14:paraId="22C03B5D" w14:textId="77777777" w:rsidR="00617B64" w:rsidRPr="00DA27C1" w:rsidRDefault="00617B64" w:rsidP="00D77768">
      <w:pPr>
        <w:rPr>
          <w:color w:val="C45911" w:themeColor="accent2" w:themeShade="BF"/>
        </w:rPr>
      </w:pPr>
    </w:p>
    <w:p w14:paraId="59162A44" w14:textId="77777777" w:rsidR="00617B64" w:rsidRPr="00DA27C1" w:rsidRDefault="00617B64" w:rsidP="00617B64">
      <w:pPr>
        <w:rPr>
          <w:b/>
          <w:bCs/>
          <w:color w:val="C45911" w:themeColor="accent2" w:themeShade="BF"/>
        </w:rPr>
      </w:pPr>
      <w:r w:rsidRPr="00DA27C1">
        <w:rPr>
          <w:b/>
          <w:bCs/>
          <w:color w:val="C45911" w:themeColor="accent2" w:themeShade="BF"/>
        </w:rPr>
        <w:t>3.2. Ingeniería del dato</w:t>
      </w:r>
    </w:p>
    <w:p w14:paraId="42605935" w14:textId="77777777" w:rsidR="00617B64" w:rsidRPr="00DA27C1" w:rsidRDefault="00617B64" w:rsidP="00617B64">
      <w:pPr>
        <w:rPr>
          <w:b/>
          <w:bCs/>
          <w:color w:val="C45911" w:themeColor="accent2" w:themeShade="BF"/>
        </w:rPr>
      </w:pPr>
      <w:r w:rsidRPr="00DA27C1">
        <w:rPr>
          <w:b/>
          <w:bCs/>
          <w:color w:val="C45911" w:themeColor="accent2" w:themeShade="BF"/>
        </w:rPr>
        <w:t>3.2.1. Origen de los datos</w:t>
      </w:r>
    </w:p>
    <w:p w14:paraId="054B0C51" w14:textId="77777777" w:rsidR="00617B64" w:rsidRPr="00DA27C1" w:rsidRDefault="00617B64" w:rsidP="00617B64">
      <w:pPr>
        <w:rPr>
          <w:color w:val="C45911" w:themeColor="accent2" w:themeShade="BF"/>
        </w:rPr>
      </w:pPr>
      <w:r w:rsidRPr="00DA27C1">
        <w:rPr>
          <w:color w:val="C45911" w:themeColor="accent2" w:themeShade="BF"/>
        </w:rPr>
        <w:t xml:space="preserve">La investigación se apoya en dos fuentes de datos de naturaleza distinta que han sido integradas para construir el conjunto de datos analítico final. Por un lado, un </w:t>
      </w:r>
      <w:proofErr w:type="spellStart"/>
      <w:r w:rsidRPr="00DA27C1">
        <w:rPr>
          <w:color w:val="C45911" w:themeColor="accent2" w:themeShade="BF"/>
        </w:rPr>
        <w:t>dataset</w:t>
      </w:r>
      <w:proofErr w:type="spellEnd"/>
      <w:r w:rsidRPr="00DA27C1">
        <w:rPr>
          <w:color w:val="C45911" w:themeColor="accent2" w:themeShade="BF"/>
        </w:rPr>
        <w:t xml:space="preserve"> consolidado en CSV a partir de publicaciones digitales públicas de cuentas institucionales vinculadas a la política económica española, identificado como tweets_gobierno_economia.csv. Por otro, la serie histórica del Índice de Confianza del Consumidor (ICC), obtenida de la plataforma </w:t>
      </w:r>
      <w:proofErr w:type="spellStart"/>
      <w:r w:rsidRPr="00DA27C1">
        <w:rPr>
          <w:color w:val="C45911" w:themeColor="accent2" w:themeShade="BF"/>
        </w:rPr>
        <w:t>EpData</w:t>
      </w:r>
      <w:proofErr w:type="spellEnd"/>
      <w:r w:rsidRPr="00DA27C1">
        <w:rPr>
          <w:color w:val="C45911" w:themeColor="accent2" w:themeShade="BF"/>
        </w:rPr>
        <w:t xml:space="preserve"> a partir de los datos publicados por el Centro de Investigaciones Sociológicas (CIS), e identificada como evolucion_de_la_confianza_del_consumidor_desde_2004.csv.</w:t>
      </w:r>
    </w:p>
    <w:p w14:paraId="2B242C89" w14:textId="77777777" w:rsidR="00617B64" w:rsidRPr="00DA27C1" w:rsidRDefault="00617B64" w:rsidP="00617B64">
      <w:pPr>
        <w:rPr>
          <w:color w:val="C45911" w:themeColor="accent2" w:themeShade="BF"/>
        </w:rPr>
      </w:pPr>
      <w:r w:rsidRPr="00DA27C1">
        <w:rPr>
          <w:color w:val="C45911" w:themeColor="accent2" w:themeShade="BF"/>
        </w:rPr>
        <w:t>Ambas fuentes han sido procesadas, transformadas e integradas a nivel mensual con el objetivo de construir las variables de entrada necesarias para los modelos de predicción desarrollados en la sección posterior.</w:t>
      </w:r>
    </w:p>
    <w:p w14:paraId="25CD4496" w14:textId="77777777" w:rsidR="00617B64" w:rsidRPr="00DA27C1" w:rsidRDefault="00000000" w:rsidP="00617B64">
      <w:pPr>
        <w:rPr>
          <w:color w:val="C45911" w:themeColor="accent2" w:themeShade="BF"/>
        </w:rPr>
      </w:pPr>
      <w:r>
        <w:rPr>
          <w:color w:val="C45911" w:themeColor="accent2" w:themeShade="BF"/>
        </w:rPr>
        <w:pict w14:anchorId="40212B05">
          <v:rect id="_x0000_i1035" style="width:0;height:1.5pt" o:hralign="center" o:hrstd="t" o:hr="t" fillcolor="#a0a0a0" stroked="f"/>
        </w:pict>
      </w:r>
    </w:p>
    <w:p w14:paraId="4ECCE68A" w14:textId="77777777" w:rsidR="00617B64" w:rsidRPr="00DA27C1" w:rsidRDefault="00617B64" w:rsidP="00617B64">
      <w:pPr>
        <w:rPr>
          <w:b/>
          <w:bCs/>
          <w:color w:val="C45911" w:themeColor="accent2" w:themeShade="BF"/>
        </w:rPr>
      </w:pPr>
      <w:r w:rsidRPr="00DA27C1">
        <w:rPr>
          <w:b/>
          <w:bCs/>
          <w:color w:val="C45911" w:themeColor="accent2" w:themeShade="BF"/>
        </w:rPr>
        <w:t>3.2.2. Extracción de publicaciones económicas</w:t>
      </w:r>
    </w:p>
    <w:p w14:paraId="25B510E1" w14:textId="171AE323" w:rsidR="00617B64" w:rsidRPr="00DA27C1" w:rsidRDefault="00617B64" w:rsidP="00617B64">
      <w:pPr>
        <w:rPr>
          <w:color w:val="C45911" w:themeColor="accent2" w:themeShade="BF"/>
        </w:rPr>
      </w:pPr>
      <w:r w:rsidRPr="00DA27C1">
        <w:rPr>
          <w:color w:val="C45911" w:themeColor="accent2" w:themeShade="BF"/>
        </w:rPr>
        <w:t xml:space="preserve">El </w:t>
      </w:r>
      <w:proofErr w:type="spellStart"/>
      <w:r w:rsidRPr="00DA27C1">
        <w:rPr>
          <w:color w:val="C45911" w:themeColor="accent2" w:themeShade="BF"/>
        </w:rPr>
        <w:t>dataset</w:t>
      </w:r>
      <w:proofErr w:type="spellEnd"/>
      <w:r w:rsidRPr="00DA27C1">
        <w:rPr>
          <w:color w:val="C45911" w:themeColor="accent2" w:themeShade="BF"/>
        </w:rPr>
        <w:t xml:space="preserve"> de publicaciones recoge un total de </w:t>
      </w:r>
      <w:r w:rsidRPr="00DA27C1">
        <w:rPr>
          <w:b/>
          <w:bCs/>
          <w:color w:val="C45911" w:themeColor="accent2" w:themeShade="BF"/>
        </w:rPr>
        <w:t>11.198 registros</w:t>
      </w:r>
      <w:r w:rsidRPr="00DA27C1">
        <w:rPr>
          <w:color w:val="C45911" w:themeColor="accent2" w:themeShade="BF"/>
        </w:rPr>
        <w:t xml:space="preserve"> correspondientes a publicaciones digitales de cuentas institucionales relacionadas con la política económica del Gobierno de España, </w:t>
      </w:r>
      <w:r w:rsidR="00561D93" w:rsidRPr="00DA27C1">
        <w:rPr>
          <w:color w:val="C45911" w:themeColor="accent2" w:themeShade="BF"/>
        </w:rPr>
        <w:t>principalmente la cuenta oficial del Ministerio de Economía (`@_</w:t>
      </w:r>
      <w:proofErr w:type="spellStart"/>
      <w:r w:rsidR="00561D93" w:rsidRPr="00DA27C1">
        <w:rPr>
          <w:color w:val="C45911" w:themeColor="accent2" w:themeShade="BF"/>
        </w:rPr>
        <w:t>minecogob</w:t>
      </w:r>
      <w:proofErr w:type="spellEnd"/>
      <w:r w:rsidR="00561D93" w:rsidRPr="00DA27C1">
        <w:rPr>
          <w:color w:val="C45911" w:themeColor="accent2" w:themeShade="BF"/>
        </w:rPr>
        <w:t>`) y otras cuentas institucionales relacionadas con economía, gobierno, digitalización, estadística y comercio.</w:t>
      </w:r>
      <w:r w:rsidRPr="00DA27C1">
        <w:rPr>
          <w:color w:val="C45911" w:themeColor="accent2" w:themeShade="BF"/>
        </w:rPr>
        <w:t xml:space="preserve"> Los datos se encuentran almacenados en el archivo tweets_gobierno_economia.csv y comprenden el período comprendido entre el </w:t>
      </w:r>
      <w:r w:rsidRPr="00DA27C1">
        <w:rPr>
          <w:b/>
          <w:bCs/>
          <w:color w:val="C45911" w:themeColor="accent2" w:themeShade="BF"/>
        </w:rPr>
        <w:t>17 de febrero de 2012</w:t>
      </w:r>
      <w:r w:rsidRPr="00DA27C1">
        <w:rPr>
          <w:color w:val="C45911" w:themeColor="accent2" w:themeShade="BF"/>
        </w:rPr>
        <w:t xml:space="preserve"> y el </w:t>
      </w:r>
      <w:r w:rsidRPr="00DA27C1">
        <w:rPr>
          <w:b/>
          <w:bCs/>
          <w:color w:val="C45911" w:themeColor="accent2" w:themeShade="BF"/>
        </w:rPr>
        <w:t>23 de abril de 2026</w:t>
      </w:r>
      <w:r w:rsidRPr="00DA27C1">
        <w:rPr>
          <w:color w:val="C45911" w:themeColor="accent2" w:themeShade="BF"/>
        </w:rPr>
        <w:t>.</w:t>
      </w:r>
    </w:p>
    <w:p w14:paraId="2E554BED" w14:textId="77777777" w:rsidR="00617B64" w:rsidRPr="00DA27C1" w:rsidRDefault="00617B64" w:rsidP="00617B64">
      <w:pPr>
        <w:rPr>
          <w:color w:val="C45911" w:themeColor="accent2" w:themeShade="BF"/>
        </w:rPr>
      </w:pPr>
      <w:r w:rsidRPr="00DA27C1">
        <w:rPr>
          <w:color w:val="C45911" w:themeColor="accent2" w:themeShade="BF"/>
        </w:rPr>
        <w:t xml:space="preserve">El </w:t>
      </w:r>
      <w:proofErr w:type="spellStart"/>
      <w:r w:rsidRPr="00DA27C1">
        <w:rPr>
          <w:color w:val="C45911" w:themeColor="accent2" w:themeShade="BF"/>
        </w:rPr>
        <w:t>dataset</w:t>
      </w:r>
      <w:proofErr w:type="spellEnd"/>
      <w:r w:rsidRPr="00DA27C1">
        <w:rPr>
          <w:color w:val="C45911" w:themeColor="accent2" w:themeShade="BF"/>
        </w:rPr>
        <w:t xml:space="preserve"> original contiene </w:t>
      </w:r>
      <w:r w:rsidRPr="00DA27C1">
        <w:rPr>
          <w:b/>
          <w:bCs/>
          <w:color w:val="C45911" w:themeColor="accent2" w:themeShade="BF"/>
        </w:rPr>
        <w:t>11 columnas</w:t>
      </w:r>
      <w:r w:rsidRPr="00DA27C1">
        <w:rPr>
          <w:color w:val="C45911" w:themeColor="accent2" w:themeShade="B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4709"/>
      </w:tblGrid>
      <w:tr w:rsidR="00617B64" w:rsidRPr="00DA27C1" w14:paraId="15E938E5" w14:textId="77777777">
        <w:trPr>
          <w:tblHeader/>
          <w:tblCellSpacing w:w="15" w:type="dxa"/>
        </w:trPr>
        <w:tc>
          <w:tcPr>
            <w:tcW w:w="0" w:type="auto"/>
            <w:vAlign w:val="center"/>
            <w:hideMark/>
          </w:tcPr>
          <w:p w14:paraId="194E81D1" w14:textId="77777777" w:rsidR="00617B64" w:rsidRPr="00DA27C1" w:rsidRDefault="00617B64" w:rsidP="00617B64">
            <w:pPr>
              <w:rPr>
                <w:b/>
                <w:bCs/>
                <w:color w:val="C45911" w:themeColor="accent2" w:themeShade="BF"/>
              </w:rPr>
            </w:pPr>
            <w:r w:rsidRPr="00DA27C1">
              <w:rPr>
                <w:b/>
                <w:bCs/>
                <w:color w:val="C45911" w:themeColor="accent2" w:themeShade="BF"/>
              </w:rPr>
              <w:t>Variable</w:t>
            </w:r>
          </w:p>
        </w:tc>
        <w:tc>
          <w:tcPr>
            <w:tcW w:w="0" w:type="auto"/>
            <w:vAlign w:val="center"/>
            <w:hideMark/>
          </w:tcPr>
          <w:p w14:paraId="73D6E3AC" w14:textId="77777777" w:rsidR="00617B64" w:rsidRPr="00DA27C1" w:rsidRDefault="00617B64" w:rsidP="00617B64">
            <w:pPr>
              <w:rPr>
                <w:b/>
                <w:bCs/>
                <w:color w:val="C45911" w:themeColor="accent2" w:themeShade="BF"/>
              </w:rPr>
            </w:pPr>
            <w:r w:rsidRPr="00DA27C1">
              <w:rPr>
                <w:b/>
                <w:bCs/>
                <w:color w:val="C45911" w:themeColor="accent2" w:themeShade="BF"/>
              </w:rPr>
              <w:t>Descripción</w:t>
            </w:r>
          </w:p>
        </w:tc>
      </w:tr>
      <w:tr w:rsidR="00617B64" w:rsidRPr="00DA27C1" w14:paraId="2F2F4CF4" w14:textId="77777777">
        <w:trPr>
          <w:tblCellSpacing w:w="15" w:type="dxa"/>
        </w:trPr>
        <w:tc>
          <w:tcPr>
            <w:tcW w:w="0" w:type="auto"/>
            <w:vAlign w:val="center"/>
            <w:hideMark/>
          </w:tcPr>
          <w:p w14:paraId="2F3862F6" w14:textId="77777777" w:rsidR="00617B64" w:rsidRPr="00DA27C1" w:rsidRDefault="00617B64" w:rsidP="00617B64">
            <w:pPr>
              <w:rPr>
                <w:color w:val="C45911" w:themeColor="accent2" w:themeShade="BF"/>
              </w:rPr>
            </w:pPr>
            <w:r w:rsidRPr="00DA27C1">
              <w:rPr>
                <w:color w:val="C45911" w:themeColor="accent2" w:themeShade="BF"/>
              </w:rPr>
              <w:t>id</w:t>
            </w:r>
          </w:p>
        </w:tc>
        <w:tc>
          <w:tcPr>
            <w:tcW w:w="0" w:type="auto"/>
            <w:vAlign w:val="center"/>
            <w:hideMark/>
          </w:tcPr>
          <w:p w14:paraId="213952EF" w14:textId="77777777" w:rsidR="00617B64" w:rsidRPr="00DA27C1" w:rsidRDefault="00617B64" w:rsidP="00617B64">
            <w:pPr>
              <w:rPr>
                <w:color w:val="C45911" w:themeColor="accent2" w:themeShade="BF"/>
              </w:rPr>
            </w:pPr>
            <w:r w:rsidRPr="00DA27C1">
              <w:rPr>
                <w:color w:val="C45911" w:themeColor="accent2" w:themeShade="BF"/>
              </w:rPr>
              <w:t>Identificador único de la publicación</w:t>
            </w:r>
          </w:p>
        </w:tc>
      </w:tr>
      <w:tr w:rsidR="00617B64" w:rsidRPr="00DA27C1" w14:paraId="215F4775" w14:textId="77777777">
        <w:trPr>
          <w:tblCellSpacing w:w="15" w:type="dxa"/>
        </w:trPr>
        <w:tc>
          <w:tcPr>
            <w:tcW w:w="0" w:type="auto"/>
            <w:vAlign w:val="center"/>
            <w:hideMark/>
          </w:tcPr>
          <w:p w14:paraId="44A7F3F9" w14:textId="77777777" w:rsidR="00617B64" w:rsidRPr="00DA27C1" w:rsidRDefault="00617B64" w:rsidP="00617B64">
            <w:pPr>
              <w:rPr>
                <w:color w:val="C45911" w:themeColor="accent2" w:themeShade="BF"/>
              </w:rPr>
            </w:pPr>
            <w:r w:rsidRPr="00DA27C1">
              <w:rPr>
                <w:color w:val="C45911" w:themeColor="accent2" w:themeShade="BF"/>
              </w:rPr>
              <w:t>fecha</w:t>
            </w:r>
          </w:p>
        </w:tc>
        <w:tc>
          <w:tcPr>
            <w:tcW w:w="0" w:type="auto"/>
            <w:vAlign w:val="center"/>
            <w:hideMark/>
          </w:tcPr>
          <w:p w14:paraId="7A476E4C" w14:textId="77777777" w:rsidR="00617B64" w:rsidRPr="00DA27C1" w:rsidRDefault="00617B64" w:rsidP="00617B64">
            <w:pPr>
              <w:rPr>
                <w:color w:val="C45911" w:themeColor="accent2" w:themeShade="BF"/>
              </w:rPr>
            </w:pPr>
            <w:r w:rsidRPr="00DA27C1">
              <w:rPr>
                <w:color w:val="C45911" w:themeColor="accent2" w:themeShade="BF"/>
              </w:rPr>
              <w:t>Fecha y hora de publicación (formato textual)</w:t>
            </w:r>
          </w:p>
        </w:tc>
      </w:tr>
      <w:tr w:rsidR="00617B64" w:rsidRPr="00DA27C1" w14:paraId="76288EC3" w14:textId="77777777">
        <w:trPr>
          <w:tblCellSpacing w:w="15" w:type="dxa"/>
        </w:trPr>
        <w:tc>
          <w:tcPr>
            <w:tcW w:w="0" w:type="auto"/>
            <w:vAlign w:val="center"/>
            <w:hideMark/>
          </w:tcPr>
          <w:p w14:paraId="5F451211" w14:textId="77777777" w:rsidR="00617B64" w:rsidRPr="00DA27C1" w:rsidRDefault="00617B64" w:rsidP="00617B64">
            <w:pPr>
              <w:rPr>
                <w:color w:val="C45911" w:themeColor="accent2" w:themeShade="BF"/>
              </w:rPr>
            </w:pPr>
            <w:proofErr w:type="spellStart"/>
            <w:r w:rsidRPr="00DA27C1">
              <w:rPr>
                <w:color w:val="C45911" w:themeColor="accent2" w:themeShade="BF"/>
              </w:rPr>
              <w:t>username</w:t>
            </w:r>
            <w:proofErr w:type="spellEnd"/>
          </w:p>
        </w:tc>
        <w:tc>
          <w:tcPr>
            <w:tcW w:w="0" w:type="auto"/>
            <w:vAlign w:val="center"/>
            <w:hideMark/>
          </w:tcPr>
          <w:p w14:paraId="77D309B6" w14:textId="77777777" w:rsidR="00617B64" w:rsidRPr="00DA27C1" w:rsidRDefault="00617B64" w:rsidP="00617B64">
            <w:pPr>
              <w:rPr>
                <w:color w:val="C45911" w:themeColor="accent2" w:themeShade="BF"/>
              </w:rPr>
            </w:pPr>
            <w:r w:rsidRPr="00DA27C1">
              <w:rPr>
                <w:color w:val="C45911" w:themeColor="accent2" w:themeShade="BF"/>
              </w:rPr>
              <w:t>Nombre de usuario de la cuenta publicadora</w:t>
            </w:r>
          </w:p>
        </w:tc>
      </w:tr>
      <w:tr w:rsidR="00617B64" w:rsidRPr="00DA27C1" w14:paraId="0465B74B" w14:textId="77777777">
        <w:trPr>
          <w:tblCellSpacing w:w="15" w:type="dxa"/>
        </w:trPr>
        <w:tc>
          <w:tcPr>
            <w:tcW w:w="0" w:type="auto"/>
            <w:vAlign w:val="center"/>
            <w:hideMark/>
          </w:tcPr>
          <w:p w14:paraId="0CF9D497" w14:textId="77777777" w:rsidR="00617B64" w:rsidRPr="00DA27C1" w:rsidRDefault="00617B64" w:rsidP="00617B64">
            <w:pPr>
              <w:rPr>
                <w:color w:val="C45911" w:themeColor="accent2" w:themeShade="BF"/>
              </w:rPr>
            </w:pPr>
            <w:r w:rsidRPr="00DA27C1">
              <w:rPr>
                <w:color w:val="C45911" w:themeColor="accent2" w:themeShade="BF"/>
              </w:rPr>
              <w:t>contenido</w:t>
            </w:r>
          </w:p>
        </w:tc>
        <w:tc>
          <w:tcPr>
            <w:tcW w:w="0" w:type="auto"/>
            <w:vAlign w:val="center"/>
            <w:hideMark/>
          </w:tcPr>
          <w:p w14:paraId="675D612C" w14:textId="77777777" w:rsidR="00617B64" w:rsidRPr="00DA27C1" w:rsidRDefault="00617B64" w:rsidP="00617B64">
            <w:pPr>
              <w:rPr>
                <w:color w:val="C45911" w:themeColor="accent2" w:themeShade="BF"/>
              </w:rPr>
            </w:pPr>
            <w:r w:rsidRPr="00DA27C1">
              <w:rPr>
                <w:color w:val="C45911" w:themeColor="accent2" w:themeShade="BF"/>
              </w:rPr>
              <w:t>Texto completo de la publicación</w:t>
            </w:r>
          </w:p>
        </w:tc>
      </w:tr>
      <w:tr w:rsidR="00617B64" w:rsidRPr="00DA27C1" w14:paraId="4D56E4A2" w14:textId="77777777">
        <w:trPr>
          <w:tblCellSpacing w:w="15" w:type="dxa"/>
        </w:trPr>
        <w:tc>
          <w:tcPr>
            <w:tcW w:w="0" w:type="auto"/>
            <w:vAlign w:val="center"/>
            <w:hideMark/>
          </w:tcPr>
          <w:p w14:paraId="4D3577B6" w14:textId="77777777" w:rsidR="00617B64" w:rsidRPr="00DA27C1" w:rsidRDefault="00617B64" w:rsidP="00617B64">
            <w:pPr>
              <w:rPr>
                <w:color w:val="C45911" w:themeColor="accent2" w:themeShade="BF"/>
              </w:rPr>
            </w:pPr>
            <w:r w:rsidRPr="00DA27C1">
              <w:rPr>
                <w:color w:val="C45911" w:themeColor="accent2" w:themeShade="BF"/>
              </w:rPr>
              <w:t>hashtags</w:t>
            </w:r>
          </w:p>
        </w:tc>
        <w:tc>
          <w:tcPr>
            <w:tcW w:w="0" w:type="auto"/>
            <w:vAlign w:val="center"/>
            <w:hideMark/>
          </w:tcPr>
          <w:p w14:paraId="173E5531" w14:textId="77777777" w:rsidR="00617B64" w:rsidRPr="00DA27C1" w:rsidRDefault="00617B64" w:rsidP="00617B64">
            <w:pPr>
              <w:rPr>
                <w:color w:val="C45911" w:themeColor="accent2" w:themeShade="BF"/>
              </w:rPr>
            </w:pPr>
            <w:r w:rsidRPr="00DA27C1">
              <w:rPr>
                <w:color w:val="C45911" w:themeColor="accent2" w:themeShade="BF"/>
              </w:rPr>
              <w:t>Etiquetas extraídas del texto</w:t>
            </w:r>
          </w:p>
        </w:tc>
      </w:tr>
      <w:tr w:rsidR="00617B64" w:rsidRPr="00DA27C1" w14:paraId="03945C4F" w14:textId="77777777">
        <w:trPr>
          <w:tblCellSpacing w:w="15" w:type="dxa"/>
        </w:trPr>
        <w:tc>
          <w:tcPr>
            <w:tcW w:w="0" w:type="auto"/>
            <w:vAlign w:val="center"/>
            <w:hideMark/>
          </w:tcPr>
          <w:p w14:paraId="198DFEA9" w14:textId="77777777" w:rsidR="00617B64" w:rsidRPr="00DA27C1" w:rsidRDefault="00617B64" w:rsidP="00617B64">
            <w:pPr>
              <w:rPr>
                <w:color w:val="C45911" w:themeColor="accent2" w:themeShade="BF"/>
              </w:rPr>
            </w:pPr>
            <w:r w:rsidRPr="00DA27C1">
              <w:rPr>
                <w:color w:val="C45911" w:themeColor="accent2" w:themeShade="BF"/>
              </w:rPr>
              <w:lastRenderedPageBreak/>
              <w:t>tipo</w:t>
            </w:r>
          </w:p>
        </w:tc>
        <w:tc>
          <w:tcPr>
            <w:tcW w:w="0" w:type="auto"/>
            <w:vAlign w:val="center"/>
            <w:hideMark/>
          </w:tcPr>
          <w:p w14:paraId="776F4AC5" w14:textId="77777777" w:rsidR="00617B64" w:rsidRPr="00DA27C1" w:rsidRDefault="00617B64" w:rsidP="00617B64">
            <w:pPr>
              <w:rPr>
                <w:color w:val="C45911" w:themeColor="accent2" w:themeShade="BF"/>
              </w:rPr>
            </w:pPr>
            <w:r w:rsidRPr="00DA27C1">
              <w:rPr>
                <w:color w:val="C45911" w:themeColor="accent2" w:themeShade="BF"/>
              </w:rPr>
              <w:t>Tipo de contenido (texto simple, imagen, vídeo/GIF)</w:t>
            </w:r>
          </w:p>
        </w:tc>
      </w:tr>
      <w:tr w:rsidR="00617B64" w:rsidRPr="00DA27C1" w14:paraId="00750F5C" w14:textId="77777777">
        <w:trPr>
          <w:tblCellSpacing w:w="15" w:type="dxa"/>
        </w:trPr>
        <w:tc>
          <w:tcPr>
            <w:tcW w:w="0" w:type="auto"/>
            <w:vAlign w:val="center"/>
            <w:hideMark/>
          </w:tcPr>
          <w:p w14:paraId="6DA5F62C" w14:textId="77777777" w:rsidR="00617B64" w:rsidRPr="00DA27C1" w:rsidRDefault="00617B64" w:rsidP="00617B64">
            <w:pPr>
              <w:rPr>
                <w:color w:val="C45911" w:themeColor="accent2" w:themeShade="BF"/>
              </w:rPr>
            </w:pPr>
            <w:proofErr w:type="spellStart"/>
            <w:r w:rsidRPr="00DA27C1">
              <w:rPr>
                <w:color w:val="C45911" w:themeColor="accent2" w:themeShade="BF"/>
              </w:rPr>
              <w:t>url_media</w:t>
            </w:r>
            <w:proofErr w:type="spellEnd"/>
          </w:p>
        </w:tc>
        <w:tc>
          <w:tcPr>
            <w:tcW w:w="0" w:type="auto"/>
            <w:vAlign w:val="center"/>
            <w:hideMark/>
          </w:tcPr>
          <w:p w14:paraId="12E1EE06" w14:textId="77777777" w:rsidR="00617B64" w:rsidRPr="00DA27C1" w:rsidRDefault="00617B64" w:rsidP="00617B64">
            <w:pPr>
              <w:rPr>
                <w:color w:val="C45911" w:themeColor="accent2" w:themeShade="BF"/>
              </w:rPr>
            </w:pPr>
            <w:r w:rsidRPr="00DA27C1">
              <w:rPr>
                <w:color w:val="C45911" w:themeColor="accent2" w:themeShade="BF"/>
              </w:rPr>
              <w:t>URL del recurso multimedia asociado, cuando existe</w:t>
            </w:r>
          </w:p>
        </w:tc>
      </w:tr>
      <w:tr w:rsidR="00617B64" w:rsidRPr="00DA27C1" w14:paraId="06F89493" w14:textId="77777777">
        <w:trPr>
          <w:tblCellSpacing w:w="15" w:type="dxa"/>
        </w:trPr>
        <w:tc>
          <w:tcPr>
            <w:tcW w:w="0" w:type="auto"/>
            <w:vAlign w:val="center"/>
            <w:hideMark/>
          </w:tcPr>
          <w:p w14:paraId="25DAF239" w14:textId="77777777" w:rsidR="00617B64" w:rsidRPr="00DA27C1" w:rsidRDefault="00617B64" w:rsidP="00617B64">
            <w:pPr>
              <w:rPr>
                <w:color w:val="C45911" w:themeColor="accent2" w:themeShade="BF"/>
              </w:rPr>
            </w:pPr>
            <w:r w:rsidRPr="00DA27C1">
              <w:rPr>
                <w:color w:val="C45911" w:themeColor="accent2" w:themeShade="BF"/>
              </w:rPr>
              <w:t>comentarios</w:t>
            </w:r>
          </w:p>
        </w:tc>
        <w:tc>
          <w:tcPr>
            <w:tcW w:w="0" w:type="auto"/>
            <w:vAlign w:val="center"/>
            <w:hideMark/>
          </w:tcPr>
          <w:p w14:paraId="5B8B3838" w14:textId="77777777" w:rsidR="00617B64" w:rsidRPr="00DA27C1" w:rsidRDefault="00617B64" w:rsidP="00617B64">
            <w:pPr>
              <w:rPr>
                <w:color w:val="C45911" w:themeColor="accent2" w:themeShade="BF"/>
              </w:rPr>
            </w:pPr>
            <w:r w:rsidRPr="00DA27C1">
              <w:rPr>
                <w:color w:val="C45911" w:themeColor="accent2" w:themeShade="BF"/>
              </w:rPr>
              <w:t>Número de comentarios recibidos</w:t>
            </w:r>
          </w:p>
        </w:tc>
      </w:tr>
      <w:tr w:rsidR="00617B64" w:rsidRPr="00DA27C1" w14:paraId="6D0DF136" w14:textId="77777777">
        <w:trPr>
          <w:tblCellSpacing w:w="15" w:type="dxa"/>
        </w:trPr>
        <w:tc>
          <w:tcPr>
            <w:tcW w:w="0" w:type="auto"/>
            <w:vAlign w:val="center"/>
            <w:hideMark/>
          </w:tcPr>
          <w:p w14:paraId="09688D7E" w14:textId="77777777" w:rsidR="00617B64" w:rsidRPr="00DA27C1" w:rsidRDefault="00617B64" w:rsidP="00617B64">
            <w:pPr>
              <w:rPr>
                <w:color w:val="C45911" w:themeColor="accent2" w:themeShade="BF"/>
              </w:rPr>
            </w:pPr>
            <w:proofErr w:type="spellStart"/>
            <w:r w:rsidRPr="00DA27C1">
              <w:rPr>
                <w:color w:val="C45911" w:themeColor="accent2" w:themeShade="BF"/>
              </w:rPr>
              <w:t>retweets</w:t>
            </w:r>
            <w:proofErr w:type="spellEnd"/>
          </w:p>
        </w:tc>
        <w:tc>
          <w:tcPr>
            <w:tcW w:w="0" w:type="auto"/>
            <w:vAlign w:val="center"/>
            <w:hideMark/>
          </w:tcPr>
          <w:p w14:paraId="0B08D632" w14:textId="77777777" w:rsidR="00617B64" w:rsidRPr="00DA27C1" w:rsidRDefault="00617B64" w:rsidP="00617B64">
            <w:pPr>
              <w:rPr>
                <w:color w:val="C45911" w:themeColor="accent2" w:themeShade="BF"/>
              </w:rPr>
            </w:pPr>
            <w:r w:rsidRPr="00DA27C1">
              <w:rPr>
                <w:color w:val="C45911" w:themeColor="accent2" w:themeShade="BF"/>
              </w:rPr>
              <w:t>Número de retuits</w:t>
            </w:r>
          </w:p>
        </w:tc>
      </w:tr>
      <w:tr w:rsidR="00617B64" w:rsidRPr="00DA27C1" w14:paraId="541C7DEE" w14:textId="77777777">
        <w:trPr>
          <w:tblCellSpacing w:w="15" w:type="dxa"/>
        </w:trPr>
        <w:tc>
          <w:tcPr>
            <w:tcW w:w="0" w:type="auto"/>
            <w:vAlign w:val="center"/>
            <w:hideMark/>
          </w:tcPr>
          <w:p w14:paraId="4AEB9589" w14:textId="77777777" w:rsidR="00617B64" w:rsidRPr="00DA27C1" w:rsidRDefault="00617B64" w:rsidP="00617B64">
            <w:pPr>
              <w:rPr>
                <w:color w:val="C45911" w:themeColor="accent2" w:themeShade="BF"/>
              </w:rPr>
            </w:pPr>
            <w:proofErr w:type="spellStart"/>
            <w:r w:rsidRPr="00DA27C1">
              <w:rPr>
                <w:color w:val="C45911" w:themeColor="accent2" w:themeShade="BF"/>
              </w:rPr>
              <w:t>likes</w:t>
            </w:r>
            <w:proofErr w:type="spellEnd"/>
          </w:p>
        </w:tc>
        <w:tc>
          <w:tcPr>
            <w:tcW w:w="0" w:type="auto"/>
            <w:vAlign w:val="center"/>
            <w:hideMark/>
          </w:tcPr>
          <w:p w14:paraId="4AD4786B" w14:textId="77777777" w:rsidR="00617B64" w:rsidRPr="00DA27C1" w:rsidRDefault="00617B64" w:rsidP="00617B64">
            <w:pPr>
              <w:rPr>
                <w:color w:val="C45911" w:themeColor="accent2" w:themeShade="BF"/>
              </w:rPr>
            </w:pPr>
            <w:r w:rsidRPr="00DA27C1">
              <w:rPr>
                <w:color w:val="C45911" w:themeColor="accent2" w:themeShade="BF"/>
              </w:rPr>
              <w:t>Número de me gusta</w:t>
            </w:r>
          </w:p>
        </w:tc>
      </w:tr>
      <w:tr w:rsidR="00617B64" w:rsidRPr="00DA27C1" w14:paraId="746D49DF" w14:textId="77777777">
        <w:trPr>
          <w:tblCellSpacing w:w="15" w:type="dxa"/>
        </w:trPr>
        <w:tc>
          <w:tcPr>
            <w:tcW w:w="0" w:type="auto"/>
            <w:vAlign w:val="center"/>
            <w:hideMark/>
          </w:tcPr>
          <w:p w14:paraId="6418043A" w14:textId="77777777" w:rsidR="00617B64" w:rsidRPr="00DA27C1" w:rsidRDefault="00617B64" w:rsidP="00617B64">
            <w:pPr>
              <w:rPr>
                <w:color w:val="C45911" w:themeColor="accent2" w:themeShade="BF"/>
              </w:rPr>
            </w:pPr>
            <w:proofErr w:type="spellStart"/>
            <w:r w:rsidRPr="00DA27C1">
              <w:rPr>
                <w:color w:val="C45911" w:themeColor="accent2" w:themeShade="BF"/>
              </w:rPr>
              <w:t>views</w:t>
            </w:r>
            <w:proofErr w:type="spellEnd"/>
          </w:p>
        </w:tc>
        <w:tc>
          <w:tcPr>
            <w:tcW w:w="0" w:type="auto"/>
            <w:vAlign w:val="center"/>
            <w:hideMark/>
          </w:tcPr>
          <w:p w14:paraId="08670D13" w14:textId="77777777" w:rsidR="00617B64" w:rsidRPr="00DA27C1" w:rsidRDefault="00617B64" w:rsidP="00617B64">
            <w:pPr>
              <w:rPr>
                <w:color w:val="C45911" w:themeColor="accent2" w:themeShade="BF"/>
              </w:rPr>
            </w:pPr>
            <w:r w:rsidRPr="00DA27C1">
              <w:rPr>
                <w:color w:val="C45911" w:themeColor="accent2" w:themeShade="BF"/>
              </w:rPr>
              <w:t>Número de visualizaciones</w:t>
            </w:r>
          </w:p>
        </w:tc>
      </w:tr>
    </w:tbl>
    <w:p w14:paraId="1FB7E427" w14:textId="77777777" w:rsidR="00617B64" w:rsidRPr="00DA27C1" w:rsidRDefault="00617B64" w:rsidP="00617B64">
      <w:pPr>
        <w:rPr>
          <w:color w:val="C45911" w:themeColor="accent2" w:themeShade="BF"/>
        </w:rPr>
      </w:pPr>
      <w:r w:rsidRPr="00DA27C1">
        <w:rPr>
          <w:color w:val="C45911" w:themeColor="accent2" w:themeShade="BF"/>
        </w:rPr>
        <w:t>Es importante señalar que la distribución temporal de las publicaciones no es homogénea: durante los primeros años del período de análisis (2012–2018) el volumen mensual es notablemente inferior al registrado en los años más recientes, lo que refleja el crecimiento progresivo en el uso institucional de las redes sociales. Esta asimetría debe tenerse en cuenta a la hora de interpretar los indicadores de sentimiento calculados sobre ventanas mensuales con escaso volumen de publicaciones. Asimismo, la muestra presenta una posible sobrerrepresentación de determinadas cuentas o periodos más activos, lo que introduce un sesgo potencial en los promedios mensuales de sentimiento.</w:t>
      </w:r>
    </w:p>
    <w:p w14:paraId="6CB8749F" w14:textId="77777777" w:rsidR="00617B64" w:rsidRPr="00DA27C1" w:rsidRDefault="00000000" w:rsidP="00617B64">
      <w:pPr>
        <w:rPr>
          <w:color w:val="C45911" w:themeColor="accent2" w:themeShade="BF"/>
        </w:rPr>
      </w:pPr>
      <w:r>
        <w:rPr>
          <w:color w:val="C45911" w:themeColor="accent2" w:themeShade="BF"/>
        </w:rPr>
        <w:pict w14:anchorId="537C25FF">
          <v:rect id="_x0000_i1036" style="width:0;height:1.5pt" o:hralign="center" o:hrstd="t" o:hr="t" fillcolor="#a0a0a0" stroked="f"/>
        </w:pict>
      </w:r>
    </w:p>
    <w:p w14:paraId="7B5EEA66" w14:textId="77777777" w:rsidR="00617B64" w:rsidRPr="00DA27C1" w:rsidRDefault="00617B64" w:rsidP="00617B64">
      <w:pPr>
        <w:rPr>
          <w:b/>
          <w:bCs/>
          <w:color w:val="C45911" w:themeColor="accent2" w:themeShade="BF"/>
        </w:rPr>
      </w:pPr>
      <w:r w:rsidRPr="00DA27C1">
        <w:rPr>
          <w:b/>
          <w:bCs/>
          <w:color w:val="C45911" w:themeColor="accent2" w:themeShade="BF"/>
        </w:rPr>
        <w:t>3.2.3. Obtención del Índice de Confianza del Consumidor</w:t>
      </w:r>
    </w:p>
    <w:p w14:paraId="035347F7" w14:textId="77777777" w:rsidR="00617B64" w:rsidRPr="00DA27C1" w:rsidRDefault="00617B64" w:rsidP="00617B64">
      <w:pPr>
        <w:rPr>
          <w:color w:val="C45911" w:themeColor="accent2" w:themeShade="BF"/>
        </w:rPr>
      </w:pPr>
      <w:r w:rsidRPr="00DA27C1">
        <w:rPr>
          <w:color w:val="C45911" w:themeColor="accent2" w:themeShade="BF"/>
        </w:rPr>
        <w:t xml:space="preserve">El Índice de Confianza del Consumidor (ICC) es elaborado mensualmente por el CIS y mide la percepción que los hogares tienen sobre la situación económica actual y sus expectativas de futuro. La serie utilizada en este trabajo procede de la plataforma </w:t>
      </w:r>
      <w:proofErr w:type="spellStart"/>
      <w:r w:rsidRPr="00DA27C1">
        <w:rPr>
          <w:color w:val="C45911" w:themeColor="accent2" w:themeShade="BF"/>
        </w:rPr>
        <w:t>EpData</w:t>
      </w:r>
      <w:proofErr w:type="spellEnd"/>
      <w:r w:rsidRPr="00DA27C1">
        <w:rPr>
          <w:color w:val="C45911" w:themeColor="accent2" w:themeShade="BF"/>
        </w:rPr>
        <w:t>, que agrega y publica datos oficiales del CIS en formato descargable.</w:t>
      </w:r>
    </w:p>
    <w:p w14:paraId="2CFC7A6A" w14:textId="77777777" w:rsidR="00617B64" w:rsidRPr="00DA27C1" w:rsidRDefault="00617B64" w:rsidP="00617B64">
      <w:pPr>
        <w:rPr>
          <w:color w:val="C45911" w:themeColor="accent2" w:themeShade="BF"/>
        </w:rPr>
      </w:pPr>
      <w:r w:rsidRPr="00DA27C1">
        <w:rPr>
          <w:color w:val="C45911" w:themeColor="accent2" w:themeShade="BF"/>
        </w:rPr>
        <w:t xml:space="preserve">El archivo evolucion_de_la_confianza_del_consumidor_desde_2004.csv presenta una estructura con tres columnas: Año, Periodo (denominación en español del mes) e ICC (valor del índice, con coma decimal). Tras eliminar filas con valores no numéricos en la columna de año y convertir el nombre del mes a su número ordinal, se obtienen </w:t>
      </w:r>
      <w:r w:rsidRPr="00DA27C1">
        <w:rPr>
          <w:b/>
          <w:bCs/>
          <w:color w:val="C45911" w:themeColor="accent2" w:themeShade="BF"/>
        </w:rPr>
        <w:t>253 observaciones mensuales</w:t>
      </w:r>
      <w:r w:rsidRPr="00DA27C1">
        <w:rPr>
          <w:color w:val="C45911" w:themeColor="accent2" w:themeShade="BF"/>
        </w:rPr>
        <w:t xml:space="preserve"> que abarcan desde </w:t>
      </w:r>
      <w:r w:rsidRPr="00DA27C1">
        <w:rPr>
          <w:b/>
          <w:bCs/>
          <w:color w:val="C45911" w:themeColor="accent2" w:themeShade="BF"/>
        </w:rPr>
        <w:t>septiembre de 2004</w:t>
      </w:r>
      <w:r w:rsidRPr="00DA27C1">
        <w:rPr>
          <w:color w:val="C45911" w:themeColor="accent2" w:themeShade="BF"/>
        </w:rPr>
        <w:t xml:space="preserve"> hasta </w:t>
      </w:r>
      <w:r w:rsidRPr="00DA27C1">
        <w:rPr>
          <w:b/>
          <w:bCs/>
          <w:color w:val="C45911" w:themeColor="accent2" w:themeShade="BF"/>
        </w:rPr>
        <w:t>enero de 2026</w:t>
      </w:r>
      <w:r w:rsidRPr="00DA27C1">
        <w:rPr>
          <w:color w:val="C45911" w:themeColor="accent2" w:themeShade="BF"/>
        </w:rPr>
        <w:t>. Este es el período que se considera válido para el análisis, una vez depurados los posibles registros incompletos presentes al final de la serie.</w:t>
      </w:r>
    </w:p>
    <w:p w14:paraId="6CF10A60" w14:textId="77777777" w:rsidR="00617B64" w:rsidRPr="00DA27C1" w:rsidRDefault="00000000" w:rsidP="00617B64">
      <w:pPr>
        <w:rPr>
          <w:color w:val="C45911" w:themeColor="accent2" w:themeShade="BF"/>
        </w:rPr>
      </w:pPr>
      <w:r>
        <w:rPr>
          <w:color w:val="C45911" w:themeColor="accent2" w:themeShade="BF"/>
        </w:rPr>
        <w:pict w14:anchorId="5CCA96E7">
          <v:rect id="_x0000_i1037" style="width:0;height:1.5pt" o:hralign="center" o:hrstd="t" o:hr="t" fillcolor="#a0a0a0" stroked="f"/>
        </w:pict>
      </w:r>
    </w:p>
    <w:p w14:paraId="7627FBDC" w14:textId="77777777" w:rsidR="00617B64" w:rsidRPr="00DA27C1" w:rsidRDefault="00617B64" w:rsidP="00617B64">
      <w:pPr>
        <w:rPr>
          <w:b/>
          <w:bCs/>
          <w:color w:val="C45911" w:themeColor="accent2" w:themeShade="BF"/>
        </w:rPr>
      </w:pPr>
      <w:r w:rsidRPr="00DA27C1">
        <w:rPr>
          <w:b/>
          <w:bCs/>
          <w:color w:val="C45911" w:themeColor="accent2" w:themeShade="BF"/>
        </w:rPr>
        <w:t>3.2.4. Limpieza y transformación de los datos</w:t>
      </w:r>
    </w:p>
    <w:p w14:paraId="76F611D7" w14:textId="77777777" w:rsidR="00617B64" w:rsidRPr="00DA27C1" w:rsidRDefault="00617B64" w:rsidP="00617B64">
      <w:pPr>
        <w:rPr>
          <w:color w:val="C45911" w:themeColor="accent2" w:themeShade="BF"/>
        </w:rPr>
      </w:pPr>
      <w:r w:rsidRPr="00DA27C1">
        <w:rPr>
          <w:b/>
          <w:bCs/>
          <w:color w:val="C45911" w:themeColor="accent2" w:themeShade="BF"/>
        </w:rPr>
        <w:t>Publicaciones.</w:t>
      </w:r>
      <w:r w:rsidRPr="00DA27C1">
        <w:rPr>
          <w:color w:val="C45911" w:themeColor="accent2" w:themeShade="BF"/>
        </w:rPr>
        <w:t xml:space="preserve"> El campo fecha, tal como se encontraba en el CSV original, presentaba un formato textual con separadores intermedios (por ejemplo, </w:t>
      </w:r>
      <w:proofErr w:type="spellStart"/>
      <w:r w:rsidRPr="00DA27C1">
        <w:rPr>
          <w:color w:val="C45911" w:themeColor="accent2" w:themeShade="BF"/>
        </w:rPr>
        <w:t>Apr</w:t>
      </w:r>
      <w:proofErr w:type="spellEnd"/>
      <w:r w:rsidRPr="00DA27C1">
        <w:rPr>
          <w:color w:val="C45911" w:themeColor="accent2" w:themeShade="BF"/>
        </w:rPr>
        <w:t xml:space="preserve"> 23, 2026 · 4:06 PM UTC). Para su correcta interpretación, se realizó una sustitución del separador · por un espacio y se eliminó el sufijo UTC, obteniendo un formato estándar que fue posteriormente </w:t>
      </w:r>
      <w:proofErr w:type="spellStart"/>
      <w:r w:rsidRPr="00DA27C1">
        <w:rPr>
          <w:color w:val="C45911" w:themeColor="accent2" w:themeShade="BF"/>
        </w:rPr>
        <w:t>parseado</w:t>
      </w:r>
      <w:proofErr w:type="spellEnd"/>
      <w:r w:rsidRPr="00DA27C1">
        <w:rPr>
          <w:color w:val="C45911" w:themeColor="accent2" w:themeShade="BF"/>
        </w:rPr>
        <w:t xml:space="preserve"> como objeto </w:t>
      </w:r>
      <w:proofErr w:type="spellStart"/>
      <w:r w:rsidRPr="00DA27C1">
        <w:rPr>
          <w:color w:val="C45911" w:themeColor="accent2" w:themeShade="BF"/>
        </w:rPr>
        <w:t>datetime</w:t>
      </w:r>
      <w:proofErr w:type="spellEnd"/>
      <w:r w:rsidRPr="00DA27C1">
        <w:rPr>
          <w:color w:val="C45911" w:themeColor="accent2" w:themeShade="BF"/>
        </w:rPr>
        <w:t xml:space="preserve"> mediante </w:t>
      </w:r>
      <w:proofErr w:type="spellStart"/>
      <w:r w:rsidRPr="00DA27C1">
        <w:rPr>
          <w:color w:val="C45911" w:themeColor="accent2" w:themeShade="BF"/>
        </w:rPr>
        <w:t>pd.to_datetime</w:t>
      </w:r>
      <w:proofErr w:type="spellEnd"/>
      <w:r w:rsidRPr="00DA27C1">
        <w:rPr>
          <w:color w:val="C45911" w:themeColor="accent2" w:themeShade="BF"/>
        </w:rPr>
        <w:t xml:space="preserve"> con el formato explícito %b %d, %Y %I:%M %p. Tras esta transformación, el número de </w:t>
      </w:r>
      <w:r w:rsidRPr="00DA27C1">
        <w:rPr>
          <w:b/>
          <w:bCs/>
          <w:color w:val="C45911" w:themeColor="accent2" w:themeShade="BF"/>
        </w:rPr>
        <w:t>fechas nulas resultó ser cero</w:t>
      </w:r>
      <w:r w:rsidRPr="00DA27C1">
        <w:rPr>
          <w:color w:val="C45911" w:themeColor="accent2" w:themeShade="BF"/>
        </w:rPr>
        <w:t>, lo que confirma que la conversión fue exitosa para la totalidad de los registros.</w:t>
      </w:r>
    </w:p>
    <w:p w14:paraId="59176D19" w14:textId="77777777" w:rsidR="00617B64" w:rsidRPr="00DA27C1" w:rsidRDefault="00617B64" w:rsidP="00617B64">
      <w:pPr>
        <w:rPr>
          <w:color w:val="C45911" w:themeColor="accent2" w:themeShade="BF"/>
        </w:rPr>
      </w:pPr>
      <w:r w:rsidRPr="00DA27C1">
        <w:rPr>
          <w:color w:val="C45911" w:themeColor="accent2" w:themeShade="BF"/>
        </w:rPr>
        <w:t xml:space="preserve">A partir de la fecha </w:t>
      </w:r>
      <w:proofErr w:type="spellStart"/>
      <w:r w:rsidRPr="00DA27C1">
        <w:rPr>
          <w:color w:val="C45911" w:themeColor="accent2" w:themeShade="BF"/>
        </w:rPr>
        <w:t>parseada</w:t>
      </w:r>
      <w:proofErr w:type="spellEnd"/>
      <w:r w:rsidRPr="00DA27C1">
        <w:rPr>
          <w:color w:val="C45911" w:themeColor="accent2" w:themeShade="BF"/>
        </w:rPr>
        <w:t>, se extrajo el mes de la publicación truncando al primer día del mes correspondiente, lo que permite la agregación mensual posterior.</w:t>
      </w:r>
    </w:p>
    <w:p w14:paraId="72C14BFE" w14:textId="77777777" w:rsidR="00617B64" w:rsidRPr="00DA27C1" w:rsidRDefault="00617B64" w:rsidP="00617B64">
      <w:pPr>
        <w:rPr>
          <w:color w:val="C45911" w:themeColor="accent2" w:themeShade="BF"/>
        </w:rPr>
      </w:pPr>
      <w:r w:rsidRPr="00DA27C1">
        <w:rPr>
          <w:b/>
          <w:bCs/>
          <w:color w:val="C45911" w:themeColor="accent2" w:themeShade="BF"/>
        </w:rPr>
        <w:lastRenderedPageBreak/>
        <w:t>ICC.</w:t>
      </w:r>
      <w:r w:rsidRPr="00DA27C1">
        <w:rPr>
          <w:color w:val="C45911" w:themeColor="accent2" w:themeShade="BF"/>
        </w:rPr>
        <w:t xml:space="preserve"> Los valores de la columna Confianza del consumidor se encontraban expresados con coma decimal, convención propia del estándar numérico español. Se realizó la sustitución de la coma por el punto y la conversión al tipo </w:t>
      </w:r>
      <w:proofErr w:type="spellStart"/>
      <w:r w:rsidRPr="00DA27C1">
        <w:rPr>
          <w:color w:val="C45911" w:themeColor="accent2" w:themeShade="BF"/>
        </w:rPr>
        <w:t>float</w:t>
      </w:r>
      <w:proofErr w:type="spellEnd"/>
      <w:r w:rsidRPr="00DA27C1">
        <w:rPr>
          <w:color w:val="C45911" w:themeColor="accent2" w:themeShade="BF"/>
        </w:rPr>
        <w:t xml:space="preserve"> para su correcto tratamiento numérico.</w:t>
      </w:r>
    </w:p>
    <w:p w14:paraId="7C8D4F66" w14:textId="77777777" w:rsidR="00617B64" w:rsidRPr="00DA27C1" w:rsidRDefault="00000000" w:rsidP="00617B64">
      <w:pPr>
        <w:rPr>
          <w:color w:val="C45911" w:themeColor="accent2" w:themeShade="BF"/>
        </w:rPr>
      </w:pPr>
      <w:r>
        <w:rPr>
          <w:color w:val="C45911" w:themeColor="accent2" w:themeShade="BF"/>
        </w:rPr>
        <w:pict w14:anchorId="630C1201">
          <v:rect id="_x0000_i1038" style="width:0;height:1.5pt" o:hralign="center" o:hrstd="t" o:hr="t" fillcolor="#a0a0a0" stroked="f"/>
        </w:pict>
      </w:r>
    </w:p>
    <w:p w14:paraId="542BED45" w14:textId="77777777" w:rsidR="00617B64" w:rsidRPr="00DA27C1" w:rsidRDefault="00617B64" w:rsidP="00617B64">
      <w:pPr>
        <w:rPr>
          <w:b/>
          <w:bCs/>
          <w:color w:val="C45911" w:themeColor="accent2" w:themeShade="BF"/>
        </w:rPr>
      </w:pPr>
      <w:r w:rsidRPr="00DA27C1">
        <w:rPr>
          <w:b/>
          <w:bCs/>
          <w:color w:val="C45911" w:themeColor="accent2" w:themeShade="BF"/>
        </w:rPr>
        <w:t>3.2.5. Tratamiento de valores nulos</w:t>
      </w:r>
    </w:p>
    <w:p w14:paraId="343A5B97" w14:textId="77777777" w:rsidR="00617B64" w:rsidRPr="00DA27C1" w:rsidRDefault="00617B64" w:rsidP="00617B64">
      <w:pPr>
        <w:rPr>
          <w:color w:val="C45911" w:themeColor="accent2" w:themeShade="BF"/>
        </w:rPr>
      </w:pPr>
      <w:r w:rsidRPr="00DA27C1">
        <w:rPr>
          <w:color w:val="C45911" w:themeColor="accent2" w:themeShade="BF"/>
        </w:rPr>
        <w:t xml:space="preserve">En el </w:t>
      </w:r>
      <w:proofErr w:type="spellStart"/>
      <w:r w:rsidRPr="00DA27C1">
        <w:rPr>
          <w:color w:val="C45911" w:themeColor="accent2" w:themeShade="BF"/>
        </w:rPr>
        <w:t>dataset</w:t>
      </w:r>
      <w:proofErr w:type="spellEnd"/>
      <w:r w:rsidRPr="00DA27C1">
        <w:rPr>
          <w:color w:val="C45911" w:themeColor="accent2" w:themeShade="BF"/>
        </w:rPr>
        <w:t xml:space="preserve"> de publicaciones, la columna hashtags y la columna </w:t>
      </w:r>
      <w:proofErr w:type="spellStart"/>
      <w:r w:rsidRPr="00DA27C1">
        <w:rPr>
          <w:color w:val="C45911" w:themeColor="accent2" w:themeShade="BF"/>
        </w:rPr>
        <w:t>url_media</w:t>
      </w:r>
      <w:proofErr w:type="spellEnd"/>
      <w:r w:rsidRPr="00DA27C1">
        <w:rPr>
          <w:color w:val="C45911" w:themeColor="accent2" w:themeShade="BF"/>
        </w:rPr>
        <w:t xml:space="preserve"> presentan valores nulos en los registros que no contienen, respectivamente, etiquetas o medios adjuntos. Estos campos no se emplean en el proceso de cálculo de sentimiento ni en la construcción de variables predictoras, por lo que no requirieron imputación.</w:t>
      </w:r>
    </w:p>
    <w:p w14:paraId="3DD87C6F" w14:textId="7B17D8D3" w:rsidR="00617B64" w:rsidRPr="00DA27C1" w:rsidRDefault="00617B64" w:rsidP="00617B64">
      <w:pPr>
        <w:rPr>
          <w:color w:val="C45911" w:themeColor="accent2" w:themeShade="BF"/>
        </w:rPr>
      </w:pPr>
      <w:r w:rsidRPr="00DA27C1">
        <w:rPr>
          <w:color w:val="C45911" w:themeColor="accent2" w:themeShade="BF"/>
        </w:rPr>
        <w:t xml:space="preserve">Durante la integración de ambos </w:t>
      </w:r>
      <w:proofErr w:type="spellStart"/>
      <w:r w:rsidRPr="00DA27C1">
        <w:rPr>
          <w:color w:val="C45911" w:themeColor="accent2" w:themeShade="BF"/>
        </w:rPr>
        <w:t>datasets</w:t>
      </w:r>
      <w:proofErr w:type="spellEnd"/>
      <w:r w:rsidRPr="00DA27C1">
        <w:rPr>
          <w:color w:val="C45911" w:themeColor="accent2" w:themeShade="BF"/>
        </w:rPr>
        <w:t xml:space="preserve"> se realizó una combinación de tipo </w:t>
      </w:r>
      <w:proofErr w:type="spellStart"/>
      <w:r w:rsidRPr="00DA27C1">
        <w:rPr>
          <w:color w:val="C45911" w:themeColor="accent2" w:themeShade="BF"/>
        </w:rPr>
        <w:t>left</w:t>
      </w:r>
      <w:proofErr w:type="spellEnd"/>
      <w:r w:rsidRPr="00DA27C1">
        <w:rPr>
          <w:color w:val="C45911" w:themeColor="accent2" w:themeShade="BF"/>
        </w:rPr>
        <w:t xml:space="preserve"> </w:t>
      </w:r>
      <w:proofErr w:type="spellStart"/>
      <w:r w:rsidRPr="00DA27C1">
        <w:rPr>
          <w:color w:val="C45911" w:themeColor="accent2" w:themeShade="BF"/>
        </w:rPr>
        <w:t>join</w:t>
      </w:r>
      <w:proofErr w:type="spellEnd"/>
      <w:r w:rsidRPr="00DA27C1">
        <w:rPr>
          <w:color w:val="C45911" w:themeColor="accent2" w:themeShade="BF"/>
        </w:rPr>
        <w:t xml:space="preserve"> tomando como base la serie del ICC. Los meses del ICC para los que no existían publicaciones en el </w:t>
      </w:r>
      <w:proofErr w:type="spellStart"/>
      <w:r w:rsidRPr="00DA27C1">
        <w:rPr>
          <w:color w:val="C45911" w:themeColor="accent2" w:themeShade="BF"/>
        </w:rPr>
        <w:t>dataset</w:t>
      </w:r>
      <w:proofErr w:type="spellEnd"/>
      <w:r w:rsidRPr="00DA27C1">
        <w:rPr>
          <w:color w:val="C45911" w:themeColor="accent2" w:themeShade="BF"/>
        </w:rPr>
        <w:t xml:space="preserve"> de texto recibieron un valor de cero en todas las variables de sentimiento </w:t>
      </w:r>
      <w:r w:rsidR="00506AEC" w:rsidRPr="00DA27C1">
        <w:rPr>
          <w:color w:val="C45911" w:themeColor="accent2" w:themeShade="BF"/>
        </w:rPr>
        <w:t xml:space="preserve">derivadas Los meses sin publicaciones recibieron valor cero en las variables de volumen y sentimiento, con el objetivo de mantener la continuidad mensual de la serie y permitir su integración con el ICC. </w:t>
      </w:r>
      <w:r w:rsidRPr="00DA27C1">
        <w:rPr>
          <w:color w:val="C45911" w:themeColor="accent2" w:themeShade="BF"/>
        </w:rPr>
        <w:t xml:space="preserve">Tras la integración y la creación de los retardos temporales —que generan valores nulos en las primeras filas de la serie—, se eliminaron las observaciones incompletas resultantes, obteniendo un </w:t>
      </w:r>
      <w:proofErr w:type="spellStart"/>
      <w:r w:rsidRPr="00DA27C1">
        <w:rPr>
          <w:b/>
          <w:bCs/>
          <w:color w:val="C45911" w:themeColor="accent2" w:themeShade="BF"/>
        </w:rPr>
        <w:t>dataset</w:t>
      </w:r>
      <w:proofErr w:type="spellEnd"/>
      <w:r w:rsidRPr="00DA27C1">
        <w:rPr>
          <w:b/>
          <w:bCs/>
          <w:color w:val="C45911" w:themeColor="accent2" w:themeShade="BF"/>
        </w:rPr>
        <w:t xml:space="preserve"> final de 249 observaciones</w:t>
      </w:r>
      <w:r w:rsidRPr="00DA27C1">
        <w:rPr>
          <w:color w:val="C45911" w:themeColor="accent2" w:themeShade="BF"/>
        </w:rPr>
        <w:t xml:space="preserve"> válidas para el modelado.</w:t>
      </w:r>
    </w:p>
    <w:p w14:paraId="352A7A3A" w14:textId="77777777" w:rsidR="00617B64" w:rsidRPr="00DA27C1" w:rsidRDefault="00000000" w:rsidP="00617B64">
      <w:pPr>
        <w:rPr>
          <w:color w:val="C45911" w:themeColor="accent2" w:themeShade="BF"/>
        </w:rPr>
      </w:pPr>
      <w:r>
        <w:rPr>
          <w:color w:val="C45911" w:themeColor="accent2" w:themeShade="BF"/>
        </w:rPr>
        <w:pict w14:anchorId="611B9464">
          <v:rect id="_x0000_i1039" style="width:0;height:1.5pt" o:hralign="center" o:hrstd="t" o:hr="t" fillcolor="#a0a0a0" stroked="f"/>
        </w:pict>
      </w:r>
    </w:p>
    <w:p w14:paraId="399FDCFC" w14:textId="77777777" w:rsidR="00617B64" w:rsidRPr="00DA27C1" w:rsidRDefault="00617B64" w:rsidP="00617B64">
      <w:pPr>
        <w:rPr>
          <w:b/>
          <w:bCs/>
          <w:color w:val="C45911" w:themeColor="accent2" w:themeShade="BF"/>
        </w:rPr>
      </w:pPr>
      <w:r w:rsidRPr="00DA27C1">
        <w:rPr>
          <w:b/>
          <w:bCs/>
          <w:color w:val="C45911" w:themeColor="accent2" w:themeShade="BF"/>
        </w:rPr>
        <w:t>3.2.6. Creación de variables de sentimiento</w:t>
      </w:r>
    </w:p>
    <w:p w14:paraId="44ED8830" w14:textId="77777777" w:rsidR="00617B64" w:rsidRPr="00DA27C1" w:rsidRDefault="00617B64" w:rsidP="00617B64">
      <w:pPr>
        <w:rPr>
          <w:color w:val="C45911" w:themeColor="accent2" w:themeShade="BF"/>
        </w:rPr>
      </w:pPr>
      <w:r w:rsidRPr="00DA27C1">
        <w:rPr>
          <w:color w:val="C45911" w:themeColor="accent2" w:themeShade="BF"/>
        </w:rPr>
        <w:t xml:space="preserve">Con el fin de cuantificar el tono expresado en las publicaciones, se aplicó el análisis de sentimiento mediante la biblioteca </w:t>
      </w:r>
      <w:proofErr w:type="spellStart"/>
      <w:r w:rsidRPr="00DA27C1">
        <w:rPr>
          <w:color w:val="C45911" w:themeColor="accent2" w:themeShade="BF"/>
        </w:rPr>
        <w:t>TextBlob</w:t>
      </w:r>
      <w:proofErr w:type="spellEnd"/>
      <w:r w:rsidRPr="00DA27C1">
        <w:rPr>
          <w:color w:val="C45911" w:themeColor="accent2" w:themeShade="BF"/>
        </w:rPr>
        <w:t>. Aunque esta herramienta fue diseñada originalmente para el inglés, ha sido ampliamente utilizada como aproximación exploratoria en textos en español, especialmente cuando el objetivo es capturar tendencias agregadas a nivel mensual más que clasificaciones precisas a nivel de documento individual. Se asume, por tanto, que los valores de polaridad obtenidos son indicativos del tono general del discurso institucional, con las limitaciones inherentes al uso de un modelo lingüístico no entrenado específicamente para el español.</w:t>
      </w:r>
    </w:p>
    <w:p w14:paraId="678E6EB4" w14:textId="77777777" w:rsidR="00617B64" w:rsidRPr="00DA27C1" w:rsidRDefault="00617B64" w:rsidP="00617B64">
      <w:pPr>
        <w:rPr>
          <w:color w:val="C45911" w:themeColor="accent2" w:themeShade="BF"/>
        </w:rPr>
      </w:pPr>
      <w:r w:rsidRPr="00DA27C1">
        <w:rPr>
          <w:color w:val="C45911" w:themeColor="accent2" w:themeShade="BF"/>
        </w:rPr>
        <w:t xml:space="preserve">Para cada publicación se calculó la polaridad de su texto limpio —una vez eliminadas </w:t>
      </w:r>
      <w:proofErr w:type="spellStart"/>
      <w:r w:rsidRPr="00DA27C1">
        <w:rPr>
          <w:color w:val="C45911" w:themeColor="accent2" w:themeShade="BF"/>
        </w:rPr>
        <w:t>URLs</w:t>
      </w:r>
      <w:proofErr w:type="spellEnd"/>
      <w:r w:rsidRPr="00DA27C1">
        <w:rPr>
          <w:color w:val="C45911" w:themeColor="accent2" w:themeShade="BF"/>
        </w:rPr>
        <w:t>, menciones y caracteres de control— obteniendo un valor continuo en el intervalo [−1, 1], donde los valores negativos indican tono negativo y los positivos tono positivo. A partir de este valor se construyeron tres variables binarias a nivel de publicación:</w:t>
      </w:r>
    </w:p>
    <w:p w14:paraId="5E39E45A" w14:textId="77777777" w:rsidR="00617B64" w:rsidRPr="00DA27C1" w:rsidRDefault="00617B64" w:rsidP="00617B64">
      <w:pPr>
        <w:numPr>
          <w:ilvl w:val="0"/>
          <w:numId w:val="9"/>
        </w:numPr>
        <w:rPr>
          <w:color w:val="C45911" w:themeColor="accent2" w:themeShade="BF"/>
        </w:rPr>
      </w:pPr>
      <w:proofErr w:type="spellStart"/>
      <w:r w:rsidRPr="00DA27C1">
        <w:rPr>
          <w:b/>
          <w:bCs/>
          <w:color w:val="C45911" w:themeColor="accent2" w:themeShade="BF"/>
        </w:rPr>
        <w:t>sentimiento_positivo</w:t>
      </w:r>
      <w:proofErr w:type="spellEnd"/>
      <w:r w:rsidRPr="00DA27C1">
        <w:rPr>
          <w:color w:val="C45911" w:themeColor="accent2" w:themeShade="BF"/>
        </w:rPr>
        <w:t>: 1 si la polaridad es mayor que 0,05; 0 en caso contrario.</w:t>
      </w:r>
    </w:p>
    <w:p w14:paraId="6DFA3F49" w14:textId="77777777" w:rsidR="00617B64" w:rsidRPr="00DA27C1" w:rsidRDefault="00617B64" w:rsidP="00617B64">
      <w:pPr>
        <w:numPr>
          <w:ilvl w:val="0"/>
          <w:numId w:val="9"/>
        </w:numPr>
        <w:rPr>
          <w:color w:val="C45911" w:themeColor="accent2" w:themeShade="BF"/>
        </w:rPr>
      </w:pPr>
      <w:proofErr w:type="spellStart"/>
      <w:r w:rsidRPr="00DA27C1">
        <w:rPr>
          <w:b/>
          <w:bCs/>
          <w:color w:val="C45911" w:themeColor="accent2" w:themeShade="BF"/>
        </w:rPr>
        <w:t>sentimiento_negativo</w:t>
      </w:r>
      <w:proofErr w:type="spellEnd"/>
      <w:r w:rsidRPr="00DA27C1">
        <w:rPr>
          <w:color w:val="C45911" w:themeColor="accent2" w:themeShade="BF"/>
        </w:rPr>
        <w:t>: 1 si la polaridad es menor que −0,05; 0 en caso contrario.</w:t>
      </w:r>
    </w:p>
    <w:p w14:paraId="345AD79F" w14:textId="77777777" w:rsidR="00617B64" w:rsidRPr="00DA27C1" w:rsidRDefault="00617B64" w:rsidP="00617B64">
      <w:pPr>
        <w:numPr>
          <w:ilvl w:val="0"/>
          <w:numId w:val="9"/>
        </w:numPr>
        <w:rPr>
          <w:color w:val="C45911" w:themeColor="accent2" w:themeShade="BF"/>
        </w:rPr>
      </w:pPr>
      <w:proofErr w:type="spellStart"/>
      <w:r w:rsidRPr="00DA27C1">
        <w:rPr>
          <w:b/>
          <w:bCs/>
          <w:color w:val="C45911" w:themeColor="accent2" w:themeShade="BF"/>
        </w:rPr>
        <w:t>sentimiento_neutro</w:t>
      </w:r>
      <w:proofErr w:type="spellEnd"/>
      <w:r w:rsidRPr="00DA27C1">
        <w:rPr>
          <w:color w:val="C45911" w:themeColor="accent2" w:themeShade="BF"/>
        </w:rPr>
        <w:t>: 1 si la polaridad se encuentra en el intervalo [−0,05, 0,05].</w:t>
      </w:r>
    </w:p>
    <w:p w14:paraId="1C0EAB3B" w14:textId="77777777" w:rsidR="00617B64" w:rsidRPr="00DA27C1" w:rsidRDefault="00617B64" w:rsidP="00617B64">
      <w:pPr>
        <w:rPr>
          <w:color w:val="C45911" w:themeColor="accent2" w:themeShade="BF"/>
        </w:rPr>
      </w:pPr>
      <w:r w:rsidRPr="00DA27C1">
        <w:rPr>
          <w:color w:val="C45911" w:themeColor="accent2" w:themeShade="BF"/>
        </w:rPr>
        <w:t xml:space="preserve">La limpieza del texto previa al análisis incluyó los siguientes pasos: eliminación de </w:t>
      </w:r>
      <w:proofErr w:type="spellStart"/>
      <w:r w:rsidRPr="00DA27C1">
        <w:rPr>
          <w:color w:val="C45911" w:themeColor="accent2" w:themeShade="BF"/>
        </w:rPr>
        <w:t>URLs</w:t>
      </w:r>
      <w:proofErr w:type="spellEnd"/>
      <w:r w:rsidRPr="00DA27C1">
        <w:rPr>
          <w:color w:val="C45911" w:themeColor="accent2" w:themeShade="BF"/>
        </w:rPr>
        <w:t xml:space="preserve"> y dominios web, eliminación de menciones a usuarios (patrones @usuario), supresión del símbolo # conservando el texto del hashtag, sustitución de saltos de línea por espacios, y colapso de espacios múltiples en un único espacio.</w:t>
      </w:r>
    </w:p>
    <w:p w14:paraId="79CBC04F" w14:textId="77777777" w:rsidR="00617B64" w:rsidRPr="00DA27C1" w:rsidRDefault="00617B64" w:rsidP="00617B64">
      <w:pPr>
        <w:rPr>
          <w:color w:val="C45911" w:themeColor="accent2" w:themeShade="BF"/>
        </w:rPr>
      </w:pPr>
      <w:r w:rsidRPr="00DA27C1">
        <w:rPr>
          <w:color w:val="C45911" w:themeColor="accent2" w:themeShade="BF"/>
        </w:rPr>
        <w:t xml:space="preserve">Posteriormente, las publicaciones fueron </w:t>
      </w:r>
      <w:r w:rsidRPr="00DA27C1">
        <w:rPr>
          <w:b/>
          <w:bCs/>
          <w:color w:val="C45911" w:themeColor="accent2" w:themeShade="BF"/>
        </w:rPr>
        <w:t>agregadas a nivel mensual</w:t>
      </w:r>
      <w:r w:rsidRPr="00DA27C1">
        <w:rPr>
          <w:color w:val="C45911" w:themeColor="accent2" w:themeShade="BF"/>
        </w:rPr>
        <w:t>, generando las siguientes variables para cada mes con actividad registrada (</w:t>
      </w:r>
      <w:r w:rsidRPr="00DA27C1">
        <w:rPr>
          <w:b/>
          <w:bCs/>
          <w:color w:val="C45911" w:themeColor="accent2" w:themeShade="BF"/>
        </w:rPr>
        <w:t>143 meses</w:t>
      </w:r>
      <w:r w:rsidRPr="00DA27C1">
        <w:rPr>
          <w:color w:val="C45911" w:themeColor="accent2" w:themeShade="BF"/>
        </w:rPr>
        <w:t xml:space="preserve"> en total a lo largo del período):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4666"/>
      </w:tblGrid>
      <w:tr w:rsidR="00617B64" w:rsidRPr="00DA27C1" w14:paraId="251521A7" w14:textId="77777777">
        <w:trPr>
          <w:tblHeader/>
          <w:tblCellSpacing w:w="15" w:type="dxa"/>
        </w:trPr>
        <w:tc>
          <w:tcPr>
            <w:tcW w:w="0" w:type="auto"/>
            <w:vAlign w:val="center"/>
            <w:hideMark/>
          </w:tcPr>
          <w:p w14:paraId="189D9AA7" w14:textId="77777777" w:rsidR="00617B64" w:rsidRPr="00DA27C1" w:rsidRDefault="00617B64" w:rsidP="00617B64">
            <w:pPr>
              <w:rPr>
                <w:b/>
                <w:bCs/>
                <w:color w:val="C45911" w:themeColor="accent2" w:themeShade="BF"/>
              </w:rPr>
            </w:pPr>
            <w:r w:rsidRPr="00DA27C1">
              <w:rPr>
                <w:b/>
                <w:bCs/>
                <w:color w:val="C45911" w:themeColor="accent2" w:themeShade="BF"/>
              </w:rPr>
              <w:lastRenderedPageBreak/>
              <w:t>Variable mensual</w:t>
            </w:r>
          </w:p>
        </w:tc>
        <w:tc>
          <w:tcPr>
            <w:tcW w:w="0" w:type="auto"/>
            <w:vAlign w:val="center"/>
            <w:hideMark/>
          </w:tcPr>
          <w:p w14:paraId="7142A732" w14:textId="77777777" w:rsidR="00617B64" w:rsidRPr="00DA27C1" w:rsidRDefault="00617B64" w:rsidP="00617B64">
            <w:pPr>
              <w:rPr>
                <w:b/>
                <w:bCs/>
                <w:color w:val="C45911" w:themeColor="accent2" w:themeShade="BF"/>
              </w:rPr>
            </w:pPr>
            <w:r w:rsidRPr="00DA27C1">
              <w:rPr>
                <w:b/>
                <w:bCs/>
                <w:color w:val="C45911" w:themeColor="accent2" w:themeShade="BF"/>
              </w:rPr>
              <w:t>Descripción</w:t>
            </w:r>
          </w:p>
        </w:tc>
      </w:tr>
      <w:tr w:rsidR="00617B64" w:rsidRPr="00DA27C1" w14:paraId="44AE358D" w14:textId="77777777">
        <w:trPr>
          <w:tblCellSpacing w:w="15" w:type="dxa"/>
        </w:trPr>
        <w:tc>
          <w:tcPr>
            <w:tcW w:w="0" w:type="auto"/>
            <w:vAlign w:val="center"/>
            <w:hideMark/>
          </w:tcPr>
          <w:p w14:paraId="36B8BA24" w14:textId="77777777" w:rsidR="00617B64" w:rsidRPr="00DA27C1" w:rsidRDefault="00617B64" w:rsidP="00617B64">
            <w:pPr>
              <w:rPr>
                <w:color w:val="C45911" w:themeColor="accent2" w:themeShade="BF"/>
              </w:rPr>
            </w:pPr>
            <w:proofErr w:type="spellStart"/>
            <w:r w:rsidRPr="00DA27C1">
              <w:rPr>
                <w:color w:val="C45911" w:themeColor="accent2" w:themeShade="BF"/>
              </w:rPr>
              <w:t>volumen_publicaciones</w:t>
            </w:r>
            <w:proofErr w:type="spellEnd"/>
          </w:p>
        </w:tc>
        <w:tc>
          <w:tcPr>
            <w:tcW w:w="0" w:type="auto"/>
            <w:vAlign w:val="center"/>
            <w:hideMark/>
          </w:tcPr>
          <w:p w14:paraId="67C9D2F0" w14:textId="77777777" w:rsidR="00617B64" w:rsidRPr="00DA27C1" w:rsidRDefault="00617B64" w:rsidP="00617B64">
            <w:pPr>
              <w:rPr>
                <w:color w:val="C45911" w:themeColor="accent2" w:themeShade="BF"/>
              </w:rPr>
            </w:pPr>
            <w:r w:rsidRPr="00DA27C1">
              <w:rPr>
                <w:color w:val="C45911" w:themeColor="accent2" w:themeShade="BF"/>
              </w:rPr>
              <w:t>Número total de publicaciones en el mes</w:t>
            </w:r>
          </w:p>
        </w:tc>
      </w:tr>
      <w:tr w:rsidR="00617B64" w:rsidRPr="00DA27C1" w14:paraId="5CFD2284" w14:textId="77777777">
        <w:trPr>
          <w:tblCellSpacing w:w="15" w:type="dxa"/>
        </w:trPr>
        <w:tc>
          <w:tcPr>
            <w:tcW w:w="0" w:type="auto"/>
            <w:vAlign w:val="center"/>
            <w:hideMark/>
          </w:tcPr>
          <w:p w14:paraId="6A493F6E" w14:textId="77777777" w:rsidR="00617B64" w:rsidRPr="00DA27C1" w:rsidRDefault="00617B64" w:rsidP="00617B64">
            <w:pPr>
              <w:rPr>
                <w:color w:val="C45911" w:themeColor="accent2" w:themeShade="BF"/>
              </w:rPr>
            </w:pPr>
            <w:proofErr w:type="spellStart"/>
            <w:r w:rsidRPr="00DA27C1">
              <w:rPr>
                <w:color w:val="C45911" w:themeColor="accent2" w:themeShade="BF"/>
              </w:rPr>
              <w:t>polaridad_media</w:t>
            </w:r>
            <w:proofErr w:type="spellEnd"/>
          </w:p>
        </w:tc>
        <w:tc>
          <w:tcPr>
            <w:tcW w:w="0" w:type="auto"/>
            <w:vAlign w:val="center"/>
            <w:hideMark/>
          </w:tcPr>
          <w:p w14:paraId="17135DAB" w14:textId="77777777" w:rsidR="00617B64" w:rsidRPr="00DA27C1" w:rsidRDefault="00617B64" w:rsidP="00617B64">
            <w:pPr>
              <w:rPr>
                <w:color w:val="C45911" w:themeColor="accent2" w:themeShade="BF"/>
              </w:rPr>
            </w:pPr>
            <w:r w:rsidRPr="00DA27C1">
              <w:rPr>
                <w:color w:val="C45911" w:themeColor="accent2" w:themeShade="BF"/>
              </w:rPr>
              <w:t>Promedio aritmético de las polaridades mensuales</w:t>
            </w:r>
          </w:p>
        </w:tc>
      </w:tr>
      <w:tr w:rsidR="00617B64" w:rsidRPr="00DA27C1" w14:paraId="281E129C" w14:textId="77777777">
        <w:trPr>
          <w:tblCellSpacing w:w="15" w:type="dxa"/>
        </w:trPr>
        <w:tc>
          <w:tcPr>
            <w:tcW w:w="0" w:type="auto"/>
            <w:vAlign w:val="center"/>
            <w:hideMark/>
          </w:tcPr>
          <w:p w14:paraId="76220109" w14:textId="77777777" w:rsidR="00617B64" w:rsidRPr="00DA27C1" w:rsidRDefault="00617B64" w:rsidP="00617B64">
            <w:pPr>
              <w:rPr>
                <w:color w:val="C45911" w:themeColor="accent2" w:themeShade="BF"/>
              </w:rPr>
            </w:pPr>
            <w:proofErr w:type="spellStart"/>
            <w:r w:rsidRPr="00DA27C1">
              <w:rPr>
                <w:color w:val="C45911" w:themeColor="accent2" w:themeShade="BF"/>
              </w:rPr>
              <w:t>polaridad_mediana</w:t>
            </w:r>
            <w:proofErr w:type="spellEnd"/>
          </w:p>
        </w:tc>
        <w:tc>
          <w:tcPr>
            <w:tcW w:w="0" w:type="auto"/>
            <w:vAlign w:val="center"/>
            <w:hideMark/>
          </w:tcPr>
          <w:p w14:paraId="118EA35E" w14:textId="77777777" w:rsidR="00617B64" w:rsidRPr="00DA27C1" w:rsidRDefault="00617B64" w:rsidP="00617B64">
            <w:pPr>
              <w:rPr>
                <w:color w:val="C45911" w:themeColor="accent2" w:themeShade="BF"/>
              </w:rPr>
            </w:pPr>
            <w:r w:rsidRPr="00DA27C1">
              <w:rPr>
                <w:color w:val="C45911" w:themeColor="accent2" w:themeShade="BF"/>
              </w:rPr>
              <w:t>Mediana de las polaridades mensuales</w:t>
            </w:r>
          </w:p>
        </w:tc>
      </w:tr>
      <w:tr w:rsidR="00617B64" w:rsidRPr="00DA27C1" w14:paraId="2AAB6F64" w14:textId="77777777">
        <w:trPr>
          <w:tblCellSpacing w:w="15" w:type="dxa"/>
        </w:trPr>
        <w:tc>
          <w:tcPr>
            <w:tcW w:w="0" w:type="auto"/>
            <w:vAlign w:val="center"/>
            <w:hideMark/>
          </w:tcPr>
          <w:p w14:paraId="24BCACC3" w14:textId="77777777" w:rsidR="00617B64" w:rsidRPr="00DA27C1" w:rsidRDefault="00617B64" w:rsidP="00617B64">
            <w:pPr>
              <w:rPr>
                <w:color w:val="C45911" w:themeColor="accent2" w:themeShade="BF"/>
              </w:rPr>
            </w:pPr>
            <w:proofErr w:type="spellStart"/>
            <w:r w:rsidRPr="00DA27C1">
              <w:rPr>
                <w:color w:val="C45911" w:themeColor="accent2" w:themeShade="BF"/>
              </w:rPr>
              <w:t>proporcion_positivas</w:t>
            </w:r>
            <w:proofErr w:type="spellEnd"/>
          </w:p>
        </w:tc>
        <w:tc>
          <w:tcPr>
            <w:tcW w:w="0" w:type="auto"/>
            <w:vAlign w:val="center"/>
            <w:hideMark/>
          </w:tcPr>
          <w:p w14:paraId="753C7041" w14:textId="77777777" w:rsidR="00617B64" w:rsidRPr="00DA27C1" w:rsidRDefault="00617B64" w:rsidP="00617B64">
            <w:pPr>
              <w:rPr>
                <w:color w:val="C45911" w:themeColor="accent2" w:themeShade="BF"/>
              </w:rPr>
            </w:pPr>
            <w:r w:rsidRPr="00DA27C1">
              <w:rPr>
                <w:color w:val="C45911" w:themeColor="accent2" w:themeShade="BF"/>
              </w:rPr>
              <w:t>Fracción de publicaciones con sentimiento positivo</w:t>
            </w:r>
          </w:p>
        </w:tc>
      </w:tr>
      <w:tr w:rsidR="00617B64" w:rsidRPr="00DA27C1" w14:paraId="2DD73CF1" w14:textId="77777777">
        <w:trPr>
          <w:tblCellSpacing w:w="15" w:type="dxa"/>
        </w:trPr>
        <w:tc>
          <w:tcPr>
            <w:tcW w:w="0" w:type="auto"/>
            <w:vAlign w:val="center"/>
            <w:hideMark/>
          </w:tcPr>
          <w:p w14:paraId="0DDD19E3" w14:textId="77777777" w:rsidR="00617B64" w:rsidRPr="00DA27C1" w:rsidRDefault="00617B64" w:rsidP="00617B64">
            <w:pPr>
              <w:rPr>
                <w:color w:val="C45911" w:themeColor="accent2" w:themeShade="BF"/>
              </w:rPr>
            </w:pPr>
            <w:proofErr w:type="spellStart"/>
            <w:r w:rsidRPr="00DA27C1">
              <w:rPr>
                <w:color w:val="C45911" w:themeColor="accent2" w:themeShade="BF"/>
              </w:rPr>
              <w:t>proporcion_negativas</w:t>
            </w:r>
            <w:proofErr w:type="spellEnd"/>
          </w:p>
        </w:tc>
        <w:tc>
          <w:tcPr>
            <w:tcW w:w="0" w:type="auto"/>
            <w:vAlign w:val="center"/>
            <w:hideMark/>
          </w:tcPr>
          <w:p w14:paraId="7636C2AC" w14:textId="77777777" w:rsidR="00617B64" w:rsidRPr="00DA27C1" w:rsidRDefault="00617B64" w:rsidP="00617B64">
            <w:pPr>
              <w:rPr>
                <w:color w:val="C45911" w:themeColor="accent2" w:themeShade="BF"/>
              </w:rPr>
            </w:pPr>
            <w:r w:rsidRPr="00DA27C1">
              <w:rPr>
                <w:color w:val="C45911" w:themeColor="accent2" w:themeShade="BF"/>
              </w:rPr>
              <w:t>Fracción de publicaciones con sentimiento negativo</w:t>
            </w:r>
          </w:p>
        </w:tc>
      </w:tr>
      <w:tr w:rsidR="00617B64" w:rsidRPr="00DA27C1" w14:paraId="4059BECA" w14:textId="77777777">
        <w:trPr>
          <w:tblCellSpacing w:w="15" w:type="dxa"/>
        </w:trPr>
        <w:tc>
          <w:tcPr>
            <w:tcW w:w="0" w:type="auto"/>
            <w:vAlign w:val="center"/>
            <w:hideMark/>
          </w:tcPr>
          <w:p w14:paraId="3549B827" w14:textId="77777777" w:rsidR="00617B64" w:rsidRPr="00DA27C1" w:rsidRDefault="00617B64" w:rsidP="00617B64">
            <w:pPr>
              <w:rPr>
                <w:color w:val="C45911" w:themeColor="accent2" w:themeShade="BF"/>
              </w:rPr>
            </w:pPr>
            <w:proofErr w:type="spellStart"/>
            <w:r w:rsidRPr="00DA27C1">
              <w:rPr>
                <w:color w:val="C45911" w:themeColor="accent2" w:themeShade="BF"/>
              </w:rPr>
              <w:t>proporcion_neutras</w:t>
            </w:r>
            <w:proofErr w:type="spellEnd"/>
          </w:p>
        </w:tc>
        <w:tc>
          <w:tcPr>
            <w:tcW w:w="0" w:type="auto"/>
            <w:vAlign w:val="center"/>
            <w:hideMark/>
          </w:tcPr>
          <w:p w14:paraId="682A7866" w14:textId="77777777" w:rsidR="00617B64" w:rsidRPr="00DA27C1" w:rsidRDefault="00617B64" w:rsidP="00617B64">
            <w:pPr>
              <w:rPr>
                <w:color w:val="C45911" w:themeColor="accent2" w:themeShade="BF"/>
              </w:rPr>
            </w:pPr>
            <w:r w:rsidRPr="00DA27C1">
              <w:rPr>
                <w:color w:val="C45911" w:themeColor="accent2" w:themeShade="BF"/>
              </w:rPr>
              <w:t>Fracción de publicaciones con sentimiento neutro</w:t>
            </w:r>
          </w:p>
        </w:tc>
      </w:tr>
    </w:tbl>
    <w:p w14:paraId="4DF92E23" w14:textId="77777777" w:rsidR="00617B64" w:rsidRPr="00DA27C1" w:rsidRDefault="00000000" w:rsidP="00617B64">
      <w:pPr>
        <w:rPr>
          <w:color w:val="C45911" w:themeColor="accent2" w:themeShade="BF"/>
        </w:rPr>
      </w:pPr>
      <w:r>
        <w:rPr>
          <w:color w:val="C45911" w:themeColor="accent2" w:themeShade="BF"/>
        </w:rPr>
        <w:pict w14:anchorId="7A18ACF9">
          <v:rect id="_x0000_i1040" style="width:0;height:1.5pt" o:hralign="center" o:hrstd="t" o:hr="t" fillcolor="#a0a0a0" stroked="f"/>
        </w:pict>
      </w:r>
    </w:p>
    <w:p w14:paraId="6B6BDDFD" w14:textId="77777777" w:rsidR="00617B64" w:rsidRPr="00DA27C1" w:rsidRDefault="00617B64" w:rsidP="00617B64">
      <w:pPr>
        <w:rPr>
          <w:b/>
          <w:bCs/>
          <w:color w:val="C45911" w:themeColor="accent2" w:themeShade="BF"/>
        </w:rPr>
      </w:pPr>
      <w:r w:rsidRPr="00DA27C1">
        <w:rPr>
          <w:b/>
          <w:bCs/>
          <w:color w:val="C45911" w:themeColor="accent2" w:themeShade="BF"/>
        </w:rPr>
        <w:t xml:space="preserve">3.2.7. Integración de </w:t>
      </w:r>
      <w:proofErr w:type="spellStart"/>
      <w:r w:rsidRPr="00DA27C1">
        <w:rPr>
          <w:b/>
          <w:bCs/>
          <w:color w:val="C45911" w:themeColor="accent2" w:themeShade="BF"/>
        </w:rPr>
        <w:t>datasets</w:t>
      </w:r>
      <w:proofErr w:type="spellEnd"/>
    </w:p>
    <w:p w14:paraId="2430149E" w14:textId="77777777" w:rsidR="00617B64" w:rsidRPr="00DA27C1" w:rsidRDefault="00617B64" w:rsidP="00617B64">
      <w:pPr>
        <w:rPr>
          <w:color w:val="C45911" w:themeColor="accent2" w:themeShade="BF"/>
        </w:rPr>
      </w:pPr>
      <w:r w:rsidRPr="00DA27C1">
        <w:rPr>
          <w:color w:val="C45911" w:themeColor="accent2" w:themeShade="BF"/>
        </w:rPr>
        <w:t xml:space="preserve">La integración de los datos de sentimiento mensual con la serie del ICC se realizó mediante una combinación de tipo </w:t>
      </w:r>
      <w:proofErr w:type="spellStart"/>
      <w:r w:rsidRPr="00DA27C1">
        <w:rPr>
          <w:color w:val="C45911" w:themeColor="accent2" w:themeShade="BF"/>
        </w:rPr>
        <w:t>left</w:t>
      </w:r>
      <w:proofErr w:type="spellEnd"/>
      <w:r w:rsidRPr="00DA27C1">
        <w:rPr>
          <w:color w:val="C45911" w:themeColor="accent2" w:themeShade="BF"/>
        </w:rPr>
        <w:t xml:space="preserve"> </w:t>
      </w:r>
      <w:proofErr w:type="spellStart"/>
      <w:r w:rsidRPr="00DA27C1">
        <w:rPr>
          <w:color w:val="C45911" w:themeColor="accent2" w:themeShade="BF"/>
        </w:rPr>
        <w:t>join</w:t>
      </w:r>
      <w:proofErr w:type="spellEnd"/>
      <w:r w:rsidRPr="00DA27C1">
        <w:rPr>
          <w:color w:val="C45911" w:themeColor="accent2" w:themeShade="BF"/>
        </w:rPr>
        <w:t xml:space="preserve"> tomando como clave el mes calendario, identificado como el primer día de cada mes en ambos </w:t>
      </w:r>
      <w:proofErr w:type="spellStart"/>
      <w:r w:rsidRPr="00DA27C1">
        <w:rPr>
          <w:color w:val="C45911" w:themeColor="accent2" w:themeShade="BF"/>
        </w:rPr>
        <w:t>datasets</w:t>
      </w:r>
      <w:proofErr w:type="spellEnd"/>
      <w:r w:rsidRPr="00DA27C1">
        <w:rPr>
          <w:color w:val="C45911" w:themeColor="accent2" w:themeShade="BF"/>
        </w:rPr>
        <w:t xml:space="preserve">. Con el objetivo de construir un problema de predicción a horizonte de un mes, la variable objetivo se definió como el valor del ICC del mes siguiente (ICC_objetivo_t1 = </w:t>
      </w:r>
      <w:proofErr w:type="spellStart"/>
      <w:r w:rsidRPr="00DA27C1">
        <w:rPr>
          <w:color w:val="C45911" w:themeColor="accent2" w:themeShade="BF"/>
        </w:rPr>
        <w:t>ICC.shift</w:t>
      </w:r>
      <w:proofErr w:type="spellEnd"/>
      <w:r w:rsidRPr="00DA27C1">
        <w:rPr>
          <w:color w:val="C45911" w:themeColor="accent2" w:themeShade="BF"/>
        </w:rPr>
        <w:t>(−1)), de modo que los predictores del mes t se emplean para predecir el valor del índice en t+1.</w:t>
      </w:r>
    </w:p>
    <w:p w14:paraId="6393C5D7" w14:textId="77777777" w:rsidR="00617B64" w:rsidRPr="00DA27C1" w:rsidRDefault="00617B64" w:rsidP="00617B64">
      <w:pPr>
        <w:rPr>
          <w:color w:val="C45911" w:themeColor="accent2" w:themeShade="BF"/>
        </w:rPr>
      </w:pPr>
      <w:r w:rsidRPr="00DA27C1">
        <w:rPr>
          <w:color w:val="C45911" w:themeColor="accent2" w:themeShade="BF"/>
        </w:rPr>
        <w:t>Adicionalmente, se crearon tres variables de retardo del propio ICC:</w:t>
      </w:r>
    </w:p>
    <w:p w14:paraId="3719BE25" w14:textId="77777777" w:rsidR="00617B64" w:rsidRPr="00DA27C1" w:rsidRDefault="00617B64" w:rsidP="00617B64">
      <w:pPr>
        <w:numPr>
          <w:ilvl w:val="0"/>
          <w:numId w:val="10"/>
        </w:numPr>
        <w:rPr>
          <w:color w:val="C45911" w:themeColor="accent2" w:themeShade="BF"/>
        </w:rPr>
      </w:pPr>
      <w:r w:rsidRPr="00DA27C1">
        <w:rPr>
          <w:b/>
          <w:bCs/>
          <w:color w:val="C45911" w:themeColor="accent2" w:themeShade="BF"/>
        </w:rPr>
        <w:t>ICC_lag_1</w:t>
      </w:r>
      <w:r w:rsidRPr="00DA27C1">
        <w:rPr>
          <w:color w:val="C45911" w:themeColor="accent2" w:themeShade="BF"/>
        </w:rPr>
        <w:t>: valor del ICC en el mes anterior (t−1).</w:t>
      </w:r>
    </w:p>
    <w:p w14:paraId="71A060A3" w14:textId="77777777" w:rsidR="00617B64" w:rsidRPr="00DA27C1" w:rsidRDefault="00617B64" w:rsidP="00617B64">
      <w:pPr>
        <w:numPr>
          <w:ilvl w:val="0"/>
          <w:numId w:val="10"/>
        </w:numPr>
        <w:rPr>
          <w:color w:val="C45911" w:themeColor="accent2" w:themeShade="BF"/>
        </w:rPr>
      </w:pPr>
      <w:r w:rsidRPr="00DA27C1">
        <w:rPr>
          <w:b/>
          <w:bCs/>
          <w:color w:val="C45911" w:themeColor="accent2" w:themeShade="BF"/>
        </w:rPr>
        <w:t>ICC_lag_2</w:t>
      </w:r>
      <w:r w:rsidRPr="00DA27C1">
        <w:rPr>
          <w:color w:val="C45911" w:themeColor="accent2" w:themeShade="BF"/>
        </w:rPr>
        <w:t>: valor del ICC hace dos meses (t−2).</w:t>
      </w:r>
    </w:p>
    <w:p w14:paraId="30A84D32" w14:textId="77777777" w:rsidR="00617B64" w:rsidRPr="00DA27C1" w:rsidRDefault="00617B64" w:rsidP="00617B64">
      <w:pPr>
        <w:numPr>
          <w:ilvl w:val="0"/>
          <w:numId w:val="10"/>
        </w:numPr>
        <w:rPr>
          <w:color w:val="C45911" w:themeColor="accent2" w:themeShade="BF"/>
        </w:rPr>
      </w:pPr>
      <w:r w:rsidRPr="00DA27C1">
        <w:rPr>
          <w:b/>
          <w:bCs/>
          <w:color w:val="C45911" w:themeColor="accent2" w:themeShade="BF"/>
        </w:rPr>
        <w:t>ICC_lag_3</w:t>
      </w:r>
      <w:r w:rsidRPr="00DA27C1">
        <w:rPr>
          <w:color w:val="C45911" w:themeColor="accent2" w:themeShade="BF"/>
        </w:rPr>
        <w:t>: valor del ICC hace tres meses (t−3).</w:t>
      </w:r>
    </w:p>
    <w:p w14:paraId="43A633EE" w14:textId="77777777" w:rsidR="00617B64" w:rsidRPr="00DA27C1" w:rsidRDefault="00617B64" w:rsidP="00617B64">
      <w:pPr>
        <w:rPr>
          <w:color w:val="C45911" w:themeColor="accent2" w:themeShade="BF"/>
        </w:rPr>
      </w:pPr>
      <w:r w:rsidRPr="00DA27C1">
        <w:rPr>
          <w:color w:val="C45911" w:themeColor="accent2" w:themeShade="BF"/>
        </w:rPr>
        <w:t xml:space="preserve">Estas variables de retardo permiten que los modelos capturen la inercia temporal propia de los índices de confianza, que suelen presentar elevada autocorrelación en horizontes cortos. El </w:t>
      </w:r>
      <w:proofErr w:type="spellStart"/>
      <w:r w:rsidRPr="00DA27C1">
        <w:rPr>
          <w:color w:val="C45911" w:themeColor="accent2" w:themeShade="BF"/>
        </w:rPr>
        <w:t>dataset</w:t>
      </w:r>
      <w:proofErr w:type="spellEnd"/>
      <w:r w:rsidRPr="00DA27C1">
        <w:rPr>
          <w:color w:val="C45911" w:themeColor="accent2" w:themeShade="BF"/>
        </w:rPr>
        <w:t xml:space="preserve"> resultante, una vez eliminadas las filas con valores nulos generados por los retardos y por la creación de la variable objetivo, quedó compuesto por </w:t>
      </w:r>
      <w:r w:rsidRPr="00DA27C1">
        <w:rPr>
          <w:b/>
          <w:bCs/>
          <w:color w:val="C45911" w:themeColor="accent2" w:themeShade="BF"/>
        </w:rPr>
        <w:t>249 observaciones</w:t>
      </w:r>
      <w:r w:rsidRPr="00DA27C1">
        <w:rPr>
          <w:color w:val="C45911" w:themeColor="accent2" w:themeShade="BF"/>
        </w:rPr>
        <w:t xml:space="preserve"> que abarcan desde </w:t>
      </w:r>
      <w:r w:rsidRPr="00DA27C1">
        <w:rPr>
          <w:b/>
          <w:bCs/>
          <w:color w:val="C45911" w:themeColor="accent2" w:themeShade="BF"/>
        </w:rPr>
        <w:t>diciembre de 2004</w:t>
      </w:r>
      <w:r w:rsidRPr="00DA27C1">
        <w:rPr>
          <w:color w:val="C45911" w:themeColor="accent2" w:themeShade="BF"/>
        </w:rPr>
        <w:t xml:space="preserve"> hasta </w:t>
      </w:r>
      <w:r w:rsidRPr="00DA27C1">
        <w:rPr>
          <w:b/>
          <w:bCs/>
          <w:color w:val="C45911" w:themeColor="accent2" w:themeShade="BF"/>
        </w:rPr>
        <w:t>diciembre de 2025</w:t>
      </w:r>
      <w:r w:rsidRPr="00DA27C1">
        <w:rPr>
          <w:color w:val="C45911" w:themeColor="accent2" w:themeShade="BF"/>
        </w:rPr>
        <w:t>, y fue exportado bajo el nombre dataset_final_icc_sentimiento.csv.</w:t>
      </w:r>
    </w:p>
    <w:p w14:paraId="5A231736" w14:textId="46789742" w:rsidR="00617B64" w:rsidRPr="00DA27C1" w:rsidRDefault="00AC4EF3" w:rsidP="00617B64">
      <w:pPr>
        <w:rPr>
          <w:color w:val="C45911" w:themeColor="accent2" w:themeShade="BF"/>
        </w:rPr>
      </w:pPr>
      <w:r w:rsidRPr="00DA27C1">
        <w:rPr>
          <w:color w:val="C45911" w:themeColor="accent2" w:themeShade="BF"/>
        </w:rPr>
        <w:t>Una limitación relevante que señalar</w:t>
      </w:r>
      <w:r w:rsidR="00617B64" w:rsidRPr="00DA27C1">
        <w:rPr>
          <w:color w:val="C45911" w:themeColor="accent2" w:themeShade="BF"/>
        </w:rPr>
        <w:t xml:space="preserve"> es que las coberturas temporales de ambas fuentes no son idénticas: el </w:t>
      </w:r>
      <w:proofErr w:type="spellStart"/>
      <w:r w:rsidR="00617B64" w:rsidRPr="00DA27C1">
        <w:rPr>
          <w:color w:val="C45911" w:themeColor="accent2" w:themeShade="BF"/>
        </w:rPr>
        <w:t>dataset</w:t>
      </w:r>
      <w:proofErr w:type="spellEnd"/>
      <w:r w:rsidR="00617B64" w:rsidRPr="00DA27C1">
        <w:rPr>
          <w:color w:val="C45911" w:themeColor="accent2" w:themeShade="BF"/>
        </w:rPr>
        <w:t xml:space="preserve"> de publicaciones comienza en febrero de 2012, mientras que la serie del ICC arranca en septiembre de 2004. Por consiguiente, los meses anteriores a la aparición de las primeras publicaciones reciben un valor de cero en todas las variables de sentimiento, lo que implica que estas variables no aportan información real para el subperíodo 2004–2012 y su influencia en los modelos podría estar sesgada por este comportamiento estructural.</w:t>
      </w:r>
    </w:p>
    <w:p w14:paraId="0F3E6616" w14:textId="77777777" w:rsidR="00617B64" w:rsidRPr="00DA27C1" w:rsidRDefault="00000000" w:rsidP="00617B64">
      <w:pPr>
        <w:rPr>
          <w:color w:val="C45911" w:themeColor="accent2" w:themeShade="BF"/>
        </w:rPr>
      </w:pPr>
      <w:r>
        <w:rPr>
          <w:color w:val="C45911" w:themeColor="accent2" w:themeShade="BF"/>
        </w:rPr>
        <w:pict w14:anchorId="1FB0B4D6">
          <v:rect id="_x0000_i1041" style="width:0;height:1.5pt" o:hralign="center" o:hrstd="t" o:hr="t" fillcolor="#a0a0a0" stroked="f"/>
        </w:pict>
      </w:r>
    </w:p>
    <w:p w14:paraId="67DF09F2" w14:textId="77777777" w:rsidR="00617B64" w:rsidRPr="00DA27C1" w:rsidRDefault="00617B64" w:rsidP="00617B64">
      <w:pPr>
        <w:rPr>
          <w:b/>
          <w:bCs/>
          <w:color w:val="C45911" w:themeColor="accent2" w:themeShade="BF"/>
        </w:rPr>
      </w:pPr>
      <w:r w:rsidRPr="00DA27C1">
        <w:rPr>
          <w:b/>
          <w:bCs/>
          <w:color w:val="C45911" w:themeColor="accent2" w:themeShade="BF"/>
        </w:rPr>
        <w:t>3.2.8. Análisis exploratorio</w:t>
      </w:r>
    </w:p>
    <w:p w14:paraId="728D6C57" w14:textId="77777777" w:rsidR="00617B64" w:rsidRPr="00DA27C1" w:rsidRDefault="00617B64" w:rsidP="00617B64">
      <w:pPr>
        <w:rPr>
          <w:color w:val="C45911" w:themeColor="accent2" w:themeShade="BF"/>
        </w:rPr>
      </w:pPr>
      <w:r w:rsidRPr="00DA27C1">
        <w:rPr>
          <w:color w:val="C45911" w:themeColor="accent2" w:themeShade="BF"/>
        </w:rPr>
        <w:t xml:space="preserve">El análisis exploratorio del </w:t>
      </w:r>
      <w:proofErr w:type="spellStart"/>
      <w:r w:rsidRPr="00DA27C1">
        <w:rPr>
          <w:color w:val="C45911" w:themeColor="accent2" w:themeShade="BF"/>
        </w:rPr>
        <w:t>dataset</w:t>
      </w:r>
      <w:proofErr w:type="spellEnd"/>
      <w:r w:rsidRPr="00DA27C1">
        <w:rPr>
          <w:color w:val="C45911" w:themeColor="accent2" w:themeShade="BF"/>
        </w:rPr>
        <w:t xml:space="preserve"> final permitió caracterizar tanto la distribución de las variables de sentimiento como el comportamiento de la serie del ICC a lo largo del período analizado.</w:t>
      </w:r>
    </w:p>
    <w:p w14:paraId="3682473B" w14:textId="77777777" w:rsidR="00617B64" w:rsidRPr="00DA27C1" w:rsidRDefault="00617B64" w:rsidP="00617B64">
      <w:pPr>
        <w:rPr>
          <w:color w:val="C45911" w:themeColor="accent2" w:themeShade="BF"/>
        </w:rPr>
      </w:pPr>
      <w:r w:rsidRPr="00DA27C1">
        <w:rPr>
          <w:color w:val="C45911" w:themeColor="accent2" w:themeShade="BF"/>
        </w:rPr>
        <w:t xml:space="preserve">En cuanto a las </w:t>
      </w:r>
      <w:r w:rsidRPr="00DA27C1">
        <w:rPr>
          <w:b/>
          <w:bCs/>
          <w:color w:val="C45911" w:themeColor="accent2" w:themeShade="BF"/>
        </w:rPr>
        <w:t>publicaciones</w:t>
      </w:r>
      <w:r w:rsidRPr="00DA27C1">
        <w:rPr>
          <w:color w:val="C45911" w:themeColor="accent2" w:themeShade="BF"/>
        </w:rPr>
        <w:t xml:space="preserve">, se observa que la distribución mensual es marcadamente asimétrica: la mayor parte de los meses del período 2012–2018 acumula menos de veinte publicaciones, mientras que en los años más recientes el volumen mensual se sitúa regularmente entre treinta y setenta registros. </w:t>
      </w:r>
      <w:r w:rsidRPr="00DA27C1">
        <w:rPr>
          <w:color w:val="C45911" w:themeColor="accent2" w:themeShade="BF"/>
        </w:rPr>
        <w:lastRenderedPageBreak/>
        <w:t>Esta asimetría condiciona la robustez de los indicadores de sentimiento en los primeros años de la serie, donde promedios calculados sobre muestras pequeñas son más sensibles a publicaciones individuales con polaridades extremas.</w:t>
      </w:r>
    </w:p>
    <w:p w14:paraId="3EF38590" w14:textId="77777777" w:rsidR="00617B64" w:rsidRPr="00DA27C1" w:rsidRDefault="00617B64" w:rsidP="00617B64">
      <w:pPr>
        <w:rPr>
          <w:color w:val="C45911" w:themeColor="accent2" w:themeShade="BF"/>
        </w:rPr>
      </w:pPr>
      <w:r w:rsidRPr="00DA27C1">
        <w:rPr>
          <w:color w:val="C45911" w:themeColor="accent2" w:themeShade="BF"/>
        </w:rPr>
        <w:t xml:space="preserve">Respecto a la </w:t>
      </w:r>
      <w:r w:rsidRPr="00DA27C1">
        <w:rPr>
          <w:b/>
          <w:bCs/>
          <w:color w:val="C45911" w:themeColor="accent2" w:themeShade="BF"/>
        </w:rPr>
        <w:t>polaridad media mensual</w:t>
      </w:r>
      <w:r w:rsidRPr="00DA27C1">
        <w:rPr>
          <w:color w:val="C45911" w:themeColor="accent2" w:themeShade="BF"/>
        </w:rPr>
        <w:t>, los valores se concentran en el entorno de cero, con pequeñas oscilaciones positivas y negativas. La mediana mensual de la polaridad es prácticamente cero en la mayoría de los meses, lo que refleja el carácter predominantemente informativo y técnico del discurso institucional, cuyo contenido textual no expresa valoraciones emocionales intensas. La proporción de publicaciones neutras supera el ochenta y cinco por ciento en la mayoría de los meses, siendo las proporciones de publicaciones positivas y negativas relativamente bajas.</w:t>
      </w:r>
    </w:p>
    <w:p w14:paraId="1F57CB11" w14:textId="7228462E" w:rsidR="00617B64" w:rsidRPr="00DA27C1" w:rsidRDefault="00617B64" w:rsidP="00617B64">
      <w:pPr>
        <w:rPr>
          <w:color w:val="C45911" w:themeColor="accent2" w:themeShade="BF"/>
        </w:rPr>
      </w:pPr>
      <w:r w:rsidRPr="00DA27C1">
        <w:rPr>
          <w:color w:val="C45911" w:themeColor="accent2" w:themeShade="BF"/>
        </w:rPr>
        <w:t xml:space="preserve">Respecto al </w:t>
      </w:r>
      <w:r w:rsidRPr="00DA27C1">
        <w:rPr>
          <w:b/>
          <w:bCs/>
          <w:color w:val="C45911" w:themeColor="accent2" w:themeShade="BF"/>
        </w:rPr>
        <w:t>ICC</w:t>
      </w:r>
      <w:r w:rsidRPr="00DA27C1">
        <w:rPr>
          <w:color w:val="C45911" w:themeColor="accent2" w:themeShade="BF"/>
        </w:rPr>
        <w:t>, la serie describe una evolución que recoge los principales episodios de crisis y recuperación de la economía española durante el período analizado: el deterioro sostenido durante la crisis financiera de 2008–2013, la recuperación gradual posterior, la caída abrupta asociada a la pandemia de COVID-19 en 2020 y la subsiguiente recuperación parcial, con nuevas correcciones en el contexto inflacionario de 2022–2023. La elevada autocorrelación de la serie</w:t>
      </w:r>
      <w:r w:rsidR="002723B5" w:rsidRPr="00DA27C1">
        <w:rPr>
          <w:color w:val="C45911" w:themeColor="accent2" w:themeShade="BF"/>
        </w:rPr>
        <w:t xml:space="preserve">, Esta característica justifica la inclusión de retardos del propio ICC como variables explicativas en el conjunto de datos final, </w:t>
      </w:r>
      <w:r w:rsidRPr="00DA27C1">
        <w:rPr>
          <w:color w:val="C45911" w:themeColor="accent2" w:themeShade="BF"/>
        </w:rPr>
        <w:t>anticipa que la componente autorregresiva constituye el predictor más relevante para la estimación del índice en el mes siguiente, mientras que las variables de sentimiento actuarían, en su caso, como señales complementarias.</w:t>
      </w:r>
    </w:p>
    <w:p w14:paraId="06161848" w14:textId="1A824FE5" w:rsidR="00617B64" w:rsidRDefault="00617B64" w:rsidP="00617B64">
      <w:pPr>
        <w:rPr>
          <w:color w:val="C45911" w:themeColor="accent2" w:themeShade="BF"/>
        </w:rPr>
      </w:pPr>
      <w:r w:rsidRPr="00DA27C1">
        <w:rPr>
          <w:color w:val="C45911" w:themeColor="accent2" w:themeShade="BF"/>
        </w:rPr>
        <w:t xml:space="preserve">La partición temporal del </w:t>
      </w:r>
      <w:proofErr w:type="spellStart"/>
      <w:r w:rsidRPr="00DA27C1">
        <w:rPr>
          <w:color w:val="C45911" w:themeColor="accent2" w:themeShade="BF"/>
        </w:rPr>
        <w:t>dataset</w:t>
      </w:r>
      <w:proofErr w:type="spellEnd"/>
      <w:r w:rsidRPr="00DA27C1">
        <w:rPr>
          <w:color w:val="C45911" w:themeColor="accent2" w:themeShade="BF"/>
        </w:rPr>
        <w:t xml:space="preserve"> para el modelado siguió un criterio cronológico estricto, utilizando el 80 % inicial de las observaciones como conjunto de entrenamiento (diciembre 2004 – junio 2021, </w:t>
      </w:r>
      <w:r w:rsidRPr="00DA27C1">
        <w:rPr>
          <w:b/>
          <w:bCs/>
          <w:color w:val="C45911" w:themeColor="accent2" w:themeShade="BF"/>
        </w:rPr>
        <w:t>199 observaciones</w:t>
      </w:r>
      <w:r w:rsidRPr="00DA27C1">
        <w:rPr>
          <w:color w:val="C45911" w:themeColor="accent2" w:themeShade="BF"/>
        </w:rPr>
        <w:t xml:space="preserve">) y el 20 % restante como conjunto de prueba (julio 2021 – diciembre 2025, </w:t>
      </w:r>
      <w:r w:rsidRPr="00DA27C1">
        <w:rPr>
          <w:b/>
          <w:bCs/>
          <w:color w:val="C45911" w:themeColor="accent2" w:themeShade="BF"/>
        </w:rPr>
        <w:t>50 observaciones</w:t>
      </w:r>
      <w:r w:rsidRPr="00DA27C1">
        <w:rPr>
          <w:color w:val="C45911" w:themeColor="accent2" w:themeShade="BF"/>
        </w:rPr>
        <w:t>), evitando así cualquier filtración de información futura en el proceso de ajuste de los modelos.</w:t>
      </w:r>
      <w:r w:rsidR="00B258D8">
        <w:rPr>
          <w:color w:val="C45911" w:themeColor="accent2" w:themeShade="BF"/>
        </w:rPr>
        <w:br/>
      </w:r>
    </w:p>
    <w:p w14:paraId="363C2858" w14:textId="77777777" w:rsidR="007E4610" w:rsidRPr="007E4610" w:rsidRDefault="007E4610" w:rsidP="007E4610">
      <w:pPr>
        <w:rPr>
          <w:b/>
          <w:bCs/>
          <w:color w:val="C45911" w:themeColor="accent2" w:themeShade="BF"/>
        </w:rPr>
      </w:pPr>
      <w:r w:rsidRPr="007E4610">
        <w:rPr>
          <w:b/>
          <w:bCs/>
          <w:color w:val="C45911" w:themeColor="accent2" w:themeShade="BF"/>
        </w:rPr>
        <w:t>Aquí tienes el apartado 3.3 completo, con la introducción ya escrita antes integrada, listo para pegar en Word.</w:t>
      </w:r>
    </w:p>
    <w:p w14:paraId="3CE48BBD" w14:textId="77777777" w:rsidR="007E4610" w:rsidRPr="00632392" w:rsidRDefault="00000000" w:rsidP="007E4610">
      <w:pPr>
        <w:rPr>
          <w:b/>
          <w:bCs/>
          <w:color w:val="7030A0"/>
        </w:rPr>
      </w:pPr>
      <w:r>
        <w:rPr>
          <w:b/>
          <w:bCs/>
          <w:color w:val="7030A0"/>
        </w:rPr>
        <w:pict w14:anchorId="5E8AB034">
          <v:rect id="_x0000_i1042" style="width:0;height:1.5pt" o:hralign="center" o:hrstd="t" o:hr="t" fillcolor="#a0a0a0" stroked="f"/>
        </w:pict>
      </w:r>
    </w:p>
    <w:p w14:paraId="26D1AE59" w14:textId="77777777" w:rsidR="007E4610" w:rsidRPr="00632392" w:rsidRDefault="007E4610" w:rsidP="007E4610">
      <w:pPr>
        <w:rPr>
          <w:b/>
          <w:bCs/>
          <w:color w:val="7030A0"/>
        </w:rPr>
      </w:pPr>
      <w:r w:rsidRPr="00632392">
        <w:rPr>
          <w:b/>
          <w:bCs/>
          <w:color w:val="7030A0"/>
        </w:rPr>
        <w:t>3.3. Análisis del dato</w:t>
      </w:r>
    </w:p>
    <w:p w14:paraId="551A5A42" w14:textId="77777777" w:rsidR="007E4610" w:rsidRPr="00632392" w:rsidRDefault="007E4610" w:rsidP="007E4610">
      <w:pPr>
        <w:rPr>
          <w:b/>
          <w:bCs/>
          <w:color w:val="7030A0"/>
        </w:rPr>
      </w:pPr>
      <w:r w:rsidRPr="00632392">
        <w:rPr>
          <w:b/>
          <w:bCs/>
          <w:color w:val="7030A0"/>
        </w:rPr>
        <w:t>El análisis del dato constituye la segunda fase técnica del proyecto y tiene como propósito central examinar si las variables de sentimiento mensual extraídas de las publicaciones institucionales presentan una evolución temporal comparable a la del Índice de Confianza del Consumidor. El punto de partida es, por tanto, descriptivo y comparativo: antes de plantear cualquier pregunta sobre la utilidad predictiva del sentimiento, resulta necesario caracterizar ambas series por separado, observar su comportamiento conjunto a lo largo del tiempo e identificar si existen patrones de alineación, divergencia o desfase entre ellas.</w:t>
      </w:r>
    </w:p>
    <w:p w14:paraId="6F056C37" w14:textId="77777777" w:rsidR="007E4610" w:rsidRPr="00632392" w:rsidRDefault="007E4610" w:rsidP="007E4610">
      <w:pPr>
        <w:rPr>
          <w:b/>
          <w:bCs/>
          <w:color w:val="7030A0"/>
        </w:rPr>
      </w:pPr>
      <w:r w:rsidRPr="00632392">
        <w:rPr>
          <w:b/>
          <w:bCs/>
          <w:color w:val="7030A0"/>
        </w:rPr>
        <w:t xml:space="preserve">Para estructurar este análisis de forma ordenada, la sección se organiza en los siguientes bloques. En primer lugar, se describe la evolución histórica del ICC, identificando los principales episodios que marcan su trayectoria en el periodo analizado. A continuación, se analiza el comportamiento de las variables de sentimiento mensual, prestando especial atención a su distribución, su variabilidad y sus limitaciones como señal. El tercer bloque compara gráficamente ambas series para detectar posibles coincidencias o divergencias visuales. El cuarto explora si existen desfases temporales sistemáticos entre el sentimiento y el ICC mediante análisis de correlaciones retardadas. Finalmente, como análisis complementario, se presentan los resultados de los modelos predictivos de regresión, cuyo propósito </w:t>
      </w:r>
      <w:r w:rsidRPr="00632392">
        <w:rPr>
          <w:b/>
          <w:bCs/>
          <w:color w:val="7030A0"/>
        </w:rPr>
        <w:lastRenderedPageBreak/>
        <w:t>no es construir un sistema de predicción definitivo, sino aportar una perspectiva cuantitativa adicional sobre la capacidad informativa del sentimiento institucional en relación con el ICC.</w:t>
      </w:r>
    </w:p>
    <w:p w14:paraId="3E157CCE" w14:textId="77777777" w:rsidR="007E4610" w:rsidRPr="00632392" w:rsidRDefault="00000000" w:rsidP="007E4610">
      <w:pPr>
        <w:rPr>
          <w:b/>
          <w:bCs/>
          <w:color w:val="7030A0"/>
        </w:rPr>
      </w:pPr>
      <w:r>
        <w:rPr>
          <w:b/>
          <w:bCs/>
          <w:color w:val="7030A0"/>
        </w:rPr>
        <w:pict w14:anchorId="09969987">
          <v:rect id="_x0000_i1043" style="width:0;height:1.5pt" o:hralign="center" o:hrstd="t" o:hr="t" fillcolor="#a0a0a0" stroked="f"/>
        </w:pict>
      </w:r>
    </w:p>
    <w:p w14:paraId="5961CA5E" w14:textId="77777777" w:rsidR="007E4610" w:rsidRPr="00632392" w:rsidRDefault="007E4610" w:rsidP="007E4610">
      <w:pPr>
        <w:rPr>
          <w:b/>
          <w:bCs/>
          <w:color w:val="7030A0"/>
        </w:rPr>
      </w:pPr>
      <w:r w:rsidRPr="00632392">
        <w:rPr>
          <w:b/>
          <w:bCs/>
          <w:color w:val="7030A0"/>
        </w:rPr>
        <w:t>3.3.1. Análisis temporal del ICC</w:t>
      </w:r>
    </w:p>
    <w:p w14:paraId="179D68B2" w14:textId="77777777" w:rsidR="007E4610" w:rsidRPr="00632392" w:rsidRDefault="007E4610" w:rsidP="007E4610">
      <w:pPr>
        <w:rPr>
          <w:b/>
          <w:bCs/>
          <w:color w:val="7030A0"/>
        </w:rPr>
      </w:pPr>
      <w:r w:rsidRPr="00632392">
        <w:rPr>
          <w:b/>
          <w:bCs/>
          <w:color w:val="7030A0"/>
        </w:rPr>
        <w:t>La serie histórica del ICC utilizada en este trabajo abarca desde septiembre de 2004 hasta enero de 2026, lo que permite observar la evolución de la confianza del consumidor en España a lo largo de más de dos décadas y a través de varios episodios macroeconómicos de especial relevancia.</w:t>
      </w:r>
    </w:p>
    <w:p w14:paraId="0CC62166" w14:textId="77777777" w:rsidR="007E4610" w:rsidRPr="00632392" w:rsidRDefault="007E4610" w:rsidP="007E4610">
      <w:pPr>
        <w:rPr>
          <w:b/>
          <w:bCs/>
          <w:color w:val="7030A0"/>
        </w:rPr>
      </w:pPr>
      <w:r w:rsidRPr="00632392">
        <w:rPr>
          <w:b/>
          <w:bCs/>
          <w:color w:val="7030A0"/>
        </w:rPr>
        <w:t>Durante los primeros años de la serie, comprendidos entre 2004 y 2007, el ICC se mantuvo en niveles relativamente estables, reflejando el contexto de expansión económica previo a la crisis financiera global. A partir de 2008, el índice registra un deterioro sostenido que se prolonga hasta 2013, coincidiendo con los años más intensos de la recesión económica española, el ajuste del sector inmobiliario y el aumento del desempleo. En este periodo, el ICC alcanza sus valores mínimos de la serie, con caídas que reflejan el pesimismo generalizado de los hogares respecto a su situación económica presente y futura.</w:t>
      </w:r>
    </w:p>
    <w:p w14:paraId="27FC0A64" w14:textId="77777777" w:rsidR="007E4610" w:rsidRPr="00632392" w:rsidRDefault="007E4610" w:rsidP="007E4610">
      <w:pPr>
        <w:rPr>
          <w:b/>
          <w:bCs/>
          <w:color w:val="7030A0"/>
        </w:rPr>
      </w:pPr>
      <w:r w:rsidRPr="00632392">
        <w:rPr>
          <w:b/>
          <w:bCs/>
          <w:color w:val="7030A0"/>
        </w:rPr>
        <w:t>Entre 2014 y 2019, el índice describe una recuperación gradual, aunque con oscilaciones frecuentes que revelan la fragilidad del ciclo expansivo. El ICC no recupera durante este periodo los niveles registrados antes de 2008, lo que sugiere que la percepción de los consumidores sobre las perspectivas económicas se mantuvo moderadamente contenida incluso en los años de crecimiento del PIB.</w:t>
      </w:r>
    </w:p>
    <w:p w14:paraId="0B276AFC" w14:textId="77777777" w:rsidR="007E4610" w:rsidRPr="00632392" w:rsidRDefault="007E4610" w:rsidP="007E4610">
      <w:pPr>
        <w:rPr>
          <w:b/>
          <w:bCs/>
          <w:color w:val="7030A0"/>
        </w:rPr>
      </w:pPr>
      <w:r w:rsidRPr="00632392">
        <w:rPr>
          <w:b/>
          <w:bCs/>
          <w:color w:val="7030A0"/>
        </w:rPr>
        <w:t>El episodio más brusco de la serie es la caída registrada en los meses de marzo y abril de 2020, coincidiendo con el inicio de la pandemia de COVID-19 y la declaración del estado de alarma en España. La ruptura que el indicador experimenta en ese momento no tiene precedentes en la serie analizada en términos de magnitud y velocidad del descenso. La recuperación posterior fue rápida en los primeros meses, aunque el índice continuó sujeto a una elevada volatilidad en el contexto de incertidumbre sanitaria y económica de 2020 y 2021.</w:t>
      </w:r>
    </w:p>
    <w:p w14:paraId="023FF20F" w14:textId="77777777" w:rsidR="007E4610" w:rsidRPr="00632392" w:rsidRDefault="007E4610" w:rsidP="007E4610">
      <w:pPr>
        <w:rPr>
          <w:b/>
          <w:bCs/>
          <w:color w:val="7030A0"/>
        </w:rPr>
      </w:pPr>
      <w:r w:rsidRPr="00632392">
        <w:rPr>
          <w:b/>
          <w:bCs/>
          <w:color w:val="7030A0"/>
        </w:rPr>
        <w:t>A partir de 2022, el ICC vuelve a mostrar una tendencia descendente asociada al episodio inflacionario y a la incertidumbre derivada del conflicto bélico en Europa del Este, con nuevas correcciones que se prolongan durante 2023. La serie cierra el periodo analizado con valores que reflejan una recuperación parcial pero no consolidada.</w:t>
      </w:r>
    </w:p>
    <w:p w14:paraId="6A35D8E0" w14:textId="77777777" w:rsidR="007E4610" w:rsidRPr="00632392" w:rsidRDefault="007E4610" w:rsidP="007E4610">
      <w:pPr>
        <w:rPr>
          <w:b/>
          <w:bCs/>
          <w:color w:val="7030A0"/>
        </w:rPr>
      </w:pPr>
      <w:r w:rsidRPr="00632392">
        <w:rPr>
          <w:b/>
          <w:bCs/>
          <w:color w:val="7030A0"/>
        </w:rPr>
        <w:t>Desde el punto de vista estadístico, la serie presenta una elevada autocorrelación en horizontes cortos: el valor del ICC en un mes determinado está fuertemente asociado al del mes anterior, lo que indica que el indicador tiene inercia temporal. Esta característica es relevante para el análisis comparativo, ya que significa que los cambios significativos en el ICC tienden a producirse de forma gradual, con la excepción de los episodios de perturbación macroeconómica intensa ya mencionados, en los que los saltos son abruptos.</w:t>
      </w:r>
    </w:p>
    <w:p w14:paraId="2ECE08C2" w14:textId="77777777" w:rsidR="007E4610" w:rsidRPr="00632392" w:rsidRDefault="00000000" w:rsidP="007E4610">
      <w:pPr>
        <w:rPr>
          <w:b/>
          <w:bCs/>
          <w:color w:val="7030A0"/>
        </w:rPr>
      </w:pPr>
      <w:r>
        <w:rPr>
          <w:b/>
          <w:bCs/>
          <w:color w:val="7030A0"/>
        </w:rPr>
        <w:pict w14:anchorId="718C9353">
          <v:rect id="_x0000_i1044" style="width:0;height:1.5pt" o:hralign="center" o:hrstd="t" o:hr="t" fillcolor="#a0a0a0" stroked="f"/>
        </w:pict>
      </w:r>
    </w:p>
    <w:p w14:paraId="3132BCDD" w14:textId="77777777" w:rsidR="007E4610" w:rsidRPr="00632392" w:rsidRDefault="007E4610" w:rsidP="007E4610">
      <w:pPr>
        <w:rPr>
          <w:b/>
          <w:bCs/>
          <w:color w:val="7030A0"/>
        </w:rPr>
      </w:pPr>
      <w:r w:rsidRPr="00632392">
        <w:rPr>
          <w:b/>
          <w:bCs/>
          <w:color w:val="7030A0"/>
        </w:rPr>
        <w:t>3.3.2. Análisis del sentimiento mensual</w:t>
      </w:r>
    </w:p>
    <w:p w14:paraId="02844195" w14:textId="77777777" w:rsidR="007E4610" w:rsidRPr="00632392" w:rsidRDefault="007E4610" w:rsidP="007E4610">
      <w:pPr>
        <w:rPr>
          <w:b/>
          <w:bCs/>
          <w:color w:val="7030A0"/>
        </w:rPr>
      </w:pPr>
      <w:r w:rsidRPr="00632392">
        <w:rPr>
          <w:b/>
          <w:bCs/>
          <w:color w:val="7030A0"/>
        </w:rPr>
        <w:t>Las variables de sentimiento mensual se obtienen a partir de la agregación de 11.198 publicaciones digitales institucionales correspondientes al periodo comprendido entre el 17 de febrero de 2012 y el 23 de abril de 2026. Tras el proceso de agregación descrito en la sección 3.2, se obtienen datos de sentimiento para un total de 143 meses con actividad registrada. Los meses del periodo 2004–2011 —previos al inicio de las publicaciones— reciben valor cero en todas las variables de sentimiento, lo que implica que estas variables no contienen información real para ese subperiodo.</w:t>
      </w:r>
    </w:p>
    <w:p w14:paraId="26D495B2" w14:textId="77777777" w:rsidR="007E4610" w:rsidRPr="00632392" w:rsidRDefault="007E4610" w:rsidP="007E4610">
      <w:pPr>
        <w:rPr>
          <w:b/>
          <w:bCs/>
          <w:color w:val="7030A0"/>
        </w:rPr>
      </w:pPr>
      <w:r w:rsidRPr="00632392">
        <w:rPr>
          <w:b/>
          <w:bCs/>
          <w:color w:val="7030A0"/>
        </w:rPr>
        <w:lastRenderedPageBreak/>
        <w:t>Las variables disponibles para cada mes son: volumen de publicaciones, polaridad media, polaridad mediana, proporción de publicaciones positivas, proporción de publicaciones negativas y proporción de publicaciones neutras.</w:t>
      </w:r>
    </w:p>
    <w:p w14:paraId="447F99B8" w14:textId="77777777" w:rsidR="007E4610" w:rsidRPr="00632392" w:rsidRDefault="007E4610" w:rsidP="007E4610">
      <w:pPr>
        <w:rPr>
          <w:b/>
          <w:bCs/>
          <w:color w:val="7030A0"/>
        </w:rPr>
      </w:pPr>
      <w:r w:rsidRPr="00632392">
        <w:rPr>
          <w:b/>
          <w:bCs/>
          <w:color w:val="7030A0"/>
        </w:rPr>
        <w:t>Volumen de publicaciones. La distribución mensual del volumen de publicaciones es marcadamente asimétrica a lo largo del periodo. Entre 2012 y 2018 el número de publicaciones por mes es notablemente reducido, con meses que acumulan menos de veinte registros. A partir de 2019, y de forma más acusada desde 2020, el volumen mensual aumenta de forma sostenida, situándose regularmente entre treinta y setenta publicaciones en los años más recientes. Esta asimetría tiene implicaciones directas sobre la fiabilidad de los indicadores de sentimiento: en los primeros años de la serie, los promedios mensuales se calculan sobre muestras pequeñas y son por tanto más sensibles a publicaciones individuales con polaridades extremas, lo que introduce ruido en las variables agregadas.</w:t>
      </w:r>
    </w:p>
    <w:p w14:paraId="6E390055" w14:textId="77777777" w:rsidR="007E4610" w:rsidRPr="00632392" w:rsidRDefault="007E4610" w:rsidP="007E4610">
      <w:pPr>
        <w:rPr>
          <w:b/>
          <w:bCs/>
          <w:color w:val="7030A0"/>
        </w:rPr>
      </w:pPr>
      <w:r w:rsidRPr="00632392">
        <w:rPr>
          <w:b/>
          <w:bCs/>
          <w:color w:val="7030A0"/>
        </w:rPr>
        <w:t>Polaridad media y mediana. Los valores de polaridad media mensual se concentran en un rango muy estrecho en torno a cero. En la mayoría de los meses, la polaridad media oscila entre −0,05 y +0,05, y la mediana mensual es prácticamente nula. Este comportamiento es coherente con el carácter del discurso institucional analizado: las publicaciones del Ministerio de Economía y las cuentas vinculadas tienen un contenido predominantemente informativo y técnico —comunicación de datos estadísticos, convocatorias, medidas de política económica— que no expresa valoraciones emocionales intensas. La herramienta de análisis de sentimiento empleada, de tipo léxico, asigna puntuaciones de polaridad próximas a cero a este tipo de textos, lo cual es a la vez un resultado esperado y una limitación metodológica a tener en cuenta.</w:t>
      </w:r>
    </w:p>
    <w:p w14:paraId="1BCEAA94" w14:textId="77777777" w:rsidR="007E4610" w:rsidRPr="00632392" w:rsidRDefault="007E4610" w:rsidP="007E4610">
      <w:pPr>
        <w:rPr>
          <w:b/>
          <w:bCs/>
          <w:color w:val="7030A0"/>
        </w:rPr>
      </w:pPr>
      <w:r w:rsidRPr="00632392">
        <w:rPr>
          <w:b/>
          <w:bCs/>
          <w:color w:val="7030A0"/>
        </w:rPr>
        <w:t>Proporciones de publicaciones positivas, negativas y neutras. La proporción de publicaciones con sentimiento neutro supera el ochenta y cinco por ciento en la mayoría de los meses analizados. Las proporciones de publicaciones positivas y negativas son, por tanto, minoritarias y presentan escasa variabilidad entre periodos. Esta concentración en la categoría neutra es consecuencia directa del carácter técnico-institucional de las fuentes y de la aplicación de un modelo léxico no especializado en el dominio económico en español.</w:t>
      </w:r>
    </w:p>
    <w:p w14:paraId="6272A03E" w14:textId="77777777" w:rsidR="007E4610" w:rsidRPr="00632392" w:rsidRDefault="007E4610" w:rsidP="007E4610">
      <w:pPr>
        <w:rPr>
          <w:b/>
          <w:bCs/>
          <w:color w:val="7030A0"/>
        </w:rPr>
      </w:pPr>
      <w:r w:rsidRPr="00632392">
        <w:rPr>
          <w:b/>
          <w:bCs/>
          <w:color w:val="7030A0"/>
        </w:rPr>
        <w:t>En conjunto, las variables de sentimiento describen un discurso institucional de tono predominantemente neutro, con variaciones de polaridad de baja amplitud y escasa correlación aparente con los episodios de cambio brusco registrados en el ICC. Esta característica no invalida el análisis comparativo, pero sí condiciona las expectativas respecto a la magnitud de las relaciones que puedan encontrarse entre ambas series.</w:t>
      </w:r>
    </w:p>
    <w:p w14:paraId="627A585E" w14:textId="77777777" w:rsidR="007E4610" w:rsidRPr="00632392" w:rsidRDefault="00000000" w:rsidP="007E4610">
      <w:pPr>
        <w:rPr>
          <w:b/>
          <w:bCs/>
          <w:color w:val="7030A0"/>
        </w:rPr>
      </w:pPr>
      <w:r>
        <w:rPr>
          <w:b/>
          <w:bCs/>
          <w:color w:val="7030A0"/>
        </w:rPr>
        <w:pict w14:anchorId="38FCDBB4">
          <v:rect id="_x0000_i1045" style="width:0;height:1.5pt" o:hralign="center" o:hrstd="t" o:hr="t" fillcolor="#a0a0a0" stroked="f"/>
        </w:pict>
      </w:r>
    </w:p>
    <w:p w14:paraId="0A9CF2EE" w14:textId="77777777" w:rsidR="007E4610" w:rsidRPr="00632392" w:rsidRDefault="007E4610" w:rsidP="007E4610">
      <w:pPr>
        <w:rPr>
          <w:b/>
          <w:bCs/>
          <w:color w:val="7030A0"/>
        </w:rPr>
      </w:pPr>
      <w:r w:rsidRPr="00632392">
        <w:rPr>
          <w:b/>
          <w:bCs/>
          <w:color w:val="7030A0"/>
        </w:rPr>
        <w:t>3.3.3. Comparación gráfica entre ICC y sentimiento</w:t>
      </w:r>
    </w:p>
    <w:p w14:paraId="422053B3" w14:textId="77777777" w:rsidR="007E4610" w:rsidRPr="00632392" w:rsidRDefault="007E4610" w:rsidP="007E4610">
      <w:pPr>
        <w:rPr>
          <w:b/>
          <w:bCs/>
          <w:color w:val="7030A0"/>
        </w:rPr>
      </w:pPr>
      <w:r w:rsidRPr="00632392">
        <w:rPr>
          <w:b/>
          <w:bCs/>
          <w:color w:val="7030A0"/>
        </w:rPr>
        <w:t>La comparación visual entre la serie del ICC y las variables de sentimiento mensual tiene como objetivo identificar si ambas dimensiones del estado económico —la percepción de los consumidores medida mediante encuesta y el tono del discurso institucional medido mediante análisis de texto— presentan una evolución temporal coherente o, por el contrario, muestran patrones divergentes.</w:t>
      </w:r>
    </w:p>
    <w:p w14:paraId="6D37DF8E" w14:textId="77777777" w:rsidR="007E4610" w:rsidRPr="00632392" w:rsidRDefault="007E4610" w:rsidP="007E4610">
      <w:pPr>
        <w:rPr>
          <w:b/>
          <w:bCs/>
          <w:color w:val="7030A0"/>
        </w:rPr>
      </w:pPr>
      <w:r w:rsidRPr="00632392">
        <w:rPr>
          <w:b/>
          <w:bCs/>
          <w:color w:val="7030A0"/>
        </w:rPr>
        <w:t>Para realizar esta comparación de forma rigurosa, es necesario tener en cuenta que las dos series tienen coberturas temporales distintas: el ICC está disponible desde septiembre de 2004, mientras que las publicaciones institucionales comienzan en febrero de 2012. El análisis gráfico comparativo se centra, por tanto, en el subperiodo común que va de febrero de 2012 a enero de 2026, que es el único en el que ambas series disponen de información real.</w:t>
      </w:r>
    </w:p>
    <w:p w14:paraId="13882926" w14:textId="77777777" w:rsidR="007E4610" w:rsidRPr="00632392" w:rsidRDefault="007E4610" w:rsidP="007E4610">
      <w:pPr>
        <w:rPr>
          <w:b/>
          <w:bCs/>
          <w:color w:val="7030A0"/>
        </w:rPr>
      </w:pPr>
      <w:r w:rsidRPr="00632392">
        <w:rPr>
          <w:b/>
          <w:bCs/>
          <w:color w:val="7030A0"/>
        </w:rPr>
        <w:lastRenderedPageBreak/>
        <w:t>La representación conjunta de la polaridad media mensual y el ICC permite observar que la serie de sentimiento no sigue de forma nítida los movimientos del indicador oficial. El ICC describe trayectorias de cambio sostenido —recuperaciones graduales, deterioros progresivos— que no tienen un reflejo claro en las oscilaciones de la polaridad media institucional, que permanece prácticamente estable y próxima a cero a lo largo de todo el periodo. Los episodios de caída brusca del ICC, como el de la primavera de 2020, no se traducen en descensos equivalentes de la polaridad media de las publicaciones institucionales del mismo mes o de los meses inmediatamente anteriores.</w:t>
      </w:r>
    </w:p>
    <w:p w14:paraId="699F5345" w14:textId="77777777" w:rsidR="007E4610" w:rsidRPr="00632392" w:rsidRDefault="007E4610" w:rsidP="007E4610">
      <w:pPr>
        <w:rPr>
          <w:b/>
          <w:bCs/>
          <w:color w:val="7030A0"/>
        </w:rPr>
      </w:pPr>
      <w:r w:rsidRPr="00632392">
        <w:rPr>
          <w:b/>
          <w:bCs/>
          <w:color w:val="7030A0"/>
        </w:rPr>
        <w:t>La evolución del volumen de publicaciones presenta un perfil temporal diferente al del ICC: su crecimiento está determinado principalmente por la adopción creciente de las redes sociales como canal de comunicación institucional, y no parece responder a los ciclos de la confianza del consumidor. En periodos de deterioro del ICC no se aprecia de forma sistemática un incremento en el volumen de publicaciones que pudiera interpretarse como una respuesta comunicativa institucional ante la adversidad económica.</w:t>
      </w:r>
    </w:p>
    <w:p w14:paraId="204A6E50" w14:textId="77777777" w:rsidR="007E4610" w:rsidRPr="00632392" w:rsidRDefault="007E4610" w:rsidP="007E4610">
      <w:pPr>
        <w:rPr>
          <w:b/>
          <w:bCs/>
          <w:color w:val="7030A0"/>
        </w:rPr>
      </w:pPr>
      <w:r w:rsidRPr="00632392">
        <w:rPr>
          <w:b/>
          <w:bCs/>
          <w:color w:val="7030A0"/>
        </w:rPr>
        <w:t>Las proporciones de publicaciones positivas y negativas, dada su escasa variabilidad y su concentración en valores reducidos, no ofrecen señales visuales interpretables en relación con los movimientos del ICC. Su representación gráfica confirma lo ya descrito en la sección anterior: el discurso institucional analizado no experimenta cambios de tono apreciables en los periodos de mayor volatilidad del indicador oficial.</w:t>
      </w:r>
    </w:p>
    <w:p w14:paraId="6276AA48" w14:textId="77777777" w:rsidR="007E4610" w:rsidRPr="00632392" w:rsidRDefault="007E4610" w:rsidP="007E4610">
      <w:pPr>
        <w:rPr>
          <w:b/>
          <w:bCs/>
          <w:color w:val="7030A0"/>
        </w:rPr>
      </w:pPr>
      <w:r w:rsidRPr="00632392">
        <w:rPr>
          <w:b/>
          <w:bCs/>
          <w:color w:val="7030A0"/>
        </w:rPr>
        <w:t>En síntesis, la comparación gráfica no permite identificar una relación visual clara y sistemática entre la evolución mensual del sentimiento institucional y la del ICC en el periodo analizado. Esta ausencia de alineación no implica necesariamente que no exista ningún tipo de relación entre ambas series, pero sugiere que, de existir, sería de naturaleza sutil o estaría sujeta a desfases temporales que el análisis visual no capta con facilidad. Esta hipótesis se explora en el apartado siguiente.</w:t>
      </w:r>
    </w:p>
    <w:p w14:paraId="7D6F8756" w14:textId="77777777" w:rsidR="007E4610" w:rsidRPr="00632392" w:rsidRDefault="00000000" w:rsidP="007E4610">
      <w:pPr>
        <w:rPr>
          <w:b/>
          <w:bCs/>
          <w:color w:val="7030A0"/>
        </w:rPr>
      </w:pPr>
      <w:r>
        <w:rPr>
          <w:b/>
          <w:bCs/>
          <w:color w:val="7030A0"/>
        </w:rPr>
        <w:pict w14:anchorId="5785484E">
          <v:rect id="_x0000_i1046" style="width:0;height:1.5pt" o:hralign="center" o:hrstd="t" o:hr="t" fillcolor="#a0a0a0" stroked="f"/>
        </w:pict>
      </w:r>
    </w:p>
    <w:p w14:paraId="3AA7DFC2" w14:textId="77777777" w:rsidR="007E4610" w:rsidRPr="00632392" w:rsidRDefault="007E4610" w:rsidP="007E4610">
      <w:pPr>
        <w:rPr>
          <w:b/>
          <w:bCs/>
          <w:color w:val="7030A0"/>
        </w:rPr>
      </w:pPr>
      <w:r w:rsidRPr="00632392">
        <w:rPr>
          <w:b/>
          <w:bCs/>
          <w:color w:val="7030A0"/>
        </w:rPr>
        <w:t>3.3.4. Análisis de posibles desfases temporales</w:t>
      </w:r>
    </w:p>
    <w:p w14:paraId="553FF682" w14:textId="77777777" w:rsidR="007E4610" w:rsidRPr="00632392" w:rsidRDefault="007E4610" w:rsidP="007E4610">
      <w:pPr>
        <w:rPr>
          <w:b/>
          <w:bCs/>
          <w:color w:val="7030A0"/>
        </w:rPr>
      </w:pPr>
      <w:r w:rsidRPr="00632392">
        <w:rPr>
          <w:b/>
          <w:bCs/>
          <w:color w:val="7030A0"/>
        </w:rPr>
        <w:t>Una hipótesis razonable en el análisis de la relación entre el discurso institucional y la confianza del consumidor es que el sentimiento expresado en las publicaciones no coincide necesariamente en el tiempo con los movimientos del ICC, sino que los anticipa o los sigue con un cierto retardo. Si la comunicación institucional refleja o influye en las expectativas ciudadanas, podría esperarse que los cambios en el tono de las publicaciones precedieran a los movimientos del ICC en uno o varios meses. Alternativamente, si las instituciones reaccionan a los cambios ya producidos en la confianza del consumidor, el sentimiento podría seguir al ICC con un retardo.</w:t>
      </w:r>
    </w:p>
    <w:p w14:paraId="11E0BBAF" w14:textId="77777777" w:rsidR="007E4610" w:rsidRPr="00632392" w:rsidRDefault="007E4610" w:rsidP="007E4610">
      <w:pPr>
        <w:rPr>
          <w:b/>
          <w:bCs/>
          <w:color w:val="7030A0"/>
        </w:rPr>
      </w:pPr>
      <w:r w:rsidRPr="00632392">
        <w:rPr>
          <w:b/>
          <w:bCs/>
          <w:color w:val="7030A0"/>
        </w:rPr>
        <w:t xml:space="preserve">Para explorar esta posibilidad, se analiza la correlación entre el ICC en el mes </w:t>
      </w:r>
      <w:r w:rsidRPr="00632392">
        <w:rPr>
          <w:b/>
          <w:bCs/>
          <w:i/>
          <w:iCs/>
          <w:color w:val="7030A0"/>
        </w:rPr>
        <w:t>t</w:t>
      </w:r>
      <w:r w:rsidRPr="00632392">
        <w:rPr>
          <w:b/>
          <w:bCs/>
          <w:color w:val="7030A0"/>
        </w:rPr>
        <w:t xml:space="preserve"> y los valores de la polaridad media con distintos retardos positivos y negativos, es decir, calculando la correlación entre </w:t>
      </w:r>
      <w:proofErr w:type="spellStart"/>
      <w:r w:rsidRPr="00632392">
        <w:rPr>
          <w:b/>
          <w:bCs/>
          <w:color w:val="7030A0"/>
        </w:rPr>
        <w:t>ICC_t</w:t>
      </w:r>
      <w:proofErr w:type="spellEnd"/>
      <w:r w:rsidRPr="00632392">
        <w:rPr>
          <w:b/>
          <w:bCs/>
          <w:color w:val="7030A0"/>
        </w:rPr>
        <w:t xml:space="preserve"> y </w:t>
      </w:r>
      <w:proofErr w:type="spellStart"/>
      <w:r w:rsidRPr="00632392">
        <w:rPr>
          <w:b/>
          <w:bCs/>
          <w:color w:val="7030A0"/>
        </w:rPr>
        <w:t>polaridad_t+k</w:t>
      </w:r>
      <w:proofErr w:type="spellEnd"/>
      <w:r w:rsidRPr="00632392">
        <w:rPr>
          <w:b/>
          <w:bCs/>
          <w:color w:val="7030A0"/>
        </w:rPr>
        <w:t xml:space="preserve"> para valores de </w:t>
      </w:r>
      <w:r w:rsidRPr="00632392">
        <w:rPr>
          <w:b/>
          <w:bCs/>
          <w:i/>
          <w:iCs/>
          <w:color w:val="7030A0"/>
        </w:rPr>
        <w:t>k</w:t>
      </w:r>
      <w:r w:rsidRPr="00632392">
        <w:rPr>
          <w:b/>
          <w:bCs/>
          <w:color w:val="7030A0"/>
        </w:rPr>
        <w:t xml:space="preserve"> tanto positivos —sentimiento precede al ICC— como negativos —ICC precede al sentimiento.</w:t>
      </w:r>
    </w:p>
    <w:p w14:paraId="758CF5F9" w14:textId="77777777" w:rsidR="007E4610" w:rsidRPr="00632392" w:rsidRDefault="007E4610" w:rsidP="007E4610">
      <w:pPr>
        <w:rPr>
          <w:b/>
          <w:bCs/>
          <w:color w:val="7030A0"/>
        </w:rPr>
      </w:pPr>
      <w:r w:rsidRPr="00632392">
        <w:rPr>
          <w:b/>
          <w:bCs/>
          <w:color w:val="7030A0"/>
        </w:rPr>
        <w:t>Los resultados de este análisis deben interpretarse con cautela por varias razones. En primer lugar, la baja variabilidad de la polaridad media, cuyas oscilaciones son de amplitud reducida en casi todos los meses, limita la potencia estadística de cualquier correlación calculada sobre esta variable. En segundo lugar, la cobertura parcial de las publicaciones —disponibles únicamente desde 2012, frente al ICC disponible desde 2004— reduce el número de observaciones sobre las que se calcula la correlación. En tercer lugar, la elevada autocorrelación del ICC hace que las correlaciones cruzadas con variables externas puedan estar infladas por la inercia de la propia serie.</w:t>
      </w:r>
    </w:p>
    <w:p w14:paraId="3BC543A6" w14:textId="77777777" w:rsidR="007E4610" w:rsidRPr="00632392" w:rsidRDefault="007E4610" w:rsidP="007E4610">
      <w:pPr>
        <w:rPr>
          <w:b/>
          <w:bCs/>
          <w:color w:val="7030A0"/>
        </w:rPr>
      </w:pPr>
      <w:r w:rsidRPr="00632392">
        <w:rPr>
          <w:b/>
          <w:bCs/>
          <w:color w:val="7030A0"/>
        </w:rPr>
        <w:lastRenderedPageBreak/>
        <w:t>Con estas cautelas, el análisis de correlaciones cruzadas entre el ICC y la polaridad media no revela un patrón de desfase consistente y estadísticamente relevante en ninguno de los horizontes temporales explorados. Las correlaciones obtenidas son de baja magnitud en todos los casos, sin que se aprecie un retardo específico que maximice de forma clara la relación entre ambas series. Este resultado es coherente con las características del discurso institucional ya descritas: un sentimiento predominantemente neutro y de escasa variabilidad difícilmente puede mostrar una relación temporal sistemática con una serie que, como el ICC, experimenta oscilaciones de mayor amplitud en periodos de perturbación económica.</w:t>
      </w:r>
    </w:p>
    <w:p w14:paraId="19C10A41" w14:textId="77777777" w:rsidR="007E4610" w:rsidRPr="00632392" w:rsidRDefault="007E4610" w:rsidP="007E4610">
      <w:pPr>
        <w:rPr>
          <w:b/>
          <w:bCs/>
          <w:color w:val="7030A0"/>
        </w:rPr>
      </w:pPr>
      <w:r w:rsidRPr="00632392">
        <w:rPr>
          <w:b/>
          <w:bCs/>
          <w:color w:val="7030A0"/>
        </w:rPr>
        <w:t>La variable volumen de publicaciones tampoco presenta un patrón de correlación cruzada consistente con el ICC que permita concluir que los periodos de mayor actividad comunicativa institucional anteceden o siguen a los cambios en la confianza del consumidor de forma sistemática.</w:t>
      </w:r>
    </w:p>
    <w:p w14:paraId="1DB31603" w14:textId="77777777" w:rsidR="007E4610" w:rsidRPr="00632392" w:rsidRDefault="007E4610" w:rsidP="007E4610">
      <w:pPr>
        <w:rPr>
          <w:b/>
          <w:bCs/>
          <w:color w:val="7030A0"/>
        </w:rPr>
      </w:pPr>
      <w:r w:rsidRPr="00632392">
        <w:rPr>
          <w:b/>
          <w:bCs/>
          <w:color w:val="7030A0"/>
        </w:rPr>
        <w:t>En conjunto, el análisis de desfases temporales refuerza la conclusión extraída de la comparación gráfica: las series de sentimiento institucional y de confianza del consumidor no presentan, con los datos y herramientas utilizados en este trabajo, una relación temporal clara ni a nivel contemporáneo ni con los retardos explorados. Esta conclusión, lejos de invalidar el enfoque, delimita con precisión el alcance de lo que puede afirmarse sobre la relación entre ambas dimensiones del análisis económico y sienta las bases para las líneas de trabajo futuro propuestas en el capítulo de conclusiones.</w:t>
      </w:r>
    </w:p>
    <w:p w14:paraId="7A6045FB" w14:textId="77777777" w:rsidR="007E4610" w:rsidRPr="00632392" w:rsidRDefault="00000000" w:rsidP="007E4610">
      <w:pPr>
        <w:rPr>
          <w:b/>
          <w:bCs/>
          <w:color w:val="7030A0"/>
        </w:rPr>
      </w:pPr>
      <w:r>
        <w:rPr>
          <w:b/>
          <w:bCs/>
          <w:color w:val="7030A0"/>
        </w:rPr>
        <w:pict w14:anchorId="2F33AFDB">
          <v:rect id="_x0000_i1047" style="width:0;height:1.5pt" o:hralign="center" o:hrstd="t" o:hr="t" fillcolor="#a0a0a0" stroked="f"/>
        </w:pict>
      </w:r>
    </w:p>
    <w:p w14:paraId="5A69A6AB" w14:textId="77777777" w:rsidR="007E4610" w:rsidRPr="00632392" w:rsidRDefault="007E4610" w:rsidP="007E4610">
      <w:pPr>
        <w:rPr>
          <w:b/>
          <w:bCs/>
          <w:color w:val="7030A0"/>
        </w:rPr>
      </w:pPr>
      <w:r w:rsidRPr="00632392">
        <w:rPr>
          <w:b/>
          <w:bCs/>
          <w:color w:val="7030A0"/>
        </w:rPr>
        <w:t>3.3.5. Modelo predictivo complementario</w:t>
      </w:r>
    </w:p>
    <w:p w14:paraId="222BCAF6" w14:textId="77777777" w:rsidR="007E4610" w:rsidRPr="00632392" w:rsidRDefault="007E4610" w:rsidP="007E4610">
      <w:pPr>
        <w:rPr>
          <w:b/>
          <w:bCs/>
          <w:color w:val="7030A0"/>
        </w:rPr>
      </w:pPr>
      <w:r w:rsidRPr="00632392">
        <w:rPr>
          <w:b/>
          <w:bCs/>
          <w:color w:val="7030A0"/>
        </w:rPr>
        <w:t>Como análisis complementario al estudio comparativo desarrollado en los apartados anteriores, se plantea un experimento de regresión supervisada cuyo objetivo no es construir un sistema predictivo definitivo del ICC, sino aportar una perspectiva cuantitativa adicional sobre si las variables de sentimiento institucional contienen información estadísticamente relevante para estimar el valor del índice en el mes siguiente.</w:t>
      </w:r>
    </w:p>
    <w:p w14:paraId="0515F4DF" w14:textId="77777777" w:rsidR="007E4610" w:rsidRPr="00632392" w:rsidRDefault="007E4610" w:rsidP="007E4610">
      <w:pPr>
        <w:rPr>
          <w:b/>
          <w:bCs/>
          <w:color w:val="7030A0"/>
        </w:rPr>
      </w:pPr>
      <w:r w:rsidRPr="00632392">
        <w:rPr>
          <w:b/>
          <w:bCs/>
          <w:color w:val="7030A0"/>
        </w:rPr>
        <w:t>Planteamiento del experimento</w:t>
      </w:r>
    </w:p>
    <w:p w14:paraId="365FB6A6" w14:textId="77777777" w:rsidR="007E4610" w:rsidRPr="00632392" w:rsidRDefault="007E4610" w:rsidP="007E4610">
      <w:pPr>
        <w:rPr>
          <w:b/>
          <w:bCs/>
          <w:color w:val="7030A0"/>
        </w:rPr>
      </w:pPr>
      <w:r w:rsidRPr="00632392">
        <w:rPr>
          <w:b/>
          <w:bCs/>
          <w:color w:val="7030A0"/>
        </w:rPr>
        <w:t xml:space="preserve">El problema se formula como una tarea de regresión: a partir de las variables disponibles en el mes </w:t>
      </w:r>
      <w:r w:rsidRPr="00632392">
        <w:rPr>
          <w:b/>
          <w:bCs/>
          <w:i/>
          <w:iCs/>
          <w:color w:val="7030A0"/>
        </w:rPr>
        <w:t>t</w:t>
      </w:r>
      <w:r w:rsidRPr="00632392">
        <w:rPr>
          <w:b/>
          <w:bCs/>
          <w:color w:val="7030A0"/>
        </w:rPr>
        <w:t xml:space="preserve">, se trata de predecir el valor numérico del ICC en el mes </w:t>
      </w:r>
      <w:r w:rsidRPr="00632392">
        <w:rPr>
          <w:b/>
          <w:bCs/>
          <w:i/>
          <w:iCs/>
          <w:color w:val="7030A0"/>
        </w:rPr>
        <w:t>t+1</w:t>
      </w:r>
      <w:r w:rsidRPr="00632392">
        <w:rPr>
          <w:b/>
          <w:bCs/>
          <w:color w:val="7030A0"/>
        </w:rPr>
        <w:t xml:space="preserve">. Se diseñan dos grupos de modelos para aislar la contribución marginal del sentimiento. El primero, denominado modelo base, emplea exclusivamente información autorregresiva del ICC: el valor del índice en el mes actual y sus tres retardos inmediatos (ICC, ICC_lag_1, ICC_lag_2, ICC_lag_3). El segundo grupo incorpora, además, las seis variables de sentimiento mensual: </w:t>
      </w:r>
      <w:proofErr w:type="spellStart"/>
      <w:r w:rsidRPr="00632392">
        <w:rPr>
          <w:b/>
          <w:bCs/>
          <w:color w:val="7030A0"/>
        </w:rPr>
        <w:t>volumen_publicaciones</w:t>
      </w:r>
      <w:proofErr w:type="spellEnd"/>
      <w:r w:rsidRPr="00632392">
        <w:rPr>
          <w:b/>
          <w:bCs/>
          <w:color w:val="7030A0"/>
        </w:rPr>
        <w:t xml:space="preserve">, </w:t>
      </w:r>
      <w:proofErr w:type="spellStart"/>
      <w:r w:rsidRPr="00632392">
        <w:rPr>
          <w:b/>
          <w:bCs/>
          <w:color w:val="7030A0"/>
        </w:rPr>
        <w:t>polaridad_media</w:t>
      </w:r>
      <w:proofErr w:type="spellEnd"/>
      <w:r w:rsidRPr="00632392">
        <w:rPr>
          <w:b/>
          <w:bCs/>
          <w:color w:val="7030A0"/>
        </w:rPr>
        <w:t xml:space="preserve">, </w:t>
      </w:r>
      <w:proofErr w:type="spellStart"/>
      <w:r w:rsidRPr="00632392">
        <w:rPr>
          <w:b/>
          <w:bCs/>
          <w:color w:val="7030A0"/>
        </w:rPr>
        <w:t>polaridad_mediana</w:t>
      </w:r>
      <w:proofErr w:type="spellEnd"/>
      <w:r w:rsidRPr="00632392">
        <w:rPr>
          <w:b/>
          <w:bCs/>
          <w:color w:val="7030A0"/>
        </w:rPr>
        <w:t xml:space="preserve">, </w:t>
      </w:r>
      <w:proofErr w:type="spellStart"/>
      <w:r w:rsidRPr="00632392">
        <w:rPr>
          <w:b/>
          <w:bCs/>
          <w:color w:val="7030A0"/>
        </w:rPr>
        <w:t>proporcion_positivas</w:t>
      </w:r>
      <w:proofErr w:type="spellEnd"/>
      <w:r w:rsidRPr="00632392">
        <w:rPr>
          <w:b/>
          <w:bCs/>
          <w:color w:val="7030A0"/>
        </w:rPr>
        <w:t xml:space="preserve">, </w:t>
      </w:r>
      <w:proofErr w:type="spellStart"/>
      <w:r w:rsidRPr="00632392">
        <w:rPr>
          <w:b/>
          <w:bCs/>
          <w:color w:val="7030A0"/>
        </w:rPr>
        <w:t>proporcion_negativas</w:t>
      </w:r>
      <w:proofErr w:type="spellEnd"/>
      <w:r w:rsidRPr="00632392">
        <w:rPr>
          <w:b/>
          <w:bCs/>
          <w:color w:val="7030A0"/>
        </w:rPr>
        <w:t xml:space="preserve"> y </w:t>
      </w:r>
      <w:proofErr w:type="spellStart"/>
      <w:r w:rsidRPr="00632392">
        <w:rPr>
          <w:b/>
          <w:bCs/>
          <w:color w:val="7030A0"/>
        </w:rPr>
        <w:t>proporcion_neutras</w:t>
      </w:r>
      <w:proofErr w:type="spellEnd"/>
      <w:r w:rsidRPr="00632392">
        <w:rPr>
          <w:b/>
          <w:bCs/>
          <w:color w:val="7030A0"/>
        </w:rPr>
        <w:t>.</w:t>
      </w:r>
    </w:p>
    <w:p w14:paraId="10EEDB85" w14:textId="77777777" w:rsidR="007E4610" w:rsidRPr="00632392" w:rsidRDefault="007E4610" w:rsidP="007E4610">
      <w:pPr>
        <w:rPr>
          <w:b/>
          <w:bCs/>
          <w:color w:val="7030A0"/>
        </w:rPr>
      </w:pPr>
      <w:r w:rsidRPr="00632392">
        <w:rPr>
          <w:b/>
          <w:bCs/>
          <w:color w:val="7030A0"/>
        </w:rPr>
        <w:t>La división entre entrenamiento y prueba se realizó de forma cronológica estricta, sin aleatorización, con el fin de evitar la filtración de información futura en el proceso de ajuste. El conjunto de entrenamiento abarca desde diciembre de 2004 hasta junio de 2021 (199 observaciones) y el conjunto de prueba desde julio de 2021 hasta diciembre de 2025 (50 observaciones).</w:t>
      </w:r>
    </w:p>
    <w:p w14:paraId="36682F4B" w14:textId="77777777" w:rsidR="007E4610" w:rsidRPr="00632392" w:rsidRDefault="007E4610" w:rsidP="007E4610">
      <w:pPr>
        <w:rPr>
          <w:b/>
          <w:bCs/>
          <w:color w:val="7030A0"/>
        </w:rPr>
      </w:pPr>
      <w:r w:rsidRPr="00632392">
        <w:rPr>
          <w:b/>
          <w:bCs/>
          <w:color w:val="7030A0"/>
        </w:rPr>
        <w:t>Modelos entrenados</w:t>
      </w:r>
    </w:p>
    <w:p w14:paraId="55EB3001" w14:textId="77777777" w:rsidR="007E4610" w:rsidRPr="00632392" w:rsidRDefault="007E4610" w:rsidP="007E4610">
      <w:pPr>
        <w:rPr>
          <w:b/>
          <w:bCs/>
          <w:color w:val="7030A0"/>
        </w:rPr>
      </w:pPr>
      <w:r w:rsidRPr="00632392">
        <w:rPr>
          <w:b/>
          <w:bCs/>
          <w:color w:val="7030A0"/>
        </w:rPr>
        <w:t>El modelo base es una regresión lineal ordinaria ajustada con las cuatro variables autorregresivas del ICC. Actúa como referencia del experimento: cualquier modelo más complejo debería superarlo en el conjunto de prueba para que las variables adicionales puedan considerarse útiles desde un punto de vista predictivo.</w:t>
      </w:r>
    </w:p>
    <w:p w14:paraId="3A9D7573" w14:textId="77777777" w:rsidR="007E4610" w:rsidRPr="00632392" w:rsidRDefault="007E4610" w:rsidP="007E4610">
      <w:pPr>
        <w:rPr>
          <w:b/>
          <w:bCs/>
          <w:color w:val="7030A0"/>
        </w:rPr>
      </w:pPr>
      <w:r w:rsidRPr="00632392">
        <w:rPr>
          <w:b/>
          <w:bCs/>
          <w:color w:val="7030A0"/>
        </w:rPr>
        <w:lastRenderedPageBreak/>
        <w:t xml:space="preserve">El segundo modelo es un Random Forest </w:t>
      </w:r>
      <w:proofErr w:type="spellStart"/>
      <w:r w:rsidRPr="00632392">
        <w:rPr>
          <w:b/>
          <w:bCs/>
          <w:color w:val="7030A0"/>
        </w:rPr>
        <w:t>Regressor</w:t>
      </w:r>
      <w:proofErr w:type="spellEnd"/>
      <w:r w:rsidRPr="00632392">
        <w:rPr>
          <w:b/>
          <w:bCs/>
          <w:color w:val="7030A0"/>
        </w:rPr>
        <w:t>, un ensamble de 300 árboles de decisión con profundidad máxima de 5 niveles y un mínimo de 3 observaciones por hoja. Incorpora tanto las variables autorregresivas del ICC como las seis variables de sentimiento y permite, además, obtener una medida de importancia relativa de cada predictor.</w:t>
      </w:r>
    </w:p>
    <w:p w14:paraId="45AF8382" w14:textId="77777777" w:rsidR="007E4610" w:rsidRPr="00632392" w:rsidRDefault="007E4610" w:rsidP="007E4610">
      <w:pPr>
        <w:rPr>
          <w:b/>
          <w:bCs/>
          <w:color w:val="7030A0"/>
        </w:rPr>
      </w:pPr>
      <w:r w:rsidRPr="00632392">
        <w:rPr>
          <w:b/>
          <w:bCs/>
          <w:color w:val="7030A0"/>
        </w:rPr>
        <w:t xml:space="preserve">El tercer modelo es un </w:t>
      </w:r>
      <w:proofErr w:type="spellStart"/>
      <w:r w:rsidRPr="00632392">
        <w:rPr>
          <w:b/>
          <w:bCs/>
          <w:color w:val="7030A0"/>
        </w:rPr>
        <w:t>Gradient</w:t>
      </w:r>
      <w:proofErr w:type="spellEnd"/>
      <w:r w:rsidRPr="00632392">
        <w:rPr>
          <w:b/>
          <w:bCs/>
          <w:color w:val="7030A0"/>
        </w:rPr>
        <w:t xml:space="preserve"> </w:t>
      </w:r>
      <w:proofErr w:type="spellStart"/>
      <w:r w:rsidRPr="00632392">
        <w:rPr>
          <w:b/>
          <w:bCs/>
          <w:color w:val="7030A0"/>
        </w:rPr>
        <w:t>Boosting</w:t>
      </w:r>
      <w:proofErr w:type="spellEnd"/>
      <w:r w:rsidRPr="00632392">
        <w:rPr>
          <w:b/>
          <w:bCs/>
          <w:color w:val="7030A0"/>
        </w:rPr>
        <w:t xml:space="preserve"> </w:t>
      </w:r>
      <w:proofErr w:type="spellStart"/>
      <w:r w:rsidRPr="00632392">
        <w:rPr>
          <w:b/>
          <w:bCs/>
          <w:color w:val="7030A0"/>
        </w:rPr>
        <w:t>Regressor</w:t>
      </w:r>
      <w:proofErr w:type="spellEnd"/>
      <w:r w:rsidRPr="00632392">
        <w:rPr>
          <w:b/>
          <w:bCs/>
          <w:color w:val="7030A0"/>
        </w:rPr>
        <w:t xml:space="preserve">, también basado en árboles de decisión, con 300 estimadores construidos de forma secuencial, una tasa de aprendizaje de 0,05 y profundidad máxima de 3. Este algoritmo minimiza iterativamente el error residual del modelo anterior, lo que lo hace sensible a patrones complejos, aunque también más propenso al sobreajuste en conjuntos de datos de tamaño moderado. Cabe señalar que, durante la implementación, se intentó emplear </w:t>
      </w:r>
      <w:proofErr w:type="spellStart"/>
      <w:r w:rsidRPr="00632392">
        <w:rPr>
          <w:b/>
          <w:bCs/>
          <w:color w:val="7030A0"/>
        </w:rPr>
        <w:t>XGBoost</w:t>
      </w:r>
      <w:proofErr w:type="spellEnd"/>
      <w:r w:rsidRPr="00632392">
        <w:rPr>
          <w:b/>
          <w:bCs/>
          <w:color w:val="7030A0"/>
        </w:rPr>
        <w:t xml:space="preserve"> como alternativa a este modelo; sin embargo, la indisponibilidad de la librería en el entorno de ejecución llevó a sustituirlo por el </w:t>
      </w:r>
      <w:proofErr w:type="spellStart"/>
      <w:r w:rsidRPr="00632392">
        <w:rPr>
          <w:b/>
          <w:bCs/>
          <w:color w:val="7030A0"/>
        </w:rPr>
        <w:t>Gradient</w:t>
      </w:r>
      <w:proofErr w:type="spellEnd"/>
      <w:r w:rsidRPr="00632392">
        <w:rPr>
          <w:b/>
          <w:bCs/>
          <w:color w:val="7030A0"/>
        </w:rPr>
        <w:t xml:space="preserve"> </w:t>
      </w:r>
      <w:proofErr w:type="spellStart"/>
      <w:r w:rsidRPr="00632392">
        <w:rPr>
          <w:b/>
          <w:bCs/>
          <w:color w:val="7030A0"/>
        </w:rPr>
        <w:t>Boosting</w:t>
      </w:r>
      <w:proofErr w:type="spellEnd"/>
      <w:r w:rsidRPr="00632392">
        <w:rPr>
          <w:b/>
          <w:bCs/>
          <w:color w:val="7030A0"/>
        </w:rPr>
        <w:t xml:space="preserve"> </w:t>
      </w:r>
      <w:proofErr w:type="spellStart"/>
      <w:r w:rsidRPr="00632392">
        <w:rPr>
          <w:b/>
          <w:bCs/>
          <w:color w:val="7030A0"/>
        </w:rPr>
        <w:t>Regressor</w:t>
      </w:r>
      <w:proofErr w:type="spellEnd"/>
      <w:r w:rsidRPr="00632392">
        <w:rPr>
          <w:b/>
          <w:bCs/>
          <w:color w:val="7030A0"/>
        </w:rPr>
        <w:t xml:space="preserve"> de </w:t>
      </w:r>
      <w:proofErr w:type="spellStart"/>
      <w:r w:rsidRPr="00632392">
        <w:rPr>
          <w:b/>
          <w:bCs/>
          <w:color w:val="7030A0"/>
        </w:rPr>
        <w:t>scikit-learn</w:t>
      </w:r>
      <w:proofErr w:type="spellEnd"/>
      <w:r w:rsidRPr="00632392">
        <w:rPr>
          <w:b/>
          <w:bCs/>
          <w:color w:val="7030A0"/>
        </w:rPr>
        <w:t>, que responde al mismo principio algorítmico.</w:t>
      </w:r>
    </w:p>
    <w:p w14:paraId="7954FE0C" w14:textId="77777777" w:rsidR="007E4610" w:rsidRPr="00632392" w:rsidRDefault="007E4610" w:rsidP="007E4610">
      <w:pPr>
        <w:rPr>
          <w:b/>
          <w:bCs/>
          <w:color w:val="7030A0"/>
        </w:rPr>
      </w:pPr>
      <w:r w:rsidRPr="00632392">
        <w:rPr>
          <w:b/>
          <w:bCs/>
          <w:color w:val="7030A0"/>
        </w:rPr>
        <w:t xml:space="preserve">Ninguno de los modelos fue sometido a una búsqueda exhaustiva de </w:t>
      </w:r>
      <w:proofErr w:type="spellStart"/>
      <w:r w:rsidRPr="00632392">
        <w:rPr>
          <w:b/>
          <w:bCs/>
          <w:color w:val="7030A0"/>
        </w:rPr>
        <w:t>hiperparámetros</w:t>
      </w:r>
      <w:proofErr w:type="spellEnd"/>
      <w:r w:rsidRPr="00632392">
        <w:rPr>
          <w:b/>
          <w:bCs/>
          <w:color w:val="7030A0"/>
        </w:rPr>
        <w:t>, dada la limitación de tamaño muestral y el carácter exploratorio del experimento.</w:t>
      </w:r>
    </w:p>
    <w:p w14:paraId="4CA2FACF" w14:textId="77777777" w:rsidR="007E4610" w:rsidRPr="00632392" w:rsidRDefault="007E4610" w:rsidP="007E4610">
      <w:pPr>
        <w:rPr>
          <w:b/>
          <w:bCs/>
          <w:color w:val="7030A0"/>
        </w:rPr>
      </w:pPr>
      <w:r w:rsidRPr="00632392">
        <w:rPr>
          <w:b/>
          <w:bCs/>
          <w:color w:val="7030A0"/>
        </w:rPr>
        <w:t>Resultados</w:t>
      </w:r>
    </w:p>
    <w:p w14:paraId="237CB922" w14:textId="77777777" w:rsidR="007E4610" w:rsidRPr="00632392" w:rsidRDefault="007E4610" w:rsidP="007E4610">
      <w:pPr>
        <w:rPr>
          <w:b/>
          <w:bCs/>
          <w:color w:val="7030A0"/>
        </w:rPr>
      </w:pPr>
      <w:r w:rsidRPr="00632392">
        <w:rPr>
          <w:b/>
          <w:bCs/>
          <w:color w:val="7030A0"/>
        </w:rPr>
        <w:t>La tabla siguiente recoge los valores de las cuatro métricas de evaluación para cada uno de los tres modelos evaluados sobre el conjunto de prueba: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675"/>
        <w:gridCol w:w="675"/>
        <w:gridCol w:w="958"/>
        <w:gridCol w:w="690"/>
      </w:tblGrid>
      <w:tr w:rsidR="007E4610" w:rsidRPr="00632392" w14:paraId="103C7F57" w14:textId="77777777">
        <w:trPr>
          <w:tblHeader/>
          <w:tblCellSpacing w:w="15" w:type="dxa"/>
        </w:trPr>
        <w:tc>
          <w:tcPr>
            <w:tcW w:w="0" w:type="auto"/>
            <w:vAlign w:val="center"/>
            <w:hideMark/>
          </w:tcPr>
          <w:p w14:paraId="02D71057" w14:textId="77777777" w:rsidR="007E4610" w:rsidRPr="00632392" w:rsidRDefault="007E4610" w:rsidP="007E4610">
            <w:pPr>
              <w:rPr>
                <w:b/>
                <w:bCs/>
                <w:color w:val="7030A0"/>
              </w:rPr>
            </w:pPr>
            <w:r w:rsidRPr="00632392">
              <w:rPr>
                <w:b/>
                <w:bCs/>
                <w:color w:val="7030A0"/>
              </w:rPr>
              <w:t>Modelo</w:t>
            </w:r>
          </w:p>
        </w:tc>
        <w:tc>
          <w:tcPr>
            <w:tcW w:w="0" w:type="auto"/>
            <w:vAlign w:val="center"/>
            <w:hideMark/>
          </w:tcPr>
          <w:p w14:paraId="0F9A9BEC" w14:textId="77777777" w:rsidR="007E4610" w:rsidRPr="00632392" w:rsidRDefault="007E4610" w:rsidP="007E4610">
            <w:pPr>
              <w:rPr>
                <w:b/>
                <w:bCs/>
                <w:color w:val="7030A0"/>
              </w:rPr>
            </w:pPr>
            <w:r w:rsidRPr="00632392">
              <w:rPr>
                <w:b/>
                <w:bCs/>
                <w:color w:val="7030A0"/>
              </w:rPr>
              <w:t>MAE</w:t>
            </w:r>
          </w:p>
        </w:tc>
        <w:tc>
          <w:tcPr>
            <w:tcW w:w="0" w:type="auto"/>
            <w:vAlign w:val="center"/>
            <w:hideMark/>
          </w:tcPr>
          <w:p w14:paraId="395C56B3" w14:textId="77777777" w:rsidR="007E4610" w:rsidRPr="00632392" w:rsidRDefault="007E4610" w:rsidP="007E4610">
            <w:pPr>
              <w:rPr>
                <w:b/>
                <w:bCs/>
                <w:color w:val="7030A0"/>
              </w:rPr>
            </w:pPr>
            <w:r w:rsidRPr="00632392">
              <w:rPr>
                <w:b/>
                <w:bCs/>
                <w:color w:val="7030A0"/>
              </w:rPr>
              <w:t>RMSE</w:t>
            </w:r>
          </w:p>
        </w:tc>
        <w:tc>
          <w:tcPr>
            <w:tcW w:w="0" w:type="auto"/>
            <w:vAlign w:val="center"/>
            <w:hideMark/>
          </w:tcPr>
          <w:p w14:paraId="2676D0B8" w14:textId="77777777" w:rsidR="007E4610" w:rsidRPr="00632392" w:rsidRDefault="007E4610" w:rsidP="007E4610">
            <w:pPr>
              <w:rPr>
                <w:b/>
                <w:bCs/>
                <w:color w:val="7030A0"/>
              </w:rPr>
            </w:pPr>
            <w:r w:rsidRPr="00632392">
              <w:rPr>
                <w:b/>
                <w:bCs/>
                <w:color w:val="7030A0"/>
              </w:rPr>
              <w:t>MAPE (%)</w:t>
            </w:r>
          </w:p>
        </w:tc>
        <w:tc>
          <w:tcPr>
            <w:tcW w:w="0" w:type="auto"/>
            <w:vAlign w:val="center"/>
            <w:hideMark/>
          </w:tcPr>
          <w:p w14:paraId="3731E575" w14:textId="77777777" w:rsidR="007E4610" w:rsidRPr="00632392" w:rsidRDefault="007E4610" w:rsidP="007E4610">
            <w:pPr>
              <w:rPr>
                <w:b/>
                <w:bCs/>
                <w:color w:val="7030A0"/>
              </w:rPr>
            </w:pPr>
            <w:r w:rsidRPr="00632392">
              <w:rPr>
                <w:b/>
                <w:bCs/>
                <w:color w:val="7030A0"/>
              </w:rPr>
              <w:t>R²</w:t>
            </w:r>
          </w:p>
        </w:tc>
      </w:tr>
      <w:tr w:rsidR="007E4610" w:rsidRPr="00632392" w14:paraId="3C678CE5" w14:textId="77777777">
        <w:trPr>
          <w:tblCellSpacing w:w="15" w:type="dxa"/>
        </w:trPr>
        <w:tc>
          <w:tcPr>
            <w:tcW w:w="0" w:type="auto"/>
            <w:vAlign w:val="center"/>
            <w:hideMark/>
          </w:tcPr>
          <w:p w14:paraId="7BEDEB2B" w14:textId="77777777" w:rsidR="007E4610" w:rsidRPr="00632392" w:rsidRDefault="007E4610" w:rsidP="007E4610">
            <w:pPr>
              <w:rPr>
                <w:b/>
                <w:bCs/>
                <w:color w:val="7030A0"/>
              </w:rPr>
            </w:pPr>
            <w:r w:rsidRPr="00632392">
              <w:rPr>
                <w:b/>
                <w:bCs/>
                <w:color w:val="7030A0"/>
              </w:rPr>
              <w:t>Regresión lineal base</w:t>
            </w:r>
          </w:p>
        </w:tc>
        <w:tc>
          <w:tcPr>
            <w:tcW w:w="0" w:type="auto"/>
            <w:vAlign w:val="center"/>
            <w:hideMark/>
          </w:tcPr>
          <w:p w14:paraId="7163C428" w14:textId="77777777" w:rsidR="007E4610" w:rsidRPr="00632392" w:rsidRDefault="007E4610" w:rsidP="007E4610">
            <w:pPr>
              <w:rPr>
                <w:b/>
                <w:bCs/>
                <w:color w:val="7030A0"/>
              </w:rPr>
            </w:pPr>
            <w:r w:rsidRPr="00632392">
              <w:rPr>
                <w:b/>
                <w:bCs/>
                <w:color w:val="7030A0"/>
              </w:rPr>
              <w:t>5,1138</w:t>
            </w:r>
          </w:p>
        </w:tc>
        <w:tc>
          <w:tcPr>
            <w:tcW w:w="0" w:type="auto"/>
            <w:vAlign w:val="center"/>
            <w:hideMark/>
          </w:tcPr>
          <w:p w14:paraId="1B693655" w14:textId="77777777" w:rsidR="007E4610" w:rsidRPr="00632392" w:rsidRDefault="007E4610" w:rsidP="007E4610">
            <w:pPr>
              <w:rPr>
                <w:b/>
                <w:bCs/>
                <w:color w:val="7030A0"/>
              </w:rPr>
            </w:pPr>
            <w:r w:rsidRPr="00632392">
              <w:rPr>
                <w:b/>
                <w:bCs/>
                <w:color w:val="7030A0"/>
              </w:rPr>
              <w:t>7,8072</w:t>
            </w:r>
          </w:p>
        </w:tc>
        <w:tc>
          <w:tcPr>
            <w:tcW w:w="0" w:type="auto"/>
            <w:vAlign w:val="center"/>
            <w:hideMark/>
          </w:tcPr>
          <w:p w14:paraId="2E5621D6" w14:textId="77777777" w:rsidR="007E4610" w:rsidRPr="00632392" w:rsidRDefault="007E4610" w:rsidP="007E4610">
            <w:pPr>
              <w:rPr>
                <w:b/>
                <w:bCs/>
                <w:color w:val="7030A0"/>
              </w:rPr>
            </w:pPr>
            <w:r w:rsidRPr="00632392">
              <w:rPr>
                <w:b/>
                <w:bCs/>
                <w:color w:val="7030A0"/>
              </w:rPr>
              <w:t>7,07</w:t>
            </w:r>
          </w:p>
        </w:tc>
        <w:tc>
          <w:tcPr>
            <w:tcW w:w="0" w:type="auto"/>
            <w:vAlign w:val="center"/>
            <w:hideMark/>
          </w:tcPr>
          <w:p w14:paraId="395CE91B" w14:textId="77777777" w:rsidR="007E4610" w:rsidRPr="00632392" w:rsidRDefault="007E4610" w:rsidP="007E4610">
            <w:pPr>
              <w:rPr>
                <w:b/>
                <w:bCs/>
                <w:color w:val="7030A0"/>
              </w:rPr>
            </w:pPr>
            <w:r w:rsidRPr="00632392">
              <w:rPr>
                <w:b/>
                <w:bCs/>
                <w:color w:val="7030A0"/>
              </w:rPr>
              <w:t>0,4263</w:t>
            </w:r>
          </w:p>
        </w:tc>
      </w:tr>
      <w:tr w:rsidR="007E4610" w:rsidRPr="00632392" w14:paraId="728F474A" w14:textId="77777777">
        <w:trPr>
          <w:tblCellSpacing w:w="15" w:type="dxa"/>
        </w:trPr>
        <w:tc>
          <w:tcPr>
            <w:tcW w:w="0" w:type="auto"/>
            <w:vAlign w:val="center"/>
            <w:hideMark/>
          </w:tcPr>
          <w:p w14:paraId="6B951018" w14:textId="77777777" w:rsidR="007E4610" w:rsidRPr="00632392" w:rsidRDefault="007E4610" w:rsidP="007E4610">
            <w:pPr>
              <w:rPr>
                <w:b/>
                <w:bCs/>
                <w:color w:val="7030A0"/>
              </w:rPr>
            </w:pPr>
            <w:r w:rsidRPr="00632392">
              <w:rPr>
                <w:b/>
                <w:bCs/>
                <w:color w:val="7030A0"/>
              </w:rPr>
              <w:t>Random Forest con sentimiento</w:t>
            </w:r>
          </w:p>
        </w:tc>
        <w:tc>
          <w:tcPr>
            <w:tcW w:w="0" w:type="auto"/>
            <w:vAlign w:val="center"/>
            <w:hideMark/>
          </w:tcPr>
          <w:p w14:paraId="50975FEE" w14:textId="77777777" w:rsidR="007E4610" w:rsidRPr="00632392" w:rsidRDefault="007E4610" w:rsidP="007E4610">
            <w:pPr>
              <w:rPr>
                <w:b/>
                <w:bCs/>
                <w:color w:val="7030A0"/>
              </w:rPr>
            </w:pPr>
            <w:r w:rsidRPr="00632392">
              <w:rPr>
                <w:b/>
                <w:bCs/>
                <w:color w:val="7030A0"/>
              </w:rPr>
              <w:t>5,2563</w:t>
            </w:r>
          </w:p>
        </w:tc>
        <w:tc>
          <w:tcPr>
            <w:tcW w:w="0" w:type="auto"/>
            <w:vAlign w:val="center"/>
            <w:hideMark/>
          </w:tcPr>
          <w:p w14:paraId="5A480700" w14:textId="77777777" w:rsidR="007E4610" w:rsidRPr="00632392" w:rsidRDefault="007E4610" w:rsidP="007E4610">
            <w:pPr>
              <w:rPr>
                <w:b/>
                <w:bCs/>
                <w:color w:val="7030A0"/>
              </w:rPr>
            </w:pPr>
            <w:r w:rsidRPr="00632392">
              <w:rPr>
                <w:b/>
                <w:bCs/>
                <w:color w:val="7030A0"/>
              </w:rPr>
              <w:t>8,1671</w:t>
            </w:r>
          </w:p>
        </w:tc>
        <w:tc>
          <w:tcPr>
            <w:tcW w:w="0" w:type="auto"/>
            <w:vAlign w:val="center"/>
            <w:hideMark/>
          </w:tcPr>
          <w:p w14:paraId="1841672A" w14:textId="77777777" w:rsidR="007E4610" w:rsidRPr="00632392" w:rsidRDefault="007E4610" w:rsidP="007E4610">
            <w:pPr>
              <w:rPr>
                <w:b/>
                <w:bCs/>
                <w:color w:val="7030A0"/>
              </w:rPr>
            </w:pPr>
            <w:r w:rsidRPr="00632392">
              <w:rPr>
                <w:b/>
                <w:bCs/>
                <w:color w:val="7030A0"/>
              </w:rPr>
              <w:t>7,35</w:t>
            </w:r>
          </w:p>
        </w:tc>
        <w:tc>
          <w:tcPr>
            <w:tcW w:w="0" w:type="auto"/>
            <w:vAlign w:val="center"/>
            <w:hideMark/>
          </w:tcPr>
          <w:p w14:paraId="201F79C5" w14:textId="77777777" w:rsidR="007E4610" w:rsidRPr="00632392" w:rsidRDefault="007E4610" w:rsidP="007E4610">
            <w:pPr>
              <w:rPr>
                <w:b/>
                <w:bCs/>
                <w:color w:val="7030A0"/>
              </w:rPr>
            </w:pPr>
            <w:r w:rsidRPr="00632392">
              <w:rPr>
                <w:b/>
                <w:bCs/>
                <w:color w:val="7030A0"/>
              </w:rPr>
              <w:t>0,3722</w:t>
            </w:r>
          </w:p>
        </w:tc>
      </w:tr>
      <w:tr w:rsidR="007E4610" w:rsidRPr="00632392" w14:paraId="712C92F1" w14:textId="77777777">
        <w:trPr>
          <w:tblCellSpacing w:w="15" w:type="dxa"/>
        </w:trPr>
        <w:tc>
          <w:tcPr>
            <w:tcW w:w="0" w:type="auto"/>
            <w:vAlign w:val="center"/>
            <w:hideMark/>
          </w:tcPr>
          <w:p w14:paraId="7DAEE215" w14:textId="77777777" w:rsidR="007E4610" w:rsidRPr="00632392" w:rsidRDefault="007E4610" w:rsidP="007E4610">
            <w:pPr>
              <w:rPr>
                <w:b/>
                <w:bCs/>
                <w:color w:val="7030A0"/>
              </w:rPr>
            </w:pPr>
            <w:proofErr w:type="spellStart"/>
            <w:r w:rsidRPr="00632392">
              <w:rPr>
                <w:b/>
                <w:bCs/>
                <w:color w:val="7030A0"/>
              </w:rPr>
              <w:t>Gradient</w:t>
            </w:r>
            <w:proofErr w:type="spellEnd"/>
            <w:r w:rsidRPr="00632392">
              <w:rPr>
                <w:b/>
                <w:bCs/>
                <w:color w:val="7030A0"/>
              </w:rPr>
              <w:t xml:space="preserve"> </w:t>
            </w:r>
            <w:proofErr w:type="spellStart"/>
            <w:r w:rsidRPr="00632392">
              <w:rPr>
                <w:b/>
                <w:bCs/>
                <w:color w:val="7030A0"/>
              </w:rPr>
              <w:t>Boosting</w:t>
            </w:r>
            <w:proofErr w:type="spellEnd"/>
            <w:r w:rsidRPr="00632392">
              <w:rPr>
                <w:b/>
                <w:bCs/>
                <w:color w:val="7030A0"/>
              </w:rPr>
              <w:t xml:space="preserve"> con sentimiento</w:t>
            </w:r>
          </w:p>
        </w:tc>
        <w:tc>
          <w:tcPr>
            <w:tcW w:w="0" w:type="auto"/>
            <w:vAlign w:val="center"/>
            <w:hideMark/>
          </w:tcPr>
          <w:p w14:paraId="392437BD" w14:textId="77777777" w:rsidR="007E4610" w:rsidRPr="00632392" w:rsidRDefault="007E4610" w:rsidP="007E4610">
            <w:pPr>
              <w:rPr>
                <w:b/>
                <w:bCs/>
                <w:color w:val="7030A0"/>
              </w:rPr>
            </w:pPr>
            <w:r w:rsidRPr="00632392">
              <w:rPr>
                <w:b/>
                <w:bCs/>
                <w:color w:val="7030A0"/>
              </w:rPr>
              <w:t>6,3572</w:t>
            </w:r>
          </w:p>
        </w:tc>
        <w:tc>
          <w:tcPr>
            <w:tcW w:w="0" w:type="auto"/>
            <w:vAlign w:val="center"/>
            <w:hideMark/>
          </w:tcPr>
          <w:p w14:paraId="3D7B2E18" w14:textId="77777777" w:rsidR="007E4610" w:rsidRPr="00632392" w:rsidRDefault="007E4610" w:rsidP="007E4610">
            <w:pPr>
              <w:rPr>
                <w:b/>
                <w:bCs/>
                <w:color w:val="7030A0"/>
              </w:rPr>
            </w:pPr>
            <w:r w:rsidRPr="00632392">
              <w:rPr>
                <w:b/>
                <w:bCs/>
                <w:color w:val="7030A0"/>
              </w:rPr>
              <w:t>8,9997</w:t>
            </w:r>
          </w:p>
        </w:tc>
        <w:tc>
          <w:tcPr>
            <w:tcW w:w="0" w:type="auto"/>
            <w:vAlign w:val="center"/>
            <w:hideMark/>
          </w:tcPr>
          <w:p w14:paraId="39A41FCB" w14:textId="77777777" w:rsidR="007E4610" w:rsidRPr="00632392" w:rsidRDefault="007E4610" w:rsidP="007E4610">
            <w:pPr>
              <w:rPr>
                <w:b/>
                <w:bCs/>
                <w:color w:val="7030A0"/>
              </w:rPr>
            </w:pPr>
            <w:r w:rsidRPr="00632392">
              <w:rPr>
                <w:b/>
                <w:bCs/>
                <w:color w:val="7030A0"/>
              </w:rPr>
              <w:t>8,85</w:t>
            </w:r>
          </w:p>
        </w:tc>
        <w:tc>
          <w:tcPr>
            <w:tcW w:w="0" w:type="auto"/>
            <w:vAlign w:val="center"/>
            <w:hideMark/>
          </w:tcPr>
          <w:p w14:paraId="686476C0" w14:textId="77777777" w:rsidR="007E4610" w:rsidRPr="00632392" w:rsidRDefault="007E4610" w:rsidP="007E4610">
            <w:pPr>
              <w:rPr>
                <w:b/>
                <w:bCs/>
                <w:color w:val="7030A0"/>
              </w:rPr>
            </w:pPr>
            <w:r w:rsidRPr="00632392">
              <w:rPr>
                <w:b/>
                <w:bCs/>
                <w:color w:val="7030A0"/>
              </w:rPr>
              <w:t>0,2377</w:t>
            </w:r>
          </w:p>
        </w:tc>
      </w:tr>
    </w:tbl>
    <w:p w14:paraId="560E16AB" w14:textId="77777777" w:rsidR="007E4610" w:rsidRPr="00632392" w:rsidRDefault="007E4610" w:rsidP="007E4610">
      <w:pPr>
        <w:rPr>
          <w:b/>
          <w:bCs/>
          <w:color w:val="7030A0"/>
        </w:rPr>
      </w:pPr>
      <w:r w:rsidRPr="00632392">
        <w:rPr>
          <w:b/>
          <w:bCs/>
          <w:color w:val="7030A0"/>
        </w:rPr>
        <w:t xml:space="preserve">El modelo base de regresión lineal obtiene el mejor rendimiento en todas las métricas evaluadas. El Random Forest, pese a incorporar un conjunto más amplio de variables, eleva el error medio en aproximadamente 0,14 puntos y reduce el R² en más de cinco centésimas respecto al modelo base. El </w:t>
      </w:r>
      <w:proofErr w:type="spellStart"/>
      <w:r w:rsidRPr="00632392">
        <w:rPr>
          <w:b/>
          <w:bCs/>
          <w:color w:val="7030A0"/>
        </w:rPr>
        <w:t>Gradient</w:t>
      </w:r>
      <w:proofErr w:type="spellEnd"/>
      <w:r w:rsidRPr="00632392">
        <w:rPr>
          <w:b/>
          <w:bCs/>
          <w:color w:val="7030A0"/>
        </w:rPr>
        <w:t xml:space="preserve"> </w:t>
      </w:r>
      <w:proofErr w:type="spellStart"/>
      <w:r w:rsidRPr="00632392">
        <w:rPr>
          <w:b/>
          <w:bCs/>
          <w:color w:val="7030A0"/>
        </w:rPr>
        <w:t>Boosting</w:t>
      </w:r>
      <w:proofErr w:type="spellEnd"/>
      <w:r w:rsidRPr="00632392">
        <w:rPr>
          <w:b/>
          <w:bCs/>
          <w:color w:val="7030A0"/>
        </w:rPr>
        <w:t xml:space="preserve"> presenta el peor desempeño de los tres, con un MAE de 6,36 y un R² de 0,24.</w:t>
      </w:r>
    </w:p>
    <w:p w14:paraId="75888658" w14:textId="77777777" w:rsidR="007E4610" w:rsidRPr="00632392" w:rsidRDefault="007E4610" w:rsidP="007E4610">
      <w:pPr>
        <w:rPr>
          <w:b/>
          <w:bCs/>
          <w:color w:val="7030A0"/>
        </w:rPr>
      </w:pPr>
      <w:r w:rsidRPr="00632392">
        <w:rPr>
          <w:b/>
          <w:bCs/>
          <w:color w:val="7030A0"/>
        </w:rPr>
        <w:t>Importancia de variables en el modelo Random Forest</w:t>
      </w:r>
    </w:p>
    <w:p w14:paraId="1196D136" w14:textId="77777777" w:rsidR="007E4610" w:rsidRPr="00632392" w:rsidRDefault="007E4610" w:rsidP="007E4610">
      <w:pPr>
        <w:rPr>
          <w:b/>
          <w:bCs/>
          <w:color w:val="7030A0"/>
        </w:rPr>
      </w:pPr>
      <w:r w:rsidRPr="00632392">
        <w:rPr>
          <w:b/>
          <w:bCs/>
          <w:color w:val="7030A0"/>
        </w:rPr>
        <w:t>El análisis de importancia de variables del modelo Random Forest —medida como la reducción media de impureza aportada por cada predictor— revela que el poder predictivo se concentra de forma casi absoluta en las variables autorregresivas del ICC: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1918"/>
      </w:tblGrid>
      <w:tr w:rsidR="007E4610" w:rsidRPr="00632392" w14:paraId="5BF09329" w14:textId="77777777">
        <w:trPr>
          <w:tblHeader/>
          <w:tblCellSpacing w:w="15" w:type="dxa"/>
        </w:trPr>
        <w:tc>
          <w:tcPr>
            <w:tcW w:w="0" w:type="auto"/>
            <w:vAlign w:val="center"/>
            <w:hideMark/>
          </w:tcPr>
          <w:p w14:paraId="61E4C62D" w14:textId="77777777" w:rsidR="007E4610" w:rsidRPr="00632392" w:rsidRDefault="007E4610" w:rsidP="007E4610">
            <w:pPr>
              <w:rPr>
                <w:b/>
                <w:bCs/>
                <w:color w:val="7030A0"/>
              </w:rPr>
            </w:pPr>
            <w:r w:rsidRPr="00632392">
              <w:rPr>
                <w:b/>
                <w:bCs/>
                <w:color w:val="7030A0"/>
              </w:rPr>
              <w:t>Variable</w:t>
            </w:r>
          </w:p>
        </w:tc>
        <w:tc>
          <w:tcPr>
            <w:tcW w:w="0" w:type="auto"/>
            <w:vAlign w:val="center"/>
            <w:hideMark/>
          </w:tcPr>
          <w:p w14:paraId="2093AA14" w14:textId="77777777" w:rsidR="007E4610" w:rsidRPr="00632392" w:rsidRDefault="007E4610" w:rsidP="007E4610">
            <w:pPr>
              <w:rPr>
                <w:b/>
                <w:bCs/>
                <w:color w:val="7030A0"/>
              </w:rPr>
            </w:pPr>
            <w:r w:rsidRPr="00632392">
              <w:rPr>
                <w:b/>
                <w:bCs/>
                <w:color w:val="7030A0"/>
              </w:rPr>
              <w:t>Importancia relativa</w:t>
            </w:r>
          </w:p>
        </w:tc>
      </w:tr>
      <w:tr w:rsidR="007E4610" w:rsidRPr="00632392" w14:paraId="58B525A2" w14:textId="77777777">
        <w:trPr>
          <w:tblCellSpacing w:w="15" w:type="dxa"/>
        </w:trPr>
        <w:tc>
          <w:tcPr>
            <w:tcW w:w="0" w:type="auto"/>
            <w:vAlign w:val="center"/>
            <w:hideMark/>
          </w:tcPr>
          <w:p w14:paraId="374A7A31" w14:textId="77777777" w:rsidR="007E4610" w:rsidRPr="00632392" w:rsidRDefault="007E4610" w:rsidP="007E4610">
            <w:pPr>
              <w:rPr>
                <w:b/>
                <w:bCs/>
                <w:color w:val="7030A0"/>
              </w:rPr>
            </w:pPr>
            <w:r w:rsidRPr="00632392">
              <w:rPr>
                <w:b/>
                <w:bCs/>
                <w:color w:val="7030A0"/>
              </w:rPr>
              <w:t>ICC</w:t>
            </w:r>
          </w:p>
        </w:tc>
        <w:tc>
          <w:tcPr>
            <w:tcW w:w="0" w:type="auto"/>
            <w:vAlign w:val="center"/>
            <w:hideMark/>
          </w:tcPr>
          <w:p w14:paraId="3F3E6BAA" w14:textId="77777777" w:rsidR="007E4610" w:rsidRPr="00632392" w:rsidRDefault="007E4610" w:rsidP="007E4610">
            <w:pPr>
              <w:rPr>
                <w:b/>
                <w:bCs/>
                <w:color w:val="7030A0"/>
              </w:rPr>
            </w:pPr>
            <w:r w:rsidRPr="00632392">
              <w:rPr>
                <w:b/>
                <w:bCs/>
                <w:color w:val="7030A0"/>
              </w:rPr>
              <w:t>0,9420</w:t>
            </w:r>
          </w:p>
        </w:tc>
      </w:tr>
      <w:tr w:rsidR="007E4610" w:rsidRPr="00632392" w14:paraId="46C78D82" w14:textId="77777777">
        <w:trPr>
          <w:tblCellSpacing w:w="15" w:type="dxa"/>
        </w:trPr>
        <w:tc>
          <w:tcPr>
            <w:tcW w:w="0" w:type="auto"/>
            <w:vAlign w:val="center"/>
            <w:hideMark/>
          </w:tcPr>
          <w:p w14:paraId="38719FA1" w14:textId="77777777" w:rsidR="007E4610" w:rsidRPr="00632392" w:rsidRDefault="007E4610" w:rsidP="007E4610">
            <w:pPr>
              <w:rPr>
                <w:b/>
                <w:bCs/>
                <w:color w:val="7030A0"/>
              </w:rPr>
            </w:pPr>
            <w:r w:rsidRPr="00632392">
              <w:rPr>
                <w:b/>
                <w:bCs/>
                <w:color w:val="7030A0"/>
              </w:rPr>
              <w:t>ICC_lag_1</w:t>
            </w:r>
          </w:p>
        </w:tc>
        <w:tc>
          <w:tcPr>
            <w:tcW w:w="0" w:type="auto"/>
            <w:vAlign w:val="center"/>
            <w:hideMark/>
          </w:tcPr>
          <w:p w14:paraId="7A05ACEA" w14:textId="77777777" w:rsidR="007E4610" w:rsidRPr="00632392" w:rsidRDefault="007E4610" w:rsidP="007E4610">
            <w:pPr>
              <w:rPr>
                <w:b/>
                <w:bCs/>
                <w:color w:val="7030A0"/>
              </w:rPr>
            </w:pPr>
            <w:r w:rsidRPr="00632392">
              <w:rPr>
                <w:b/>
                <w:bCs/>
                <w:color w:val="7030A0"/>
              </w:rPr>
              <w:t>0,0166</w:t>
            </w:r>
          </w:p>
        </w:tc>
      </w:tr>
      <w:tr w:rsidR="007E4610" w:rsidRPr="00632392" w14:paraId="055ED883" w14:textId="77777777">
        <w:trPr>
          <w:tblCellSpacing w:w="15" w:type="dxa"/>
        </w:trPr>
        <w:tc>
          <w:tcPr>
            <w:tcW w:w="0" w:type="auto"/>
            <w:vAlign w:val="center"/>
            <w:hideMark/>
          </w:tcPr>
          <w:p w14:paraId="708CA1D8" w14:textId="77777777" w:rsidR="007E4610" w:rsidRPr="00632392" w:rsidRDefault="007E4610" w:rsidP="007E4610">
            <w:pPr>
              <w:rPr>
                <w:b/>
                <w:bCs/>
                <w:color w:val="7030A0"/>
              </w:rPr>
            </w:pPr>
            <w:r w:rsidRPr="00632392">
              <w:rPr>
                <w:b/>
                <w:bCs/>
                <w:color w:val="7030A0"/>
              </w:rPr>
              <w:t>ICC_lag_2</w:t>
            </w:r>
          </w:p>
        </w:tc>
        <w:tc>
          <w:tcPr>
            <w:tcW w:w="0" w:type="auto"/>
            <w:vAlign w:val="center"/>
            <w:hideMark/>
          </w:tcPr>
          <w:p w14:paraId="5E29D1B4" w14:textId="77777777" w:rsidR="007E4610" w:rsidRPr="00632392" w:rsidRDefault="007E4610" w:rsidP="007E4610">
            <w:pPr>
              <w:rPr>
                <w:b/>
                <w:bCs/>
                <w:color w:val="7030A0"/>
              </w:rPr>
            </w:pPr>
            <w:r w:rsidRPr="00632392">
              <w:rPr>
                <w:b/>
                <w:bCs/>
                <w:color w:val="7030A0"/>
              </w:rPr>
              <w:t>0,0152</w:t>
            </w:r>
          </w:p>
        </w:tc>
      </w:tr>
      <w:tr w:rsidR="007E4610" w:rsidRPr="00632392" w14:paraId="586B9673" w14:textId="77777777">
        <w:trPr>
          <w:tblCellSpacing w:w="15" w:type="dxa"/>
        </w:trPr>
        <w:tc>
          <w:tcPr>
            <w:tcW w:w="0" w:type="auto"/>
            <w:vAlign w:val="center"/>
            <w:hideMark/>
          </w:tcPr>
          <w:p w14:paraId="22A4BF35" w14:textId="77777777" w:rsidR="007E4610" w:rsidRPr="00632392" w:rsidRDefault="007E4610" w:rsidP="007E4610">
            <w:pPr>
              <w:rPr>
                <w:b/>
                <w:bCs/>
                <w:color w:val="7030A0"/>
              </w:rPr>
            </w:pPr>
            <w:r w:rsidRPr="00632392">
              <w:rPr>
                <w:b/>
                <w:bCs/>
                <w:color w:val="7030A0"/>
              </w:rPr>
              <w:t>ICC_lag_3</w:t>
            </w:r>
          </w:p>
        </w:tc>
        <w:tc>
          <w:tcPr>
            <w:tcW w:w="0" w:type="auto"/>
            <w:vAlign w:val="center"/>
            <w:hideMark/>
          </w:tcPr>
          <w:p w14:paraId="25480EC6" w14:textId="77777777" w:rsidR="007E4610" w:rsidRPr="00632392" w:rsidRDefault="007E4610" w:rsidP="007E4610">
            <w:pPr>
              <w:rPr>
                <w:b/>
                <w:bCs/>
                <w:color w:val="7030A0"/>
              </w:rPr>
            </w:pPr>
            <w:r w:rsidRPr="00632392">
              <w:rPr>
                <w:b/>
                <w:bCs/>
                <w:color w:val="7030A0"/>
              </w:rPr>
              <w:t>0,0104</w:t>
            </w:r>
          </w:p>
        </w:tc>
      </w:tr>
      <w:tr w:rsidR="007E4610" w:rsidRPr="00632392" w14:paraId="572DF00D" w14:textId="77777777">
        <w:trPr>
          <w:tblCellSpacing w:w="15" w:type="dxa"/>
        </w:trPr>
        <w:tc>
          <w:tcPr>
            <w:tcW w:w="0" w:type="auto"/>
            <w:vAlign w:val="center"/>
            <w:hideMark/>
          </w:tcPr>
          <w:p w14:paraId="32778F6C" w14:textId="77777777" w:rsidR="007E4610" w:rsidRPr="00632392" w:rsidRDefault="007E4610" w:rsidP="007E4610">
            <w:pPr>
              <w:rPr>
                <w:b/>
                <w:bCs/>
                <w:color w:val="7030A0"/>
              </w:rPr>
            </w:pPr>
            <w:proofErr w:type="spellStart"/>
            <w:r w:rsidRPr="00632392">
              <w:rPr>
                <w:b/>
                <w:bCs/>
                <w:color w:val="7030A0"/>
              </w:rPr>
              <w:t>volumen_publicaciones</w:t>
            </w:r>
            <w:proofErr w:type="spellEnd"/>
          </w:p>
        </w:tc>
        <w:tc>
          <w:tcPr>
            <w:tcW w:w="0" w:type="auto"/>
            <w:vAlign w:val="center"/>
            <w:hideMark/>
          </w:tcPr>
          <w:p w14:paraId="2FC5ED50" w14:textId="77777777" w:rsidR="007E4610" w:rsidRPr="00632392" w:rsidRDefault="007E4610" w:rsidP="007E4610">
            <w:pPr>
              <w:rPr>
                <w:b/>
                <w:bCs/>
                <w:color w:val="7030A0"/>
              </w:rPr>
            </w:pPr>
            <w:r w:rsidRPr="00632392">
              <w:rPr>
                <w:b/>
                <w:bCs/>
                <w:color w:val="7030A0"/>
              </w:rPr>
              <w:t>0,0053</w:t>
            </w:r>
          </w:p>
        </w:tc>
      </w:tr>
      <w:tr w:rsidR="007E4610" w:rsidRPr="00632392" w14:paraId="037D0385" w14:textId="77777777">
        <w:trPr>
          <w:tblCellSpacing w:w="15" w:type="dxa"/>
        </w:trPr>
        <w:tc>
          <w:tcPr>
            <w:tcW w:w="0" w:type="auto"/>
            <w:vAlign w:val="center"/>
            <w:hideMark/>
          </w:tcPr>
          <w:p w14:paraId="185F0255" w14:textId="77777777" w:rsidR="007E4610" w:rsidRPr="00632392" w:rsidRDefault="007E4610" w:rsidP="007E4610">
            <w:pPr>
              <w:rPr>
                <w:b/>
                <w:bCs/>
                <w:color w:val="7030A0"/>
              </w:rPr>
            </w:pPr>
            <w:proofErr w:type="spellStart"/>
            <w:r w:rsidRPr="00632392">
              <w:rPr>
                <w:b/>
                <w:bCs/>
                <w:color w:val="7030A0"/>
              </w:rPr>
              <w:lastRenderedPageBreak/>
              <w:t>polaridad_media</w:t>
            </w:r>
            <w:proofErr w:type="spellEnd"/>
          </w:p>
        </w:tc>
        <w:tc>
          <w:tcPr>
            <w:tcW w:w="0" w:type="auto"/>
            <w:vAlign w:val="center"/>
            <w:hideMark/>
          </w:tcPr>
          <w:p w14:paraId="0FE94808" w14:textId="77777777" w:rsidR="007E4610" w:rsidRPr="00632392" w:rsidRDefault="007E4610" w:rsidP="007E4610">
            <w:pPr>
              <w:rPr>
                <w:b/>
                <w:bCs/>
                <w:color w:val="7030A0"/>
              </w:rPr>
            </w:pPr>
            <w:r w:rsidRPr="00632392">
              <w:rPr>
                <w:b/>
                <w:bCs/>
                <w:color w:val="7030A0"/>
              </w:rPr>
              <w:t>0,0040</w:t>
            </w:r>
          </w:p>
        </w:tc>
      </w:tr>
      <w:tr w:rsidR="007E4610" w:rsidRPr="00632392" w14:paraId="2F67A61D" w14:textId="77777777">
        <w:trPr>
          <w:tblCellSpacing w:w="15" w:type="dxa"/>
        </w:trPr>
        <w:tc>
          <w:tcPr>
            <w:tcW w:w="0" w:type="auto"/>
            <w:vAlign w:val="center"/>
            <w:hideMark/>
          </w:tcPr>
          <w:p w14:paraId="6DFCCA06" w14:textId="77777777" w:rsidR="007E4610" w:rsidRPr="00632392" w:rsidRDefault="007E4610" w:rsidP="007E4610">
            <w:pPr>
              <w:rPr>
                <w:b/>
                <w:bCs/>
                <w:color w:val="7030A0"/>
              </w:rPr>
            </w:pPr>
            <w:proofErr w:type="spellStart"/>
            <w:r w:rsidRPr="00632392">
              <w:rPr>
                <w:b/>
                <w:bCs/>
                <w:color w:val="7030A0"/>
              </w:rPr>
              <w:t>proporcion_neutras</w:t>
            </w:r>
            <w:proofErr w:type="spellEnd"/>
          </w:p>
        </w:tc>
        <w:tc>
          <w:tcPr>
            <w:tcW w:w="0" w:type="auto"/>
            <w:vAlign w:val="center"/>
            <w:hideMark/>
          </w:tcPr>
          <w:p w14:paraId="15DF37AD" w14:textId="77777777" w:rsidR="007E4610" w:rsidRPr="00632392" w:rsidRDefault="007E4610" w:rsidP="007E4610">
            <w:pPr>
              <w:rPr>
                <w:b/>
                <w:bCs/>
                <w:color w:val="7030A0"/>
              </w:rPr>
            </w:pPr>
            <w:r w:rsidRPr="00632392">
              <w:rPr>
                <w:b/>
                <w:bCs/>
                <w:color w:val="7030A0"/>
              </w:rPr>
              <w:t>0,0027</w:t>
            </w:r>
          </w:p>
        </w:tc>
      </w:tr>
      <w:tr w:rsidR="007E4610" w:rsidRPr="00632392" w14:paraId="78E2396B" w14:textId="77777777">
        <w:trPr>
          <w:tblCellSpacing w:w="15" w:type="dxa"/>
        </w:trPr>
        <w:tc>
          <w:tcPr>
            <w:tcW w:w="0" w:type="auto"/>
            <w:vAlign w:val="center"/>
            <w:hideMark/>
          </w:tcPr>
          <w:p w14:paraId="365C7E34" w14:textId="77777777" w:rsidR="007E4610" w:rsidRPr="00632392" w:rsidRDefault="007E4610" w:rsidP="007E4610">
            <w:pPr>
              <w:rPr>
                <w:b/>
                <w:bCs/>
                <w:color w:val="7030A0"/>
              </w:rPr>
            </w:pPr>
            <w:proofErr w:type="spellStart"/>
            <w:r w:rsidRPr="00632392">
              <w:rPr>
                <w:b/>
                <w:bCs/>
                <w:color w:val="7030A0"/>
              </w:rPr>
              <w:t>proporcion_positivas</w:t>
            </w:r>
            <w:proofErr w:type="spellEnd"/>
          </w:p>
        </w:tc>
        <w:tc>
          <w:tcPr>
            <w:tcW w:w="0" w:type="auto"/>
            <w:vAlign w:val="center"/>
            <w:hideMark/>
          </w:tcPr>
          <w:p w14:paraId="1562584D" w14:textId="77777777" w:rsidR="007E4610" w:rsidRPr="00632392" w:rsidRDefault="007E4610" w:rsidP="007E4610">
            <w:pPr>
              <w:rPr>
                <w:b/>
                <w:bCs/>
                <w:color w:val="7030A0"/>
              </w:rPr>
            </w:pPr>
            <w:r w:rsidRPr="00632392">
              <w:rPr>
                <w:b/>
                <w:bCs/>
                <w:color w:val="7030A0"/>
              </w:rPr>
              <w:t>0,0020</w:t>
            </w:r>
          </w:p>
        </w:tc>
      </w:tr>
      <w:tr w:rsidR="007E4610" w:rsidRPr="00632392" w14:paraId="0CF29978" w14:textId="77777777">
        <w:trPr>
          <w:tblCellSpacing w:w="15" w:type="dxa"/>
        </w:trPr>
        <w:tc>
          <w:tcPr>
            <w:tcW w:w="0" w:type="auto"/>
            <w:vAlign w:val="center"/>
            <w:hideMark/>
          </w:tcPr>
          <w:p w14:paraId="19C1A799" w14:textId="77777777" w:rsidR="007E4610" w:rsidRPr="00632392" w:rsidRDefault="007E4610" w:rsidP="007E4610">
            <w:pPr>
              <w:rPr>
                <w:b/>
                <w:bCs/>
                <w:color w:val="7030A0"/>
              </w:rPr>
            </w:pPr>
            <w:proofErr w:type="spellStart"/>
            <w:r w:rsidRPr="00632392">
              <w:rPr>
                <w:b/>
                <w:bCs/>
                <w:color w:val="7030A0"/>
              </w:rPr>
              <w:t>proporcion_negativas</w:t>
            </w:r>
            <w:proofErr w:type="spellEnd"/>
          </w:p>
        </w:tc>
        <w:tc>
          <w:tcPr>
            <w:tcW w:w="0" w:type="auto"/>
            <w:vAlign w:val="center"/>
            <w:hideMark/>
          </w:tcPr>
          <w:p w14:paraId="35475773" w14:textId="77777777" w:rsidR="007E4610" w:rsidRPr="00632392" w:rsidRDefault="007E4610" w:rsidP="007E4610">
            <w:pPr>
              <w:rPr>
                <w:b/>
                <w:bCs/>
                <w:color w:val="7030A0"/>
              </w:rPr>
            </w:pPr>
            <w:r w:rsidRPr="00632392">
              <w:rPr>
                <w:b/>
                <w:bCs/>
                <w:color w:val="7030A0"/>
              </w:rPr>
              <w:t>0,0018</w:t>
            </w:r>
          </w:p>
        </w:tc>
      </w:tr>
      <w:tr w:rsidR="007E4610" w:rsidRPr="00632392" w14:paraId="30035008" w14:textId="77777777">
        <w:trPr>
          <w:tblCellSpacing w:w="15" w:type="dxa"/>
        </w:trPr>
        <w:tc>
          <w:tcPr>
            <w:tcW w:w="0" w:type="auto"/>
            <w:vAlign w:val="center"/>
            <w:hideMark/>
          </w:tcPr>
          <w:p w14:paraId="51F63708" w14:textId="77777777" w:rsidR="007E4610" w:rsidRPr="00632392" w:rsidRDefault="007E4610" w:rsidP="007E4610">
            <w:pPr>
              <w:rPr>
                <w:b/>
                <w:bCs/>
                <w:color w:val="7030A0"/>
              </w:rPr>
            </w:pPr>
            <w:proofErr w:type="spellStart"/>
            <w:r w:rsidRPr="00632392">
              <w:rPr>
                <w:b/>
                <w:bCs/>
                <w:color w:val="7030A0"/>
              </w:rPr>
              <w:t>polaridad_mediana</w:t>
            </w:r>
            <w:proofErr w:type="spellEnd"/>
          </w:p>
        </w:tc>
        <w:tc>
          <w:tcPr>
            <w:tcW w:w="0" w:type="auto"/>
            <w:vAlign w:val="center"/>
            <w:hideMark/>
          </w:tcPr>
          <w:p w14:paraId="6DAA0EB6" w14:textId="77777777" w:rsidR="007E4610" w:rsidRPr="00632392" w:rsidRDefault="007E4610" w:rsidP="007E4610">
            <w:pPr>
              <w:rPr>
                <w:b/>
                <w:bCs/>
                <w:color w:val="7030A0"/>
              </w:rPr>
            </w:pPr>
            <w:r w:rsidRPr="00632392">
              <w:rPr>
                <w:b/>
                <w:bCs/>
                <w:color w:val="7030A0"/>
              </w:rPr>
              <w:t>0,0000</w:t>
            </w:r>
          </w:p>
        </w:tc>
      </w:tr>
    </w:tbl>
    <w:p w14:paraId="0A221CC0" w14:textId="77777777" w:rsidR="007E4610" w:rsidRPr="00632392" w:rsidRDefault="007E4610" w:rsidP="007E4610">
      <w:pPr>
        <w:rPr>
          <w:b/>
          <w:bCs/>
          <w:color w:val="7030A0"/>
        </w:rPr>
      </w:pPr>
      <w:r w:rsidRPr="00632392">
        <w:rPr>
          <w:b/>
          <w:bCs/>
          <w:color w:val="7030A0"/>
        </w:rPr>
        <w:t>La variable ICC concentra el 94,2 % de la importancia total del modelo. Los tres retardos del ICC acumulan un 4,1 % adicional. Las seis variables de sentimiento, en su conjunto, apenas representan el 1,6 % de la importancia relativa total, siendo la polaridad mediana la única con importancia nula. Este resultado cuantifica de forma precisa la limitada contribución informativa del sentimiento institucional como predictor del ICC en el contexto de este experimento.</w:t>
      </w:r>
    </w:p>
    <w:p w14:paraId="59B59D0F" w14:textId="77777777" w:rsidR="007E4610" w:rsidRPr="00632392" w:rsidRDefault="00000000" w:rsidP="007E4610">
      <w:pPr>
        <w:rPr>
          <w:b/>
          <w:bCs/>
          <w:color w:val="7030A0"/>
        </w:rPr>
      </w:pPr>
      <w:r>
        <w:rPr>
          <w:b/>
          <w:bCs/>
          <w:color w:val="7030A0"/>
        </w:rPr>
        <w:pict w14:anchorId="6CEE1E07">
          <v:rect id="_x0000_i1048" style="width:0;height:1.5pt" o:hralign="center" o:hrstd="t" o:hr="t" fillcolor="#a0a0a0" stroked="f"/>
        </w:pict>
      </w:r>
    </w:p>
    <w:p w14:paraId="275721D7" w14:textId="77777777" w:rsidR="007E4610" w:rsidRPr="00632392" w:rsidRDefault="007E4610" w:rsidP="007E4610">
      <w:pPr>
        <w:rPr>
          <w:b/>
          <w:bCs/>
          <w:color w:val="7030A0"/>
        </w:rPr>
      </w:pPr>
      <w:r w:rsidRPr="00632392">
        <w:rPr>
          <w:b/>
          <w:bCs/>
          <w:color w:val="7030A0"/>
        </w:rPr>
        <w:t>3.3.6. Interpretación de resultados</w:t>
      </w:r>
    </w:p>
    <w:p w14:paraId="54BA0354" w14:textId="77777777" w:rsidR="007E4610" w:rsidRPr="00632392" w:rsidRDefault="007E4610" w:rsidP="007E4610">
      <w:pPr>
        <w:rPr>
          <w:b/>
          <w:bCs/>
          <w:color w:val="7030A0"/>
        </w:rPr>
      </w:pPr>
      <w:r w:rsidRPr="00632392">
        <w:rPr>
          <w:b/>
          <w:bCs/>
          <w:color w:val="7030A0"/>
        </w:rPr>
        <w:t>Los resultados obtenidos en los apartados anteriores ofrecen una imagen coherente y consistente que permite responder a las preguntas planteadas en este trabajo, aunque con importantes matizaciones.</w:t>
      </w:r>
    </w:p>
    <w:p w14:paraId="7F1E9FA1" w14:textId="77777777" w:rsidR="007E4610" w:rsidRPr="00632392" w:rsidRDefault="007E4610" w:rsidP="007E4610">
      <w:pPr>
        <w:rPr>
          <w:b/>
          <w:bCs/>
          <w:color w:val="7030A0"/>
        </w:rPr>
      </w:pPr>
      <w:r w:rsidRPr="00632392">
        <w:rPr>
          <w:b/>
          <w:bCs/>
          <w:color w:val="7030A0"/>
        </w:rPr>
        <w:t>Sobre la comparación entre ICC y sentimiento institucional</w:t>
      </w:r>
    </w:p>
    <w:p w14:paraId="54DED5D4" w14:textId="77777777" w:rsidR="007E4610" w:rsidRPr="00632392" w:rsidRDefault="007E4610" w:rsidP="007E4610">
      <w:pPr>
        <w:rPr>
          <w:b/>
          <w:bCs/>
          <w:color w:val="7030A0"/>
        </w:rPr>
      </w:pPr>
      <w:r w:rsidRPr="00632392">
        <w:rPr>
          <w:b/>
          <w:bCs/>
          <w:color w:val="7030A0"/>
        </w:rPr>
        <w:t>El análisis descriptivo y comparativo desarrollado a lo largo de la sección 3.3 muestra que las series de sentimiento mensual extraídas de las publicaciones institucionales y la serie del ICC no presentan, con los datos y herramientas utilizados, una relación temporal clara ni a nivel contemporáneo ni con los retardos explorados. La polaridad media del discurso institucional se mantiene próxima a cero en casi todo el periodo analizado, con una variabilidad muy reducida que contrasta con las oscilaciones del ICC, las cuales reflejan de forma más directa los episodios de perturbación macroeconómica vividos en España durante el periodo de análisis.</w:t>
      </w:r>
    </w:p>
    <w:p w14:paraId="03BE070D" w14:textId="77777777" w:rsidR="007E4610" w:rsidRPr="00632392" w:rsidRDefault="007E4610" w:rsidP="007E4610">
      <w:pPr>
        <w:rPr>
          <w:b/>
          <w:bCs/>
          <w:color w:val="7030A0"/>
        </w:rPr>
      </w:pPr>
      <w:r w:rsidRPr="00632392">
        <w:rPr>
          <w:b/>
          <w:bCs/>
          <w:color w:val="7030A0"/>
        </w:rPr>
        <w:t>Esta divergencia entre ambas series no resulta sorprendente si se considera la naturaleza del discurso institucional analizado. Las publicaciones del Ministerio de Economía y de las cuentas vinculadas tienen un carácter marcadamente informativo y técnico: comunican datos estadísticos, medidas de política económica, comparecencias parlamentarias y eventos institucionales. Este tipo de contenido no refleja directamente las expectativas o el estado de ánimo de los consumidores, y las herramientas de análisis de sentimiento de tipo léxico no están diseñadas para capturar los matices propios del lenguaje económico-institucional en español.</w:t>
      </w:r>
    </w:p>
    <w:p w14:paraId="2C2139D1" w14:textId="77777777" w:rsidR="007E4610" w:rsidRPr="00632392" w:rsidRDefault="007E4610" w:rsidP="007E4610">
      <w:pPr>
        <w:rPr>
          <w:b/>
          <w:bCs/>
          <w:color w:val="7030A0"/>
        </w:rPr>
      </w:pPr>
      <w:r w:rsidRPr="00632392">
        <w:rPr>
          <w:b/>
          <w:bCs/>
          <w:color w:val="7030A0"/>
        </w:rPr>
        <w:t>Sobre el experimento predictivo complementario</w:t>
      </w:r>
    </w:p>
    <w:p w14:paraId="11B3D454" w14:textId="77777777" w:rsidR="007E4610" w:rsidRPr="00632392" w:rsidRDefault="007E4610" w:rsidP="007E4610">
      <w:pPr>
        <w:rPr>
          <w:b/>
          <w:bCs/>
          <w:color w:val="7030A0"/>
        </w:rPr>
      </w:pPr>
      <w:r w:rsidRPr="00632392">
        <w:rPr>
          <w:b/>
          <w:bCs/>
          <w:color w:val="7030A0"/>
        </w:rPr>
        <w:t>Los resultados del experimento de regresión confirman que la incorporación de variables de sentimiento institucional no mejora la capacidad predictiva del modelo base autorregresivo en ninguna de las cuatro métricas evaluadas. El modelo de regresión lineal, que emplea exclusivamente retardos históricos del ICC, obtiene sistemáticamente mejores resultados que los dos modelos de ensamble que incorporan el sentimiento como predictor adicional.</w:t>
      </w:r>
    </w:p>
    <w:p w14:paraId="3AE56658" w14:textId="77777777" w:rsidR="007E4610" w:rsidRPr="00632392" w:rsidRDefault="007E4610" w:rsidP="007E4610">
      <w:pPr>
        <w:rPr>
          <w:b/>
          <w:bCs/>
          <w:color w:val="7030A0"/>
        </w:rPr>
      </w:pPr>
      <w:r w:rsidRPr="00632392">
        <w:rPr>
          <w:b/>
          <w:bCs/>
          <w:color w:val="7030A0"/>
        </w:rPr>
        <w:t xml:space="preserve">Este patrón —en el que los modelos más complejos y con más variables ofrecen un rendimiento inferior al modelo más simple— tiene varias explicaciones complementarias. En primer lugar, el </w:t>
      </w:r>
      <w:r w:rsidRPr="00632392">
        <w:rPr>
          <w:b/>
          <w:bCs/>
          <w:color w:val="7030A0"/>
        </w:rPr>
        <w:lastRenderedPageBreak/>
        <w:t>conjunto de entrenamiento, con 199 observaciones, es insuficiente para aprovechar la capacidad de generalización de los modelos de ensamble, lo que favorece el sobreajuste sobre el conjunto de entrenamiento sin trasladarse al conjunto de prueba. En segundo lugar, la escasa variabilidad de las variables de sentimiento —con proporciones de publicaciones neutras superiores al ochenta y cinco por ciento en la mayoría de los meses— hace que estas variables aporten poco contenido discriminante como predictores. En tercer lugar, la cobertura temporal asimétrica entre ambas fuentes implica que aproximadamente la mitad del conjunto de entrenamiento no cuenta con información real de sentimiento, sino con valores de cero asignados por defecto, lo que puede distorsionar los coeficientes estimados.</w:t>
      </w:r>
    </w:p>
    <w:p w14:paraId="0D9410EB" w14:textId="77777777" w:rsidR="007E4610" w:rsidRPr="00632392" w:rsidRDefault="007E4610" w:rsidP="007E4610">
      <w:pPr>
        <w:rPr>
          <w:b/>
          <w:bCs/>
          <w:color w:val="7030A0"/>
        </w:rPr>
      </w:pPr>
      <w:r w:rsidRPr="00632392">
        <w:rPr>
          <w:b/>
          <w:bCs/>
          <w:color w:val="7030A0"/>
        </w:rPr>
        <w:t>Considerado en su conjunto, el experimento predictivo no aporta evidencia a favor de la hipótesis de que el sentimiento institucional es un predictor relevante del ICC en el mes siguiente. Sin embargo, este resultado no debe interpretarse como una conclusión definitiva sobre la utilidad del análisis de sentimiento en este contexto, sino como un primer resultado exploratorio sujeto a las limitaciones ya descritas.</w:t>
      </w:r>
    </w:p>
    <w:p w14:paraId="0459BDC6" w14:textId="77777777" w:rsidR="007E4610" w:rsidRPr="00632392" w:rsidRDefault="007E4610" w:rsidP="007E4610">
      <w:pPr>
        <w:rPr>
          <w:b/>
          <w:bCs/>
          <w:color w:val="7030A0"/>
        </w:rPr>
      </w:pPr>
      <w:r w:rsidRPr="00632392">
        <w:rPr>
          <w:b/>
          <w:bCs/>
          <w:color w:val="7030A0"/>
        </w:rPr>
        <w:t>Valoración general</w:t>
      </w:r>
    </w:p>
    <w:p w14:paraId="01D20377" w14:textId="77777777" w:rsidR="007E4610" w:rsidRPr="00632392" w:rsidRDefault="007E4610" w:rsidP="007E4610">
      <w:pPr>
        <w:rPr>
          <w:b/>
          <w:bCs/>
          <w:color w:val="7030A0"/>
        </w:rPr>
      </w:pPr>
      <w:r w:rsidRPr="00632392">
        <w:rPr>
          <w:b/>
          <w:bCs/>
          <w:color w:val="7030A0"/>
        </w:rPr>
        <w:t>El principal aporte del trabajo no reside en la construcción de un modelo predictivo superior, sino en haber desarrollado un proceso reproducible de integración entre una serie económica oficial y variables de sentimiento textual de origen institucional, y en haber caracterizado con rigor las condiciones bajo las cuales esa integración no produce mejoras en la capacidad predictiva. Este tipo de resultado negativo tiene valor informativo en sí mismo: permite delimitar el alcance de lo que puede afirmarse sobre la relación entre el discurso institucional y la confianza del consumidor, e identifica con claridad las condiciones que deberían modificarse en trabajos futuros para explotar de forma más efectiva el potencial del análisis de sentimiento como señal complementaria en el seguimiento de indicadores económicos de expectativas.</w:t>
      </w:r>
    </w:p>
    <w:p w14:paraId="70DB97FC" w14:textId="77777777" w:rsidR="007E4610" w:rsidRPr="00632392" w:rsidRDefault="00000000" w:rsidP="007E4610">
      <w:pPr>
        <w:rPr>
          <w:b/>
          <w:bCs/>
          <w:color w:val="7030A0"/>
        </w:rPr>
      </w:pPr>
      <w:r>
        <w:rPr>
          <w:b/>
          <w:bCs/>
          <w:color w:val="7030A0"/>
        </w:rPr>
        <w:pict w14:anchorId="0602D899">
          <v:rect id="_x0000_i1049" style="width:0;height:1.5pt" o:hralign="center" o:hrstd="t" o:hr="t" fillcolor="#a0a0a0" stroked="f"/>
        </w:pict>
      </w:r>
    </w:p>
    <w:p w14:paraId="3362A1C0" w14:textId="77777777" w:rsidR="007E4610" w:rsidRPr="00632392" w:rsidRDefault="007E4610" w:rsidP="007E4610">
      <w:pPr>
        <w:rPr>
          <w:b/>
          <w:bCs/>
          <w:color w:val="7030A0"/>
        </w:rPr>
      </w:pPr>
      <w:r w:rsidRPr="00632392">
        <w:rPr>
          <w:b/>
          <w:bCs/>
          <w:color w:val="7030A0"/>
        </w:rPr>
        <w:t>Cuando quieras seguimos con 2.1 Introducción y 2.2 Motivación reescritas con el nuevo enfoque.</w:t>
      </w:r>
    </w:p>
    <w:p w14:paraId="27241D36" w14:textId="77777777" w:rsidR="00632392" w:rsidRPr="00632392" w:rsidRDefault="00632392" w:rsidP="00632392">
      <w:pPr>
        <w:rPr>
          <w:color w:val="7030A0"/>
        </w:rPr>
      </w:pPr>
      <w:r w:rsidRPr="00632392">
        <w:rPr>
          <w:color w:val="7030A0"/>
        </w:rPr>
        <w:t xml:space="preserve">Sí, este </w:t>
      </w:r>
      <w:r w:rsidRPr="00632392">
        <w:rPr>
          <w:b/>
          <w:bCs/>
          <w:color w:val="7030A0"/>
        </w:rPr>
        <w:t>3.3 ya está mucho mejor enfocado</w:t>
      </w:r>
      <w:r w:rsidRPr="00632392">
        <w:rPr>
          <w:color w:val="7030A0"/>
        </w:rPr>
        <w:t xml:space="preserve"> para tu tema. Ahora el centro es la </w:t>
      </w:r>
      <w:r w:rsidRPr="00632392">
        <w:rPr>
          <w:b/>
          <w:bCs/>
          <w:color w:val="7030A0"/>
        </w:rPr>
        <w:t>comparación ICC vs sentimiento institucional</w:t>
      </w:r>
      <w:r w:rsidRPr="00632392">
        <w:rPr>
          <w:color w:val="7030A0"/>
        </w:rPr>
        <w:t>, y el modelo predictivo queda como análisis complementario, que es lo correcto según lo que me has dicho .</w:t>
      </w:r>
    </w:p>
    <w:p w14:paraId="2F815FEF" w14:textId="77777777" w:rsidR="00632392" w:rsidRPr="00632392" w:rsidRDefault="00632392" w:rsidP="00632392">
      <w:pPr>
        <w:rPr>
          <w:color w:val="7030A0"/>
        </w:rPr>
      </w:pPr>
      <w:r w:rsidRPr="00632392">
        <w:rPr>
          <w:color w:val="7030A0"/>
        </w:rPr>
        <w:t xml:space="preserve">Pero hay </w:t>
      </w:r>
      <w:r w:rsidRPr="00632392">
        <w:rPr>
          <w:b/>
          <w:bCs/>
          <w:color w:val="7030A0"/>
        </w:rPr>
        <w:t>3 frases que tocaría antes de pegarlo definitivo</w:t>
      </w:r>
      <w:r w:rsidRPr="00632392">
        <w:rPr>
          <w:color w:val="7030A0"/>
        </w:rPr>
        <w:t>:</w:t>
      </w:r>
    </w:p>
    <w:p w14:paraId="114A19F6" w14:textId="77777777" w:rsidR="00632392" w:rsidRPr="00632392" w:rsidRDefault="00632392" w:rsidP="00632392">
      <w:pPr>
        <w:rPr>
          <w:b/>
          <w:bCs/>
          <w:color w:val="7030A0"/>
        </w:rPr>
      </w:pPr>
      <w:r w:rsidRPr="00632392">
        <w:rPr>
          <w:b/>
          <w:bCs/>
          <w:color w:val="7030A0"/>
        </w:rPr>
        <w:t>1. Ojo con “Ministerio de Economía y cuentas vinculadas”</w:t>
      </w:r>
    </w:p>
    <w:p w14:paraId="62D2A671" w14:textId="77777777" w:rsidR="00632392" w:rsidRPr="00632392" w:rsidRDefault="00632392" w:rsidP="00632392">
      <w:pPr>
        <w:rPr>
          <w:color w:val="7030A0"/>
        </w:rPr>
      </w:pPr>
      <w:r w:rsidRPr="00632392">
        <w:rPr>
          <w:color w:val="7030A0"/>
        </w:rPr>
        <w:t>En varios sitios pone:</w:t>
      </w:r>
    </w:p>
    <w:p w14:paraId="4648201B" w14:textId="77777777" w:rsidR="00632392" w:rsidRPr="00632392" w:rsidRDefault="00632392" w:rsidP="00632392">
      <w:pPr>
        <w:rPr>
          <w:color w:val="7030A0"/>
        </w:rPr>
      </w:pPr>
      <w:r w:rsidRPr="00632392">
        <w:rPr>
          <w:color w:val="7030A0"/>
        </w:rPr>
        <w:t>publicaciones del Ministerio de Economía y de las cuentas vinculadas</w:t>
      </w:r>
    </w:p>
    <w:p w14:paraId="58048A97" w14:textId="77777777" w:rsidR="00632392" w:rsidRPr="00632392" w:rsidRDefault="00632392" w:rsidP="00632392">
      <w:pPr>
        <w:rPr>
          <w:color w:val="7030A0"/>
        </w:rPr>
      </w:pPr>
      <w:r w:rsidRPr="00632392">
        <w:rPr>
          <w:color w:val="7030A0"/>
        </w:rPr>
        <w:t xml:space="preserve">Si tu tema dice “Ministerio de Comercio”, pero el </w:t>
      </w:r>
      <w:proofErr w:type="spellStart"/>
      <w:r w:rsidRPr="00632392">
        <w:rPr>
          <w:color w:val="7030A0"/>
        </w:rPr>
        <w:t>dataset</w:t>
      </w:r>
      <w:proofErr w:type="spellEnd"/>
      <w:r w:rsidRPr="00632392">
        <w:rPr>
          <w:color w:val="7030A0"/>
        </w:rPr>
        <w:t xml:space="preserve"> tiene varias cuentas institucionales, mejor usar una fórmula amplia:</w:t>
      </w:r>
    </w:p>
    <w:p w14:paraId="4145BA71" w14:textId="77777777" w:rsidR="00632392" w:rsidRPr="00632392" w:rsidRDefault="00632392" w:rsidP="00632392">
      <w:pPr>
        <w:rPr>
          <w:color w:val="7030A0"/>
        </w:rPr>
      </w:pPr>
      <w:r w:rsidRPr="00632392">
        <w:rPr>
          <w:color w:val="7030A0"/>
        </w:rPr>
        <w:t>publicaciones institucionales vinculadas al ámbito económico y comercial</w:t>
      </w:r>
    </w:p>
    <w:p w14:paraId="2B0E56FF" w14:textId="77777777" w:rsidR="00632392" w:rsidRPr="00632392" w:rsidRDefault="00632392" w:rsidP="00632392">
      <w:pPr>
        <w:rPr>
          <w:color w:val="7030A0"/>
        </w:rPr>
      </w:pPr>
      <w:r w:rsidRPr="00632392">
        <w:rPr>
          <w:color w:val="7030A0"/>
        </w:rPr>
        <w:t>Así no te pillas los dedos.</w:t>
      </w:r>
    </w:p>
    <w:p w14:paraId="602C3539" w14:textId="77777777" w:rsidR="00632392" w:rsidRPr="00632392" w:rsidRDefault="00000000" w:rsidP="00632392">
      <w:pPr>
        <w:rPr>
          <w:color w:val="7030A0"/>
        </w:rPr>
      </w:pPr>
      <w:r>
        <w:rPr>
          <w:color w:val="7030A0"/>
        </w:rPr>
        <w:pict w14:anchorId="550389BD">
          <v:rect id="_x0000_i1050" style="width:0;height:1.5pt" o:hralign="center" o:hrstd="t" o:hr="t" fillcolor="#a0a0a0" stroked="f"/>
        </w:pict>
      </w:r>
    </w:p>
    <w:p w14:paraId="1B02BB94" w14:textId="77777777" w:rsidR="00632392" w:rsidRPr="00632392" w:rsidRDefault="00632392" w:rsidP="00632392">
      <w:pPr>
        <w:rPr>
          <w:b/>
          <w:bCs/>
          <w:color w:val="7030A0"/>
        </w:rPr>
      </w:pPr>
      <w:r w:rsidRPr="00632392">
        <w:rPr>
          <w:b/>
          <w:bCs/>
          <w:color w:val="7030A0"/>
        </w:rPr>
        <w:t xml:space="preserve">2. Cambia esta frase de </w:t>
      </w:r>
      <w:proofErr w:type="spellStart"/>
      <w:r w:rsidRPr="00632392">
        <w:rPr>
          <w:b/>
          <w:bCs/>
          <w:color w:val="7030A0"/>
        </w:rPr>
        <w:t>XGBoost</w:t>
      </w:r>
      <w:proofErr w:type="spellEnd"/>
    </w:p>
    <w:p w14:paraId="52E2D782" w14:textId="77777777" w:rsidR="00632392" w:rsidRPr="00632392" w:rsidRDefault="00632392" w:rsidP="00632392">
      <w:pPr>
        <w:rPr>
          <w:color w:val="7030A0"/>
        </w:rPr>
      </w:pPr>
      <w:r w:rsidRPr="00632392">
        <w:rPr>
          <w:color w:val="7030A0"/>
        </w:rPr>
        <w:lastRenderedPageBreak/>
        <w:t>Ahora dice:</w:t>
      </w:r>
    </w:p>
    <w:p w14:paraId="63727FA6" w14:textId="77777777" w:rsidR="00632392" w:rsidRPr="00632392" w:rsidRDefault="00632392" w:rsidP="00632392">
      <w:pPr>
        <w:rPr>
          <w:color w:val="7030A0"/>
        </w:rPr>
      </w:pPr>
      <w:proofErr w:type="spellStart"/>
      <w:r w:rsidRPr="00632392">
        <w:rPr>
          <w:color w:val="7030A0"/>
        </w:rPr>
        <w:t>Gradient</w:t>
      </w:r>
      <w:proofErr w:type="spellEnd"/>
      <w:r w:rsidRPr="00632392">
        <w:rPr>
          <w:color w:val="7030A0"/>
        </w:rPr>
        <w:t xml:space="preserve"> </w:t>
      </w:r>
      <w:proofErr w:type="spellStart"/>
      <w:r w:rsidRPr="00632392">
        <w:rPr>
          <w:color w:val="7030A0"/>
        </w:rPr>
        <w:t>Boosting</w:t>
      </w:r>
      <w:proofErr w:type="spellEnd"/>
      <w:r w:rsidRPr="00632392">
        <w:rPr>
          <w:color w:val="7030A0"/>
        </w:rPr>
        <w:t xml:space="preserve"> </w:t>
      </w:r>
      <w:proofErr w:type="spellStart"/>
      <w:r w:rsidRPr="00632392">
        <w:rPr>
          <w:color w:val="7030A0"/>
        </w:rPr>
        <w:t>Regressor</w:t>
      </w:r>
      <w:proofErr w:type="spellEnd"/>
      <w:r w:rsidRPr="00632392">
        <w:rPr>
          <w:color w:val="7030A0"/>
        </w:rPr>
        <w:t xml:space="preserve"> de </w:t>
      </w:r>
      <w:proofErr w:type="spellStart"/>
      <w:r w:rsidRPr="00632392">
        <w:rPr>
          <w:color w:val="7030A0"/>
        </w:rPr>
        <w:t>scikit-learn</w:t>
      </w:r>
      <w:proofErr w:type="spellEnd"/>
      <w:r w:rsidRPr="00632392">
        <w:rPr>
          <w:color w:val="7030A0"/>
        </w:rPr>
        <w:t>, que responde al mismo principio algorítmico.</w:t>
      </w:r>
    </w:p>
    <w:p w14:paraId="3A97F2F3" w14:textId="77777777" w:rsidR="00632392" w:rsidRPr="00632392" w:rsidRDefault="00632392" w:rsidP="00632392">
      <w:pPr>
        <w:rPr>
          <w:color w:val="7030A0"/>
        </w:rPr>
      </w:pPr>
      <w:r w:rsidRPr="00632392">
        <w:rPr>
          <w:color w:val="7030A0"/>
        </w:rPr>
        <w:t>Mejor:</w:t>
      </w:r>
    </w:p>
    <w:p w14:paraId="7250207A" w14:textId="77777777" w:rsidR="00632392" w:rsidRPr="00632392" w:rsidRDefault="00632392" w:rsidP="00632392">
      <w:pPr>
        <w:rPr>
          <w:color w:val="7030A0"/>
        </w:rPr>
      </w:pPr>
      <w:proofErr w:type="spellStart"/>
      <w:r w:rsidRPr="00632392">
        <w:rPr>
          <w:color w:val="7030A0"/>
        </w:rPr>
        <w:t>Gradient</w:t>
      </w:r>
      <w:proofErr w:type="spellEnd"/>
      <w:r w:rsidRPr="00632392">
        <w:rPr>
          <w:color w:val="7030A0"/>
        </w:rPr>
        <w:t xml:space="preserve"> </w:t>
      </w:r>
      <w:proofErr w:type="spellStart"/>
      <w:r w:rsidRPr="00632392">
        <w:rPr>
          <w:color w:val="7030A0"/>
        </w:rPr>
        <w:t>Boosting</w:t>
      </w:r>
      <w:proofErr w:type="spellEnd"/>
      <w:r w:rsidRPr="00632392">
        <w:rPr>
          <w:color w:val="7030A0"/>
        </w:rPr>
        <w:t xml:space="preserve"> </w:t>
      </w:r>
      <w:proofErr w:type="spellStart"/>
      <w:r w:rsidRPr="00632392">
        <w:rPr>
          <w:color w:val="7030A0"/>
        </w:rPr>
        <w:t>Regressor</w:t>
      </w:r>
      <w:proofErr w:type="spellEnd"/>
      <w:r w:rsidRPr="00632392">
        <w:rPr>
          <w:color w:val="7030A0"/>
        </w:rPr>
        <w:t xml:space="preserve"> de </w:t>
      </w:r>
      <w:proofErr w:type="spellStart"/>
      <w:r w:rsidRPr="00632392">
        <w:rPr>
          <w:color w:val="7030A0"/>
        </w:rPr>
        <w:t>scikit-learn</w:t>
      </w:r>
      <w:proofErr w:type="spellEnd"/>
      <w:r w:rsidRPr="00632392">
        <w:rPr>
          <w:color w:val="7030A0"/>
        </w:rPr>
        <w:t xml:space="preserve">, un modelo de </w:t>
      </w:r>
      <w:proofErr w:type="spellStart"/>
      <w:r w:rsidRPr="00632392">
        <w:rPr>
          <w:color w:val="7030A0"/>
        </w:rPr>
        <w:t>boosting</w:t>
      </w:r>
      <w:proofErr w:type="spellEnd"/>
      <w:r w:rsidRPr="00632392">
        <w:rPr>
          <w:color w:val="7030A0"/>
        </w:rPr>
        <w:t xml:space="preserve"> basado también en árboles de decisión.</w:t>
      </w:r>
    </w:p>
    <w:p w14:paraId="06FADE1D" w14:textId="77777777" w:rsidR="00632392" w:rsidRPr="00632392" w:rsidRDefault="00632392" w:rsidP="00632392">
      <w:pPr>
        <w:rPr>
          <w:color w:val="7030A0"/>
        </w:rPr>
      </w:pPr>
      <w:r w:rsidRPr="00632392">
        <w:rPr>
          <w:color w:val="7030A0"/>
        </w:rPr>
        <w:t>Es más preciso y menos arriesgado.</w:t>
      </w:r>
    </w:p>
    <w:p w14:paraId="6127A053" w14:textId="77777777" w:rsidR="00632392" w:rsidRPr="00632392" w:rsidRDefault="00000000" w:rsidP="00632392">
      <w:pPr>
        <w:rPr>
          <w:color w:val="7030A0"/>
        </w:rPr>
      </w:pPr>
      <w:r>
        <w:rPr>
          <w:color w:val="7030A0"/>
        </w:rPr>
        <w:pict w14:anchorId="03C7E836">
          <v:rect id="_x0000_i1051" style="width:0;height:1.5pt" o:hralign="center" o:hrstd="t" o:hr="t" fillcolor="#a0a0a0" stroked="f"/>
        </w:pict>
      </w:r>
    </w:p>
    <w:p w14:paraId="483E8D48" w14:textId="77777777" w:rsidR="00632392" w:rsidRPr="00632392" w:rsidRDefault="00632392" w:rsidP="00632392">
      <w:pPr>
        <w:rPr>
          <w:b/>
          <w:bCs/>
          <w:color w:val="7030A0"/>
        </w:rPr>
      </w:pPr>
      <w:r w:rsidRPr="00632392">
        <w:rPr>
          <w:b/>
          <w:bCs/>
          <w:color w:val="7030A0"/>
        </w:rPr>
        <w:t>3. Cuidado con “correlaciones retardadas”</w:t>
      </w:r>
    </w:p>
    <w:p w14:paraId="22BEEA09" w14:textId="77777777" w:rsidR="00632392" w:rsidRPr="00632392" w:rsidRDefault="00632392" w:rsidP="00632392">
      <w:pPr>
        <w:rPr>
          <w:color w:val="7030A0"/>
        </w:rPr>
      </w:pPr>
      <w:r w:rsidRPr="00632392">
        <w:rPr>
          <w:color w:val="7030A0"/>
        </w:rPr>
        <w:t xml:space="preserve">El 3.3.4 habla de análisis de correlaciones cruzadas/desfases. Eso está bien </w:t>
      </w:r>
      <w:r w:rsidRPr="00632392">
        <w:rPr>
          <w:b/>
          <w:bCs/>
          <w:color w:val="7030A0"/>
        </w:rPr>
        <w:t>solo si en tu notebook realmente has calculado correlaciones con retardos</w:t>
      </w:r>
      <w:r w:rsidRPr="00632392">
        <w:rPr>
          <w:color w:val="7030A0"/>
        </w:rPr>
        <w:t>.</w:t>
      </w:r>
    </w:p>
    <w:p w14:paraId="11251DCF" w14:textId="77777777" w:rsidR="00632392" w:rsidRPr="00632392" w:rsidRDefault="00632392" w:rsidP="00632392">
      <w:pPr>
        <w:rPr>
          <w:color w:val="7030A0"/>
        </w:rPr>
      </w:pPr>
      <w:r w:rsidRPr="00632392">
        <w:rPr>
          <w:color w:val="7030A0"/>
        </w:rPr>
        <w:t>Si no las calculaste, cambia ese apartado para que sea más prudente:</w:t>
      </w:r>
    </w:p>
    <w:p w14:paraId="57F54D10" w14:textId="77777777" w:rsidR="00632392" w:rsidRPr="00632392" w:rsidRDefault="00632392" w:rsidP="00632392">
      <w:pPr>
        <w:rPr>
          <w:color w:val="7030A0"/>
        </w:rPr>
      </w:pPr>
      <w:r w:rsidRPr="00632392">
        <w:rPr>
          <w:color w:val="7030A0"/>
        </w:rPr>
        <w:t>De forma exploratoria, se interpreta visualmente si existen posibles desfases temporales entre ambas series, sin plantear este análisis como una prueba estadística concluyente.</w:t>
      </w:r>
    </w:p>
    <w:p w14:paraId="789A47DC" w14:textId="77777777" w:rsidR="00632392" w:rsidRPr="00632392" w:rsidRDefault="00632392" w:rsidP="00632392">
      <w:pPr>
        <w:rPr>
          <w:color w:val="7030A0"/>
        </w:rPr>
      </w:pPr>
      <w:r w:rsidRPr="00632392">
        <w:rPr>
          <w:color w:val="7030A0"/>
        </w:rPr>
        <w:t>Y evita frases como:</w:t>
      </w:r>
    </w:p>
    <w:p w14:paraId="51C3B616" w14:textId="77777777" w:rsidR="00632392" w:rsidRPr="00632392" w:rsidRDefault="00632392" w:rsidP="00632392">
      <w:pPr>
        <w:rPr>
          <w:color w:val="7030A0"/>
        </w:rPr>
      </w:pPr>
      <w:r w:rsidRPr="00632392">
        <w:rPr>
          <w:color w:val="7030A0"/>
        </w:rPr>
        <w:t>Los resultados de este análisis no revelan...</w:t>
      </w:r>
    </w:p>
    <w:p w14:paraId="5C2D4AE0" w14:textId="77777777" w:rsidR="00632392" w:rsidRPr="00632392" w:rsidRDefault="00632392" w:rsidP="00632392">
      <w:pPr>
        <w:rPr>
          <w:color w:val="7030A0"/>
        </w:rPr>
      </w:pPr>
      <w:r w:rsidRPr="00632392">
        <w:rPr>
          <w:color w:val="7030A0"/>
        </w:rPr>
        <w:t>si no tienes una tabla o gráfico real de correlaciones.</w:t>
      </w:r>
    </w:p>
    <w:p w14:paraId="509E47E5" w14:textId="77777777" w:rsidR="00632392" w:rsidRPr="00632392" w:rsidRDefault="00632392" w:rsidP="00632392">
      <w:pPr>
        <w:rPr>
          <w:b/>
          <w:bCs/>
          <w:color w:val="7030A0"/>
        </w:rPr>
      </w:pPr>
      <w:r w:rsidRPr="00632392">
        <w:rPr>
          <w:b/>
          <w:bCs/>
          <w:color w:val="7030A0"/>
        </w:rPr>
        <w:t>Veredicto</w:t>
      </w:r>
    </w:p>
    <w:p w14:paraId="6338F1D5" w14:textId="77777777" w:rsidR="00632392" w:rsidRPr="00632392" w:rsidRDefault="00632392" w:rsidP="00632392">
      <w:pPr>
        <w:rPr>
          <w:color w:val="7030A0"/>
        </w:rPr>
      </w:pPr>
      <w:r w:rsidRPr="00632392">
        <w:rPr>
          <w:color w:val="7030A0"/>
        </w:rPr>
        <w:t xml:space="preserve">Puedes usarlo, pero con esos cambios. Y sí: </w:t>
      </w:r>
      <w:r w:rsidRPr="00632392">
        <w:rPr>
          <w:b/>
          <w:bCs/>
          <w:color w:val="7030A0"/>
        </w:rPr>
        <w:t>este 3.3 ya no está corto</w:t>
      </w:r>
      <w:r w:rsidRPr="00632392">
        <w:rPr>
          <w:color w:val="7030A0"/>
        </w:rPr>
        <w:t>. Está suficientemente desarrollado y ahora sí responde al tema:</w:t>
      </w:r>
    </w:p>
    <w:p w14:paraId="1AA269D3" w14:textId="77777777" w:rsidR="00632392" w:rsidRPr="00632392" w:rsidRDefault="00632392" w:rsidP="00632392">
      <w:pPr>
        <w:rPr>
          <w:color w:val="7030A0"/>
        </w:rPr>
      </w:pPr>
      <w:r w:rsidRPr="00632392">
        <w:rPr>
          <w:color w:val="7030A0"/>
        </w:rPr>
        <w:t>Comparativa del Índice de Confianza del Consumidor con el análisis de sentimiento del discurso institucional en distintos momentos.</w:t>
      </w:r>
    </w:p>
    <w:p w14:paraId="63C27747" w14:textId="77777777" w:rsidR="00632392" w:rsidRPr="00632392" w:rsidRDefault="00632392" w:rsidP="00632392">
      <w:pPr>
        <w:rPr>
          <w:color w:val="7030A0"/>
        </w:rPr>
      </w:pPr>
      <w:r w:rsidRPr="00632392">
        <w:rPr>
          <w:color w:val="7030A0"/>
        </w:rPr>
        <w:t xml:space="preserve">Ahora toca </w:t>
      </w:r>
      <w:r w:rsidRPr="00632392">
        <w:rPr>
          <w:b/>
          <w:bCs/>
          <w:color w:val="7030A0"/>
        </w:rPr>
        <w:t>reorientar 2.1 Introducción y 2.2 Motivación</w:t>
      </w:r>
      <w:r w:rsidRPr="00632392">
        <w:rPr>
          <w:color w:val="7030A0"/>
        </w:rPr>
        <w:t xml:space="preserve"> para que no sigan prometiendo “predicción del ICC” como objetivo principal.</w:t>
      </w:r>
    </w:p>
    <w:p w14:paraId="49D1B4F3" w14:textId="77777777" w:rsidR="00815B34" w:rsidRPr="00DA27C1" w:rsidRDefault="00815B34" w:rsidP="007E4610">
      <w:pPr>
        <w:rPr>
          <w:color w:val="C45911" w:themeColor="accent2" w:themeShade="BF"/>
        </w:rPr>
      </w:pPr>
    </w:p>
    <w:sectPr w:rsidR="00815B34" w:rsidRPr="00DA27C1" w:rsidSect="009B2987">
      <w:pgSz w:w="11906" w:h="16838"/>
      <w:pgMar w:top="1417" w:right="1134"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670A"/>
    <w:multiLevelType w:val="multilevel"/>
    <w:tmpl w:val="49A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33FEF"/>
    <w:multiLevelType w:val="multilevel"/>
    <w:tmpl w:val="FC4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B1FBC"/>
    <w:multiLevelType w:val="multilevel"/>
    <w:tmpl w:val="2D4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E1177"/>
    <w:multiLevelType w:val="multilevel"/>
    <w:tmpl w:val="6B6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02CDC"/>
    <w:multiLevelType w:val="multilevel"/>
    <w:tmpl w:val="78E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507"/>
    <w:multiLevelType w:val="multilevel"/>
    <w:tmpl w:val="C6C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86101"/>
    <w:multiLevelType w:val="multilevel"/>
    <w:tmpl w:val="442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36B5F"/>
    <w:multiLevelType w:val="multilevel"/>
    <w:tmpl w:val="F79E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C29D5"/>
    <w:multiLevelType w:val="multilevel"/>
    <w:tmpl w:val="0FDA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14B5E"/>
    <w:multiLevelType w:val="multilevel"/>
    <w:tmpl w:val="1A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80507"/>
    <w:multiLevelType w:val="multilevel"/>
    <w:tmpl w:val="338C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D2758"/>
    <w:multiLevelType w:val="multilevel"/>
    <w:tmpl w:val="188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17876">
    <w:abstractNumId w:val="0"/>
  </w:num>
  <w:num w:numId="2" w16cid:durableId="586382394">
    <w:abstractNumId w:val="10"/>
  </w:num>
  <w:num w:numId="3" w16cid:durableId="1269964506">
    <w:abstractNumId w:val="7"/>
  </w:num>
  <w:num w:numId="4" w16cid:durableId="679544781">
    <w:abstractNumId w:val="9"/>
  </w:num>
  <w:num w:numId="5" w16cid:durableId="857237954">
    <w:abstractNumId w:val="11"/>
  </w:num>
  <w:num w:numId="6" w16cid:durableId="239482001">
    <w:abstractNumId w:val="8"/>
  </w:num>
  <w:num w:numId="7" w16cid:durableId="687683600">
    <w:abstractNumId w:val="4"/>
  </w:num>
  <w:num w:numId="8" w16cid:durableId="1416122720">
    <w:abstractNumId w:val="3"/>
  </w:num>
  <w:num w:numId="9" w16cid:durableId="1122311067">
    <w:abstractNumId w:val="2"/>
  </w:num>
  <w:num w:numId="10" w16cid:durableId="300040933">
    <w:abstractNumId w:val="5"/>
  </w:num>
  <w:num w:numId="11" w16cid:durableId="179204041">
    <w:abstractNumId w:val="1"/>
  </w:num>
  <w:num w:numId="12" w16cid:durableId="320550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C6"/>
    <w:rsid w:val="000233B1"/>
    <w:rsid w:val="000543A6"/>
    <w:rsid w:val="00077985"/>
    <w:rsid w:val="00146BCA"/>
    <w:rsid w:val="001E3410"/>
    <w:rsid w:val="002723B5"/>
    <w:rsid w:val="00282DB3"/>
    <w:rsid w:val="002E50A1"/>
    <w:rsid w:val="003C7D83"/>
    <w:rsid w:val="00506AEC"/>
    <w:rsid w:val="005267AF"/>
    <w:rsid w:val="0054624E"/>
    <w:rsid w:val="00561D93"/>
    <w:rsid w:val="0056299E"/>
    <w:rsid w:val="00581AE3"/>
    <w:rsid w:val="005B6462"/>
    <w:rsid w:val="00614BA0"/>
    <w:rsid w:val="00617B64"/>
    <w:rsid w:val="00632392"/>
    <w:rsid w:val="00657A9C"/>
    <w:rsid w:val="006D74E8"/>
    <w:rsid w:val="00764138"/>
    <w:rsid w:val="007E4610"/>
    <w:rsid w:val="00815B34"/>
    <w:rsid w:val="00863B72"/>
    <w:rsid w:val="008D3A3C"/>
    <w:rsid w:val="00917FA7"/>
    <w:rsid w:val="00922B09"/>
    <w:rsid w:val="00963AF5"/>
    <w:rsid w:val="009B2987"/>
    <w:rsid w:val="00A22B23"/>
    <w:rsid w:val="00A312CF"/>
    <w:rsid w:val="00AC4EF3"/>
    <w:rsid w:val="00B25216"/>
    <w:rsid w:val="00B258D8"/>
    <w:rsid w:val="00B277CC"/>
    <w:rsid w:val="00C305FB"/>
    <w:rsid w:val="00C42A8F"/>
    <w:rsid w:val="00C47DE1"/>
    <w:rsid w:val="00C52296"/>
    <w:rsid w:val="00C57F7D"/>
    <w:rsid w:val="00D173C6"/>
    <w:rsid w:val="00D77768"/>
    <w:rsid w:val="00DA27C1"/>
    <w:rsid w:val="00DE4480"/>
    <w:rsid w:val="00DF5F56"/>
    <w:rsid w:val="00E87651"/>
    <w:rsid w:val="00F32360"/>
    <w:rsid w:val="00F335C3"/>
    <w:rsid w:val="00FD14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3010"/>
  <w15:chartTrackingRefBased/>
  <w15:docId w15:val="{8C98183B-F9BB-4883-81BD-9ABD3A7A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7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73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3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3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7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73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3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3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3C6"/>
    <w:rPr>
      <w:rFonts w:eastAsiaTheme="majorEastAsia" w:cstheme="majorBidi"/>
      <w:color w:val="272727" w:themeColor="text1" w:themeTint="D8"/>
    </w:rPr>
  </w:style>
  <w:style w:type="paragraph" w:styleId="Title">
    <w:name w:val="Title"/>
    <w:basedOn w:val="Normal"/>
    <w:next w:val="Normal"/>
    <w:link w:val="TitleChar"/>
    <w:uiPriority w:val="10"/>
    <w:qFormat/>
    <w:rsid w:val="00D17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3C6"/>
    <w:pPr>
      <w:spacing w:before="160"/>
      <w:jc w:val="center"/>
    </w:pPr>
    <w:rPr>
      <w:i/>
      <w:iCs/>
      <w:color w:val="404040" w:themeColor="text1" w:themeTint="BF"/>
    </w:rPr>
  </w:style>
  <w:style w:type="character" w:customStyle="1" w:styleId="QuoteChar">
    <w:name w:val="Quote Char"/>
    <w:basedOn w:val="DefaultParagraphFont"/>
    <w:link w:val="Quote"/>
    <w:uiPriority w:val="29"/>
    <w:rsid w:val="00D173C6"/>
    <w:rPr>
      <w:i/>
      <w:iCs/>
      <w:color w:val="404040" w:themeColor="text1" w:themeTint="BF"/>
    </w:rPr>
  </w:style>
  <w:style w:type="paragraph" w:styleId="ListParagraph">
    <w:name w:val="List Paragraph"/>
    <w:basedOn w:val="Normal"/>
    <w:uiPriority w:val="34"/>
    <w:qFormat/>
    <w:rsid w:val="00D173C6"/>
    <w:pPr>
      <w:ind w:left="720"/>
      <w:contextualSpacing/>
    </w:pPr>
  </w:style>
  <w:style w:type="character" w:styleId="IntenseEmphasis">
    <w:name w:val="Intense Emphasis"/>
    <w:basedOn w:val="DefaultParagraphFont"/>
    <w:uiPriority w:val="21"/>
    <w:qFormat/>
    <w:rsid w:val="00D173C6"/>
    <w:rPr>
      <w:i/>
      <w:iCs/>
      <w:color w:val="2F5496" w:themeColor="accent1" w:themeShade="BF"/>
    </w:rPr>
  </w:style>
  <w:style w:type="paragraph" w:styleId="IntenseQuote">
    <w:name w:val="Intense Quote"/>
    <w:basedOn w:val="Normal"/>
    <w:next w:val="Normal"/>
    <w:link w:val="IntenseQuoteChar"/>
    <w:uiPriority w:val="30"/>
    <w:qFormat/>
    <w:rsid w:val="00D17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3C6"/>
    <w:rPr>
      <w:i/>
      <w:iCs/>
      <w:color w:val="2F5496" w:themeColor="accent1" w:themeShade="BF"/>
    </w:rPr>
  </w:style>
  <w:style w:type="character" w:styleId="IntenseReference">
    <w:name w:val="Intense Reference"/>
    <w:basedOn w:val="DefaultParagraphFont"/>
    <w:uiPriority w:val="32"/>
    <w:qFormat/>
    <w:rsid w:val="00D173C6"/>
    <w:rPr>
      <w:b/>
      <w:bCs/>
      <w:smallCaps/>
      <w:color w:val="2F5496" w:themeColor="accent1" w:themeShade="BF"/>
      <w:spacing w:val="5"/>
    </w:rPr>
  </w:style>
  <w:style w:type="paragraph" w:styleId="NormalWeb">
    <w:name w:val="Normal (Web)"/>
    <w:basedOn w:val="Normal"/>
    <w:uiPriority w:val="99"/>
    <w:semiHidden/>
    <w:unhideWhenUsed/>
    <w:rsid w:val="002E50A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1336</TotalTime>
  <Pages>30</Pages>
  <Words>14662</Words>
  <Characters>80647</Characters>
  <Application>Microsoft Office Word</Application>
  <DocSecurity>0</DocSecurity>
  <Lines>672</Lines>
  <Paragraphs>190</Paragraphs>
  <ScaleCrop>false</ScaleCrop>
  <Company/>
  <LinksUpToDate>false</LinksUpToDate>
  <CharactersWithSpaces>95119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González Guarner</dc:creator>
  <cp:keywords/>
  <dc:description/>
  <cp:lastModifiedBy>Nadia González Guarner</cp:lastModifiedBy>
  <cp:revision>42</cp:revision>
  <dcterms:created xsi:type="dcterms:W3CDTF">2026-06-04T14:32:00Z</dcterms:created>
  <dcterms:modified xsi:type="dcterms:W3CDTF">2026-06-12T15:49:00Z</dcterms:modified>
</cp:coreProperties>
</file>