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DBB16" w14:textId="77777777" w:rsidR="00811957" w:rsidRPr="00D35EDB" w:rsidRDefault="00811957" w:rsidP="00811957">
      <w:pPr>
        <w:spacing w:line="360" w:lineRule="auto"/>
        <w:rPr>
          <w:rFonts w:asciiTheme="majorBidi" w:hAnsiTheme="majorBidi" w:cstheme="majorBidi"/>
          <w:color w:val="000000" w:themeColor="text1"/>
        </w:rPr>
      </w:pPr>
      <w:r w:rsidRPr="00D35EDB">
        <w:rPr>
          <w:rFonts w:asciiTheme="majorBidi" w:hAnsiTheme="majorBidi" w:cstheme="majorBidi"/>
          <w:b/>
          <w:bCs/>
          <w:color w:val="000000" w:themeColor="text1"/>
        </w:rPr>
        <w:t xml:space="preserve">Table 1. </w:t>
      </w:r>
      <w:r w:rsidRPr="00D35EDB">
        <w:rPr>
          <w:rFonts w:asciiTheme="majorBidi" w:hAnsiTheme="majorBidi" w:cstheme="majorBidi"/>
          <w:color w:val="000000" w:themeColor="text1"/>
        </w:rPr>
        <w:t>Performance of the severity estimation model compared with prior studies (Table 1).</w:t>
      </w:r>
    </w:p>
    <w:tbl>
      <w:tblPr>
        <w:tblStyle w:val="TableGrid"/>
        <w:tblW w:w="5243" w:type="pct"/>
        <w:tblLook w:val="04A0" w:firstRow="1" w:lastRow="0" w:firstColumn="1" w:lastColumn="0" w:noHBand="0" w:noVBand="1"/>
      </w:tblPr>
      <w:tblGrid>
        <w:gridCol w:w="2090"/>
        <w:gridCol w:w="1273"/>
        <w:gridCol w:w="1565"/>
        <w:gridCol w:w="1541"/>
        <w:gridCol w:w="1449"/>
        <w:gridCol w:w="1886"/>
      </w:tblGrid>
      <w:tr w:rsidR="00811957" w:rsidRPr="00D35EDB" w14:paraId="4C9F29E4" w14:textId="77777777" w:rsidTr="005E5D9E">
        <w:trPr>
          <w:trHeight w:val="719"/>
        </w:trPr>
        <w:tc>
          <w:tcPr>
            <w:tcW w:w="1066" w:type="pct"/>
          </w:tcPr>
          <w:p w14:paraId="2A4F373A" w14:textId="77777777" w:rsidR="00811957" w:rsidRPr="00D35EDB" w:rsidRDefault="00811957" w:rsidP="005E5D9E">
            <w:pPr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</w:p>
          <w:p w14:paraId="3C0665D7" w14:textId="77777777" w:rsidR="00811957" w:rsidRPr="00D35EDB" w:rsidRDefault="00811957" w:rsidP="005E5D9E">
            <w:pPr>
              <w:spacing w:line="360" w:lineRule="auto"/>
              <w:jc w:val="center"/>
              <w:rPr>
                <w:rFonts w:asciiTheme="majorBidi" w:hAnsiTheme="majorBidi" w:cstheme="majorBidi"/>
                <w:color w:val="000000" w:themeColor="text1"/>
                <w:rtl/>
                <w:lang w:bidi="fa-IR"/>
              </w:rPr>
            </w:pPr>
          </w:p>
        </w:tc>
        <w:tc>
          <w:tcPr>
            <w:tcW w:w="649" w:type="pct"/>
          </w:tcPr>
          <w:p w14:paraId="5C7DC4AB" w14:textId="77777777" w:rsidR="00811957" w:rsidRPr="00D35EDB" w:rsidRDefault="00811957" w:rsidP="005E5D9E">
            <w:pPr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D35EDB">
              <w:rPr>
                <w:rFonts w:asciiTheme="majorBidi" w:hAnsiTheme="majorBidi" w:cstheme="majorBidi"/>
                <w:color w:val="000000" w:themeColor="text1"/>
              </w:rPr>
              <w:t>Accuracy</w:t>
            </w:r>
          </w:p>
        </w:tc>
        <w:tc>
          <w:tcPr>
            <w:tcW w:w="798" w:type="pct"/>
          </w:tcPr>
          <w:p w14:paraId="5FEEAC9C" w14:textId="77777777" w:rsidR="00811957" w:rsidRPr="00D35EDB" w:rsidRDefault="00811957" w:rsidP="005E5D9E">
            <w:pPr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D35EDB">
              <w:rPr>
                <w:rFonts w:asciiTheme="majorBidi" w:hAnsiTheme="majorBidi" w:cstheme="majorBidi"/>
                <w:color w:val="000000" w:themeColor="text1"/>
              </w:rPr>
              <w:t>Sensitivity</w:t>
            </w:r>
          </w:p>
        </w:tc>
        <w:tc>
          <w:tcPr>
            <w:tcW w:w="786" w:type="pct"/>
          </w:tcPr>
          <w:p w14:paraId="6260CA5D" w14:textId="77777777" w:rsidR="00811957" w:rsidRPr="00D35EDB" w:rsidRDefault="00811957" w:rsidP="005E5D9E">
            <w:pPr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D35EDB">
              <w:rPr>
                <w:rFonts w:asciiTheme="majorBidi" w:hAnsiTheme="majorBidi" w:cstheme="majorBidi"/>
                <w:color w:val="000000" w:themeColor="text1"/>
              </w:rPr>
              <w:t>Specificity</w:t>
            </w:r>
          </w:p>
        </w:tc>
        <w:tc>
          <w:tcPr>
            <w:tcW w:w="739" w:type="pct"/>
          </w:tcPr>
          <w:p w14:paraId="36404EFE" w14:textId="77777777" w:rsidR="00811957" w:rsidRPr="00D35EDB" w:rsidRDefault="00811957" w:rsidP="005E5D9E">
            <w:pPr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D35EDB">
              <w:rPr>
                <w:rFonts w:asciiTheme="majorBidi" w:hAnsiTheme="majorBidi" w:cstheme="majorBidi"/>
                <w:color w:val="000000" w:themeColor="text1"/>
              </w:rPr>
              <w:t>F1 score</w:t>
            </w:r>
          </w:p>
        </w:tc>
        <w:tc>
          <w:tcPr>
            <w:tcW w:w="962" w:type="pct"/>
          </w:tcPr>
          <w:p w14:paraId="5C232DC1" w14:textId="77777777" w:rsidR="00811957" w:rsidRPr="00D35EDB" w:rsidRDefault="00811957" w:rsidP="005E5D9E">
            <w:pPr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D35EDB">
              <w:rPr>
                <w:rFonts w:asciiTheme="majorBidi" w:hAnsiTheme="majorBidi" w:cstheme="majorBidi"/>
              </w:rPr>
              <w:t>AUROC (95% CI)</w:t>
            </w:r>
          </w:p>
        </w:tc>
      </w:tr>
      <w:tr w:rsidR="00811957" w:rsidRPr="00D35EDB" w14:paraId="08C20C17" w14:textId="77777777" w:rsidTr="005E5D9E">
        <w:trPr>
          <w:trHeight w:val="385"/>
        </w:trPr>
        <w:tc>
          <w:tcPr>
            <w:tcW w:w="1066" w:type="pct"/>
          </w:tcPr>
          <w:p w14:paraId="1116F56F" w14:textId="77777777" w:rsidR="00811957" w:rsidRPr="00D35EDB" w:rsidRDefault="00811957" w:rsidP="005E5D9E">
            <w:pPr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D35EDB">
              <w:rPr>
                <w:rFonts w:asciiTheme="majorBidi" w:hAnsiTheme="majorBidi" w:cstheme="majorBidi"/>
                <w:color w:val="000000" w:themeColor="text1"/>
              </w:rPr>
              <w:t>SGIDetectCNN</w:t>
            </w:r>
          </w:p>
        </w:tc>
        <w:tc>
          <w:tcPr>
            <w:tcW w:w="649" w:type="pct"/>
          </w:tcPr>
          <w:p w14:paraId="38D2627D" w14:textId="77777777" w:rsidR="00811957" w:rsidRPr="00D35EDB" w:rsidRDefault="00811957" w:rsidP="005E5D9E">
            <w:pPr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D35EDB">
              <w:rPr>
                <w:rFonts w:asciiTheme="majorBidi" w:hAnsiTheme="majorBidi" w:cstheme="majorBidi"/>
                <w:color w:val="000000" w:themeColor="text1"/>
              </w:rPr>
              <w:t>64%</w:t>
            </w:r>
          </w:p>
        </w:tc>
        <w:tc>
          <w:tcPr>
            <w:tcW w:w="798" w:type="pct"/>
          </w:tcPr>
          <w:p w14:paraId="7A1933F7" w14:textId="77777777" w:rsidR="00811957" w:rsidRPr="00D35EDB" w:rsidRDefault="00811957" w:rsidP="005E5D9E">
            <w:pPr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D35EDB">
              <w:rPr>
                <w:rFonts w:asciiTheme="majorBidi" w:hAnsiTheme="majorBidi" w:cstheme="majorBidi"/>
                <w:color w:val="000000" w:themeColor="text1"/>
              </w:rPr>
              <w:t>80%</w:t>
            </w:r>
          </w:p>
        </w:tc>
        <w:tc>
          <w:tcPr>
            <w:tcW w:w="786" w:type="pct"/>
          </w:tcPr>
          <w:p w14:paraId="33EB93C6" w14:textId="77777777" w:rsidR="00811957" w:rsidRPr="00D35EDB" w:rsidRDefault="00811957" w:rsidP="005E5D9E">
            <w:pPr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D35EDB">
              <w:rPr>
                <w:rFonts w:asciiTheme="majorBidi" w:hAnsiTheme="majorBidi" w:cstheme="majorBidi"/>
                <w:color w:val="000000" w:themeColor="text1"/>
              </w:rPr>
              <w:t>48%</w:t>
            </w:r>
          </w:p>
        </w:tc>
        <w:tc>
          <w:tcPr>
            <w:tcW w:w="739" w:type="pct"/>
          </w:tcPr>
          <w:p w14:paraId="6F90F54F" w14:textId="77777777" w:rsidR="00811957" w:rsidRPr="00D35EDB" w:rsidRDefault="00811957" w:rsidP="005E5D9E">
            <w:pPr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D35EDB">
              <w:rPr>
                <w:rFonts w:asciiTheme="majorBidi" w:hAnsiTheme="majorBidi" w:cstheme="majorBidi"/>
                <w:color w:val="000000" w:themeColor="text1"/>
              </w:rPr>
              <w:t>0.69</w:t>
            </w:r>
          </w:p>
        </w:tc>
        <w:tc>
          <w:tcPr>
            <w:tcW w:w="962" w:type="pct"/>
          </w:tcPr>
          <w:p w14:paraId="271FC47F" w14:textId="77777777" w:rsidR="00811957" w:rsidRPr="00D35EDB" w:rsidRDefault="00811957" w:rsidP="005E5D9E">
            <w:pPr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D35EDB">
              <w:rPr>
                <w:rFonts w:asciiTheme="majorBidi" w:hAnsiTheme="majorBidi" w:cstheme="majorBidi"/>
              </w:rPr>
              <w:t>0.75 [0.58–0.87]</w:t>
            </w:r>
          </w:p>
        </w:tc>
      </w:tr>
      <w:tr w:rsidR="00811957" w:rsidRPr="00D35EDB" w14:paraId="498EF710" w14:textId="77777777" w:rsidTr="005E5D9E">
        <w:trPr>
          <w:trHeight w:val="385"/>
        </w:trPr>
        <w:tc>
          <w:tcPr>
            <w:tcW w:w="1066" w:type="pct"/>
          </w:tcPr>
          <w:p w14:paraId="17567A91" w14:textId="77777777" w:rsidR="00811957" w:rsidRPr="00D35EDB" w:rsidRDefault="00811957" w:rsidP="005E5D9E">
            <w:pPr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D35EDB">
              <w:rPr>
                <w:rFonts w:asciiTheme="majorBidi" w:hAnsiTheme="majorBidi" w:cstheme="majorBidi"/>
                <w:color w:val="000000" w:themeColor="text1"/>
              </w:rPr>
              <w:t>EfficientNet</w:t>
            </w:r>
          </w:p>
        </w:tc>
        <w:tc>
          <w:tcPr>
            <w:tcW w:w="649" w:type="pct"/>
          </w:tcPr>
          <w:p w14:paraId="6BA8C698" w14:textId="77777777" w:rsidR="00811957" w:rsidRPr="00D35EDB" w:rsidRDefault="00811957" w:rsidP="005E5D9E">
            <w:pPr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D35EDB">
              <w:rPr>
                <w:rFonts w:asciiTheme="majorBidi" w:hAnsiTheme="majorBidi" w:cstheme="majorBidi"/>
                <w:color w:val="000000" w:themeColor="text1"/>
              </w:rPr>
              <w:t>54%</w:t>
            </w:r>
          </w:p>
        </w:tc>
        <w:tc>
          <w:tcPr>
            <w:tcW w:w="798" w:type="pct"/>
          </w:tcPr>
          <w:p w14:paraId="44D79EB8" w14:textId="77777777" w:rsidR="00811957" w:rsidRPr="00D35EDB" w:rsidRDefault="00811957" w:rsidP="005E5D9E">
            <w:pPr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D35EDB">
              <w:rPr>
                <w:rFonts w:asciiTheme="majorBidi" w:hAnsiTheme="majorBidi" w:cstheme="majorBidi"/>
                <w:color w:val="000000" w:themeColor="text1"/>
              </w:rPr>
              <w:t>44%</w:t>
            </w:r>
          </w:p>
        </w:tc>
        <w:tc>
          <w:tcPr>
            <w:tcW w:w="786" w:type="pct"/>
          </w:tcPr>
          <w:p w14:paraId="1EF0C918" w14:textId="77777777" w:rsidR="00811957" w:rsidRPr="00D35EDB" w:rsidRDefault="00811957" w:rsidP="005E5D9E">
            <w:pPr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D35EDB">
              <w:rPr>
                <w:rFonts w:asciiTheme="majorBidi" w:hAnsiTheme="majorBidi" w:cstheme="majorBidi"/>
                <w:color w:val="000000" w:themeColor="text1"/>
              </w:rPr>
              <w:t>64%</w:t>
            </w:r>
          </w:p>
        </w:tc>
        <w:tc>
          <w:tcPr>
            <w:tcW w:w="739" w:type="pct"/>
          </w:tcPr>
          <w:p w14:paraId="165F65CD" w14:textId="77777777" w:rsidR="00811957" w:rsidRPr="00D35EDB" w:rsidRDefault="00811957" w:rsidP="005E5D9E">
            <w:pPr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D35EDB">
              <w:rPr>
                <w:rFonts w:asciiTheme="majorBidi" w:hAnsiTheme="majorBidi" w:cstheme="majorBidi"/>
                <w:color w:val="000000" w:themeColor="text1"/>
              </w:rPr>
              <w:t>0.49</w:t>
            </w:r>
          </w:p>
        </w:tc>
        <w:tc>
          <w:tcPr>
            <w:tcW w:w="962" w:type="pct"/>
          </w:tcPr>
          <w:p w14:paraId="64D13945" w14:textId="77777777" w:rsidR="00811957" w:rsidRPr="00D35EDB" w:rsidRDefault="00811957" w:rsidP="005E5D9E">
            <w:pPr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D35EDB">
              <w:rPr>
                <w:rFonts w:asciiTheme="majorBidi" w:hAnsiTheme="majorBidi" w:cstheme="majorBidi"/>
              </w:rPr>
              <w:t>0.49 [0.34–0.65]</w:t>
            </w:r>
          </w:p>
        </w:tc>
      </w:tr>
      <w:tr w:rsidR="00811957" w:rsidRPr="00D35EDB" w14:paraId="3CA150D4" w14:textId="77777777" w:rsidTr="005E5D9E">
        <w:trPr>
          <w:trHeight w:val="385"/>
        </w:trPr>
        <w:tc>
          <w:tcPr>
            <w:tcW w:w="1066" w:type="pct"/>
          </w:tcPr>
          <w:p w14:paraId="0CA90957" w14:textId="77777777" w:rsidR="00811957" w:rsidRPr="00D35EDB" w:rsidRDefault="00811957" w:rsidP="005E5D9E">
            <w:pPr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D35EDB">
              <w:rPr>
                <w:rFonts w:asciiTheme="majorBidi" w:hAnsiTheme="majorBidi" w:cstheme="majorBidi"/>
                <w:color w:val="000000" w:themeColor="text1"/>
              </w:rPr>
              <w:t>GoogLeNet</w:t>
            </w:r>
          </w:p>
        </w:tc>
        <w:tc>
          <w:tcPr>
            <w:tcW w:w="649" w:type="pct"/>
          </w:tcPr>
          <w:p w14:paraId="4BD810FE" w14:textId="77777777" w:rsidR="00811957" w:rsidRPr="00D35EDB" w:rsidRDefault="00811957" w:rsidP="005E5D9E">
            <w:pPr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D35EDB">
              <w:rPr>
                <w:rFonts w:asciiTheme="majorBidi" w:hAnsiTheme="majorBidi" w:cstheme="majorBidi"/>
                <w:color w:val="000000" w:themeColor="text1"/>
              </w:rPr>
              <w:t>58%</w:t>
            </w:r>
          </w:p>
        </w:tc>
        <w:tc>
          <w:tcPr>
            <w:tcW w:w="798" w:type="pct"/>
          </w:tcPr>
          <w:p w14:paraId="3B10B791" w14:textId="77777777" w:rsidR="00811957" w:rsidRPr="00D35EDB" w:rsidRDefault="00811957" w:rsidP="005E5D9E">
            <w:pPr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D35EDB">
              <w:rPr>
                <w:rFonts w:asciiTheme="majorBidi" w:hAnsiTheme="majorBidi" w:cstheme="majorBidi"/>
                <w:color w:val="000000" w:themeColor="text1"/>
              </w:rPr>
              <w:t>64%</w:t>
            </w:r>
          </w:p>
        </w:tc>
        <w:tc>
          <w:tcPr>
            <w:tcW w:w="786" w:type="pct"/>
          </w:tcPr>
          <w:p w14:paraId="0B5F009C" w14:textId="77777777" w:rsidR="00811957" w:rsidRPr="00D35EDB" w:rsidRDefault="00811957" w:rsidP="005E5D9E">
            <w:pPr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D35EDB">
              <w:rPr>
                <w:rFonts w:asciiTheme="majorBidi" w:hAnsiTheme="majorBidi" w:cstheme="majorBidi"/>
                <w:color w:val="000000" w:themeColor="text1"/>
              </w:rPr>
              <w:t>52%</w:t>
            </w:r>
          </w:p>
        </w:tc>
        <w:tc>
          <w:tcPr>
            <w:tcW w:w="739" w:type="pct"/>
          </w:tcPr>
          <w:p w14:paraId="56A7065C" w14:textId="77777777" w:rsidR="00811957" w:rsidRPr="00D35EDB" w:rsidRDefault="00811957" w:rsidP="005E5D9E">
            <w:pPr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D35EDB">
              <w:rPr>
                <w:rFonts w:asciiTheme="majorBidi" w:hAnsiTheme="majorBidi" w:cstheme="majorBidi"/>
                <w:color w:val="000000" w:themeColor="text1"/>
              </w:rPr>
              <w:t>0.60</w:t>
            </w:r>
          </w:p>
        </w:tc>
        <w:tc>
          <w:tcPr>
            <w:tcW w:w="962" w:type="pct"/>
          </w:tcPr>
          <w:p w14:paraId="60ABDF45" w14:textId="77777777" w:rsidR="00811957" w:rsidRPr="00D35EDB" w:rsidRDefault="00811957" w:rsidP="005E5D9E">
            <w:pPr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D35EDB">
              <w:rPr>
                <w:rFonts w:asciiTheme="majorBidi" w:hAnsiTheme="majorBidi" w:cstheme="majorBidi"/>
              </w:rPr>
              <w:t>0.64 [0.48–0.78]</w:t>
            </w:r>
          </w:p>
        </w:tc>
      </w:tr>
      <w:tr w:rsidR="00811957" w:rsidRPr="00D35EDB" w14:paraId="62696429" w14:textId="77777777" w:rsidTr="005E5D9E">
        <w:trPr>
          <w:trHeight w:val="385"/>
        </w:trPr>
        <w:tc>
          <w:tcPr>
            <w:tcW w:w="1066" w:type="pct"/>
          </w:tcPr>
          <w:p w14:paraId="13A6AB09" w14:textId="77777777" w:rsidR="00811957" w:rsidRPr="00D35EDB" w:rsidRDefault="00811957" w:rsidP="005E5D9E">
            <w:pPr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D35EDB">
              <w:rPr>
                <w:rFonts w:asciiTheme="majorBidi" w:hAnsiTheme="majorBidi" w:cstheme="majorBidi"/>
                <w:color w:val="000000" w:themeColor="text1"/>
              </w:rPr>
              <w:t>VGG16</w:t>
            </w:r>
          </w:p>
        </w:tc>
        <w:tc>
          <w:tcPr>
            <w:tcW w:w="649" w:type="pct"/>
          </w:tcPr>
          <w:p w14:paraId="7BFC3FD3" w14:textId="77777777" w:rsidR="00811957" w:rsidRPr="00D35EDB" w:rsidRDefault="00811957" w:rsidP="005E5D9E">
            <w:pPr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D35EDB">
              <w:rPr>
                <w:rFonts w:asciiTheme="majorBidi" w:hAnsiTheme="majorBidi" w:cstheme="majorBidi"/>
                <w:color w:val="000000" w:themeColor="text1"/>
              </w:rPr>
              <w:t>58%</w:t>
            </w:r>
          </w:p>
        </w:tc>
        <w:tc>
          <w:tcPr>
            <w:tcW w:w="798" w:type="pct"/>
          </w:tcPr>
          <w:p w14:paraId="17296D67" w14:textId="77777777" w:rsidR="00811957" w:rsidRPr="00D35EDB" w:rsidRDefault="00811957" w:rsidP="005E5D9E">
            <w:pPr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D35EDB">
              <w:rPr>
                <w:rFonts w:asciiTheme="majorBidi" w:hAnsiTheme="majorBidi" w:cstheme="majorBidi"/>
                <w:color w:val="000000" w:themeColor="text1"/>
              </w:rPr>
              <w:t>92%</w:t>
            </w:r>
          </w:p>
        </w:tc>
        <w:tc>
          <w:tcPr>
            <w:tcW w:w="786" w:type="pct"/>
          </w:tcPr>
          <w:p w14:paraId="2B56C3B0" w14:textId="77777777" w:rsidR="00811957" w:rsidRPr="00D35EDB" w:rsidRDefault="00811957" w:rsidP="005E5D9E">
            <w:pPr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D35EDB">
              <w:rPr>
                <w:rFonts w:asciiTheme="majorBidi" w:hAnsiTheme="majorBidi" w:cstheme="majorBidi"/>
                <w:color w:val="000000" w:themeColor="text1"/>
              </w:rPr>
              <w:t>24%</w:t>
            </w:r>
          </w:p>
        </w:tc>
        <w:tc>
          <w:tcPr>
            <w:tcW w:w="739" w:type="pct"/>
          </w:tcPr>
          <w:p w14:paraId="3A9E046A" w14:textId="77777777" w:rsidR="00811957" w:rsidRPr="00D35EDB" w:rsidRDefault="00811957" w:rsidP="005E5D9E">
            <w:pPr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D35EDB">
              <w:rPr>
                <w:rFonts w:asciiTheme="majorBidi" w:hAnsiTheme="majorBidi" w:cstheme="majorBidi"/>
                <w:color w:val="000000" w:themeColor="text1"/>
              </w:rPr>
              <w:t>0.68</w:t>
            </w:r>
          </w:p>
        </w:tc>
        <w:tc>
          <w:tcPr>
            <w:tcW w:w="962" w:type="pct"/>
          </w:tcPr>
          <w:p w14:paraId="5B1C294D" w14:textId="77777777" w:rsidR="00811957" w:rsidRPr="00D35EDB" w:rsidRDefault="00811957" w:rsidP="005E5D9E">
            <w:pPr>
              <w:spacing w:line="360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D35EDB">
              <w:rPr>
                <w:rFonts w:asciiTheme="majorBidi" w:hAnsiTheme="majorBidi" w:cstheme="majorBidi"/>
              </w:rPr>
              <w:t>0.56 [0.39–0.72]</w:t>
            </w:r>
          </w:p>
        </w:tc>
      </w:tr>
    </w:tbl>
    <w:p w14:paraId="75785419" w14:textId="56E31665" w:rsidR="00C448DB" w:rsidRPr="00115C76" w:rsidRDefault="00811957" w:rsidP="00115C76">
      <w:pPr>
        <w:spacing w:line="360" w:lineRule="auto"/>
        <w:jc w:val="both"/>
        <w:rPr>
          <w:rFonts w:asciiTheme="majorBidi" w:hAnsiTheme="majorBidi" w:cstheme="majorBidi"/>
          <w:color w:val="000000" w:themeColor="text1"/>
        </w:rPr>
      </w:pPr>
      <w:r w:rsidRPr="00D35EDB">
        <w:rPr>
          <w:rStyle w:val="normaltextrun"/>
          <w:rFonts w:asciiTheme="majorBidi" w:hAnsiTheme="majorBidi" w:cstheme="majorBidi"/>
          <w:color w:val="000000" w:themeColor="text1"/>
          <w:shd w:val="clear" w:color="auto" w:fill="FFFFFF"/>
        </w:rPr>
        <w:t>Abbreviations: AUC, area under the receiver operating characteristic curve; CI, confidence interval.</w:t>
      </w:r>
    </w:p>
    <w:sectPr w:rsidR="00C448DB" w:rsidRPr="00115C76" w:rsidSect="00811957"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957"/>
    <w:rsid w:val="00067C9B"/>
    <w:rsid w:val="000C17C2"/>
    <w:rsid w:val="00115C76"/>
    <w:rsid w:val="002B3F9B"/>
    <w:rsid w:val="00680F33"/>
    <w:rsid w:val="007E1CB0"/>
    <w:rsid w:val="00811957"/>
    <w:rsid w:val="00AB41AD"/>
    <w:rsid w:val="00BF3A9A"/>
    <w:rsid w:val="00C44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5BD4C"/>
  <w15:chartTrackingRefBased/>
  <w15:docId w15:val="{BF2ACDA7-70E7-420F-91BD-05A6BD534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95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195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95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95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95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95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95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95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95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95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9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9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95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957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11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957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8119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9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957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811957"/>
  </w:style>
  <w:style w:type="table" w:styleId="TableGrid">
    <w:name w:val="Table Grid"/>
    <w:basedOn w:val="TableNormal"/>
    <w:uiPriority w:val="39"/>
    <w:rsid w:val="00811957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8119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Salari, Farhad</dc:creator>
  <cp:keywords/>
  <dc:description/>
  <cp:lastModifiedBy>Salari, Farhad</cp:lastModifiedBy>
  <cp:revision>2</cp:revision>
  <dcterms:created xsi:type="dcterms:W3CDTF">2026-01-05T12:29:00Z</dcterms:created>
  <dcterms:modified xsi:type="dcterms:W3CDTF">2026-01-05T12:30:00Z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747e8b01-63a3-469c-b03f-07783ca5a700</vt:lpwstr>
  </property>
</Properties>
</file>