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82302108"/>
        <w:docPartObj>
          <w:docPartGallery w:val="Cover Pages"/>
          <w:docPartUnique/>
        </w:docPartObj>
      </w:sdtPr>
      <w:sdtEndPr>
        <w:rPr>
          <w:rFonts w:ascii="Montserrat" w:eastAsia="Times New Roman" w:hAnsi="Montserrat" w:cs="Times New Roman"/>
          <w:color w:val="000000"/>
          <w:sz w:val="24"/>
          <w:szCs w:val="24"/>
          <w:lang w:eastAsia="fr-FR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694C4E" w:rsidTr="008B4D6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1F497D" w:themeFill="text2"/>
              </w:tcPr>
              <w:p w:rsidR="00694C4E" w:rsidRDefault="00694C4E" w:rsidP="00317431">
                <w:pPr>
                  <w:jc w:val="both"/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B3EFAF44F9E24513B92830A4A54A09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1-01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1F497D" w:themeFill="text2"/>
                    <w:vAlign w:val="bottom"/>
                  </w:tcPr>
                  <w:p w:rsidR="00694C4E" w:rsidRDefault="00694C4E" w:rsidP="00317431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2021</w:t>
                    </w:r>
                  </w:p>
                </w:tc>
              </w:sdtContent>
            </w:sdt>
          </w:tr>
          <w:tr w:rsidR="00694C4E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694C4E" w:rsidRDefault="00694C4E" w:rsidP="00317431">
                <w:pPr>
                  <w:jc w:val="both"/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1F497D" w:themeColor="text2"/>
                  </w:rPr>
                  <w:alias w:val="Société"/>
                  <w:id w:val="15676123"/>
                  <w:placeholder>
                    <w:docPart w:val="C13D18A58E994572A255668C64F0216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694C4E" w:rsidRPr="00694C4E" w:rsidRDefault="00694C4E" w:rsidP="00317431">
                    <w:pPr>
                      <w:pStyle w:val="Sansinterligne"/>
                      <w:jc w:val="both"/>
                      <w:rPr>
                        <w:color w:val="1F497D" w:themeColor="text2"/>
                      </w:rPr>
                    </w:pPr>
                    <w:r w:rsidRPr="00694C4E">
                      <w:rPr>
                        <w:color w:val="1F497D" w:themeColor="text2"/>
                      </w:rPr>
                      <w:t>Nadia Zabéti</w:t>
                    </w:r>
                  </w:p>
                </w:sdtContent>
              </w:sdt>
              <w:p w:rsidR="00694C4E" w:rsidRDefault="00694C4E" w:rsidP="00317431">
                <w:pPr>
                  <w:pStyle w:val="Sansinterligne"/>
                  <w:jc w:val="both"/>
                  <w:rPr>
                    <w:color w:val="76923C" w:themeColor="accent3" w:themeShade="BF"/>
                  </w:rPr>
                </w:pPr>
              </w:p>
              <w:p w:rsidR="00694C4E" w:rsidRDefault="00694C4E" w:rsidP="00317431">
                <w:pPr>
                  <w:pStyle w:val="Sansinterligne"/>
                  <w:jc w:val="both"/>
                  <w:rPr>
                    <w:color w:val="76923C" w:themeColor="accent3" w:themeShade="BF"/>
                  </w:rPr>
                </w:pPr>
              </w:p>
              <w:p w:rsidR="00694C4E" w:rsidRDefault="00694C4E" w:rsidP="00317431">
                <w:pPr>
                  <w:pStyle w:val="Sansinterligne"/>
                  <w:jc w:val="both"/>
                  <w:rPr>
                    <w:color w:val="76923C" w:themeColor="accent3" w:themeShade="BF"/>
                  </w:rPr>
                </w:pPr>
              </w:p>
            </w:tc>
          </w:tr>
        </w:tbl>
        <w:p w:rsidR="00694C4E" w:rsidRDefault="00694C4E" w:rsidP="00317431">
          <w:pPr>
            <w:jc w:val="both"/>
          </w:pPr>
        </w:p>
        <w:p w:rsidR="00694C4E" w:rsidRDefault="00694C4E" w:rsidP="00317431">
          <w:pPr>
            <w:jc w:val="both"/>
          </w:pPr>
        </w:p>
        <w:tbl>
          <w:tblPr>
            <w:tblpPr w:leftFromText="187" w:rightFromText="187" w:vertAnchor="page" w:horzAnchor="margin" w:tblpY="6491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694C4E" w:rsidTr="00694C4E">
            <w:tc>
              <w:tcPr>
                <w:tcW w:w="0" w:type="auto"/>
              </w:tcPr>
              <w:p w:rsidR="00694C4E" w:rsidRDefault="00694C4E" w:rsidP="00317431">
                <w:pPr>
                  <w:pStyle w:val="Sansinterligne"/>
                  <w:jc w:val="both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694C4E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re"/>
                    <w:id w:val="15676137"/>
                    <w:placeholder>
                      <w:docPart w:val="857992FBBF2F4876A8A8829A390A1F6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NOTE METHODOLOGIQUE</w:t>
                    </w:r>
                  </w:sdtContent>
                </w:sdt>
                <w:r w:rsidRPr="00694C4E">
                  <w:rPr>
                    <w:b/>
                    <w:bCs/>
                    <w:caps/>
                    <w:color w:val="1F497D" w:themeColor="text2"/>
                    <w:sz w:val="72"/>
                    <w:szCs w:val="72"/>
                  </w:rPr>
                  <w:t>]</w:t>
                </w:r>
              </w:p>
            </w:tc>
          </w:tr>
          <w:tr w:rsidR="00694C4E" w:rsidTr="00694C4E">
            <w:sdt>
              <w:sdtPr>
                <w:rPr>
                  <w:color w:val="808080" w:themeColor="background1" w:themeShade="80"/>
                </w:rPr>
                <w:alias w:val="Résumé"/>
                <w:id w:val="15676143"/>
                <w:placeholder>
                  <w:docPart w:val="B6B484EB12D54E868525A3350982AA3C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694C4E" w:rsidRDefault="00694C4E" w:rsidP="00317431">
                    <w:pPr>
                      <w:pStyle w:val="Sansinterligne"/>
                      <w:jc w:val="both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808080" w:themeColor="background1" w:themeShade="80"/>
                      </w:rPr>
                      <w:t>Projet de scoring pour Prêt à dépenser</w:t>
                    </w:r>
                  </w:p>
                </w:tc>
              </w:sdtContent>
            </w:sdt>
          </w:tr>
        </w:tbl>
        <w:p w:rsidR="00694C4E" w:rsidRDefault="00694C4E" w:rsidP="00317431">
          <w:pPr>
            <w:jc w:val="both"/>
            <w:rPr>
              <w:rFonts w:ascii="Montserrat" w:eastAsia="Times New Roman" w:hAnsi="Montserrat" w:cs="Times New Roman"/>
              <w:color w:val="000000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047F11E3" wp14:editId="19DDED2F">
                <wp:simplePos x="0" y="0"/>
                <wp:positionH relativeFrom="column">
                  <wp:posOffset>-271145</wp:posOffset>
                </wp:positionH>
                <wp:positionV relativeFrom="paragraph">
                  <wp:posOffset>3926840</wp:posOffset>
                </wp:positionV>
                <wp:extent cx="3076575" cy="2828925"/>
                <wp:effectExtent l="0" t="0" r="9525" b="9525"/>
                <wp:wrapTight wrapText="bothSides">
                  <wp:wrapPolygon edited="0">
                    <wp:start x="0" y="0"/>
                    <wp:lineTo x="0" y="21527"/>
                    <wp:lineTo x="21533" y="21527"/>
                    <wp:lineTo x="21533" y="0"/>
                    <wp:lineTo x="0" y="0"/>
                  </wp:wrapPolygon>
                </wp:wrapTight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575" cy="2828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ontserrat" w:eastAsia="Times New Roman" w:hAnsi="Montserrat" w:cs="Times New Roman"/>
              <w:color w:val="000000"/>
              <w:sz w:val="24"/>
              <w:szCs w:val="24"/>
              <w:lang w:eastAsia="fr-FR"/>
            </w:rPr>
            <w:br w:type="page"/>
          </w:r>
        </w:p>
      </w:sdtContent>
    </w:sdt>
    <w:p w:rsidR="00061B21" w:rsidRDefault="00694C4E" w:rsidP="00317431">
      <w:pPr>
        <w:pStyle w:val="Titre"/>
        <w:jc w:val="both"/>
        <w:rPr>
          <w:rFonts w:eastAsia="Times New Roman"/>
          <w:color w:val="auto"/>
          <w:lang w:eastAsia="fr-FR"/>
        </w:rPr>
      </w:pPr>
      <w:r w:rsidRPr="00694C4E">
        <w:rPr>
          <w:rFonts w:eastAsia="Times New Roman"/>
          <w:color w:val="auto"/>
          <w:lang w:eastAsia="fr-FR"/>
        </w:rPr>
        <w:lastRenderedPageBreak/>
        <w:t xml:space="preserve">La méthodologie d'entraînement </w:t>
      </w:r>
    </w:p>
    <w:p w:rsidR="00694C4E" w:rsidRDefault="00694C4E" w:rsidP="00317431">
      <w:pPr>
        <w:pStyle w:val="Titre"/>
        <w:jc w:val="both"/>
        <w:rPr>
          <w:rFonts w:eastAsia="Times New Roman"/>
          <w:color w:val="auto"/>
          <w:lang w:eastAsia="fr-FR"/>
        </w:rPr>
      </w:pPr>
      <w:r w:rsidRPr="00694C4E">
        <w:rPr>
          <w:rFonts w:eastAsia="Times New Roman"/>
          <w:color w:val="auto"/>
          <w:lang w:eastAsia="fr-FR"/>
        </w:rPr>
        <w:t xml:space="preserve">du modèle </w:t>
      </w:r>
    </w:p>
    <w:p w:rsidR="00694C4E" w:rsidRDefault="00275FED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>Choix des variables explicatives</w:t>
      </w:r>
    </w:p>
    <w:p w:rsidR="00694C4E" w:rsidRDefault="00694C4E" w:rsidP="00317431">
      <w:pPr>
        <w:jc w:val="both"/>
        <w:rPr>
          <w:lang w:eastAsia="fr-FR"/>
        </w:rPr>
      </w:pPr>
      <w:r>
        <w:rPr>
          <w:lang w:eastAsia="fr-FR"/>
        </w:rPr>
        <w:t xml:space="preserve">Les variables explicatives sont les variables qui influencent le plus notre variable dite « cible », à savoir ici la variable « TARGET » qui nous renseigne sur </w:t>
      </w:r>
      <w:r w:rsidR="00061B21">
        <w:rPr>
          <w:lang w:eastAsia="fr-FR"/>
        </w:rPr>
        <w:t>le remboursement</w:t>
      </w:r>
      <w:r>
        <w:rPr>
          <w:lang w:eastAsia="fr-FR"/>
        </w:rPr>
        <w:t xml:space="preserve"> ou non du prêt par le client.</w:t>
      </w:r>
    </w:p>
    <w:p w:rsidR="00694C4E" w:rsidRDefault="00694C4E" w:rsidP="00317431">
      <w:pPr>
        <w:jc w:val="both"/>
        <w:rPr>
          <w:lang w:eastAsia="fr-FR"/>
        </w:rPr>
      </w:pPr>
      <w:r>
        <w:rPr>
          <w:lang w:eastAsia="fr-FR"/>
        </w:rPr>
        <w:t>Après élimination des variables dont le taux de remplissage est inférieur à 68%</w:t>
      </w:r>
      <w:r w:rsidR="00275FED">
        <w:rPr>
          <w:lang w:eastAsia="fr-FR"/>
        </w:rPr>
        <w:t xml:space="preserve">, on se retrouve avec </w:t>
      </w:r>
      <w:r w:rsidR="00275FED" w:rsidRPr="008B4D66">
        <w:rPr>
          <w:b/>
          <w:lang w:eastAsia="fr-FR"/>
        </w:rPr>
        <w:t>80 variables</w:t>
      </w:r>
      <w:r w:rsidR="00275FED">
        <w:rPr>
          <w:lang w:eastAsia="fr-FR"/>
        </w:rPr>
        <w:t>.</w:t>
      </w:r>
    </w:p>
    <w:p w:rsidR="00275FED" w:rsidRDefault="00275FED" w:rsidP="00317431">
      <w:pPr>
        <w:jc w:val="both"/>
        <w:rPr>
          <w:lang w:eastAsia="fr-FR"/>
        </w:rPr>
      </w:pPr>
      <w:r>
        <w:rPr>
          <w:lang w:eastAsia="fr-FR"/>
        </w:rPr>
        <w:t>On utilise alors la variance, qui est la métrique permettant de rendre compte de la dispersion des données pour chaque variable. On observe les variances de chaque variable</w:t>
      </w:r>
    </w:p>
    <w:p w:rsidR="00275FED" w:rsidRDefault="00275FED" w:rsidP="00317431">
      <w:pPr>
        <w:jc w:val="both"/>
        <w:rPr>
          <w:lang w:eastAsia="fr-FR"/>
        </w:rPr>
      </w:pPr>
      <w:r w:rsidRPr="00275FED">
        <w:rPr>
          <w:noProof/>
          <w:lang w:eastAsia="fr-FR"/>
        </w:rPr>
        <w:drawing>
          <wp:inline distT="0" distB="0" distL="0" distR="0" wp14:anchorId="71E0F4FE" wp14:editId="5E23BB11">
            <wp:extent cx="5760720" cy="2269133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75FED" w:rsidRDefault="00275FED" w:rsidP="00317431">
      <w:pPr>
        <w:jc w:val="both"/>
        <w:rPr>
          <w:lang w:eastAsia="fr-FR"/>
        </w:rPr>
      </w:pPr>
      <w:r>
        <w:rPr>
          <w:lang w:eastAsia="fr-FR"/>
        </w:rPr>
        <w:t xml:space="preserve">Et on décide alors d’élminer les variables dont la variance est inférieure à 0.1. On se retrouve alors avec </w:t>
      </w:r>
      <w:r w:rsidRPr="008B4D66">
        <w:rPr>
          <w:b/>
          <w:lang w:eastAsia="fr-FR"/>
        </w:rPr>
        <w:t>58 variables</w:t>
      </w:r>
      <w:r>
        <w:rPr>
          <w:lang w:eastAsia="fr-FR"/>
        </w:rPr>
        <w:t>.</w:t>
      </w:r>
    </w:p>
    <w:p w:rsidR="00275FED" w:rsidRDefault="00275FED" w:rsidP="00317431">
      <w:pPr>
        <w:jc w:val="both"/>
        <w:rPr>
          <w:lang w:eastAsia="fr-FR"/>
        </w:rPr>
      </w:pPr>
      <w:r>
        <w:rPr>
          <w:lang w:eastAsia="fr-FR"/>
        </w:rPr>
        <w:t xml:space="preserve">Ensuite, après élimination manuelle des variables redondantes, on étudie la corrélation entre nos variables restantes, et on sélectionne celles dont la corrélation mutuelle est d’au moins 0.3. On se retrouve avec </w:t>
      </w:r>
      <w:r w:rsidRPr="008B4D66">
        <w:rPr>
          <w:b/>
          <w:lang w:eastAsia="fr-FR"/>
        </w:rPr>
        <w:t>11 variables</w:t>
      </w:r>
      <w:r>
        <w:rPr>
          <w:lang w:eastAsia="fr-FR"/>
        </w:rPr>
        <w:t>.</w:t>
      </w:r>
    </w:p>
    <w:p w:rsidR="00275FED" w:rsidRDefault="00275FED" w:rsidP="00317431">
      <w:pPr>
        <w:jc w:val="both"/>
        <w:rPr>
          <w:lang w:eastAsia="fr-FR"/>
        </w:rPr>
      </w:pPr>
      <w:r>
        <w:rPr>
          <w:lang w:eastAsia="fr-FR"/>
        </w:rPr>
        <w:t xml:space="preserve">Pour obtenir un </w:t>
      </w:r>
      <w:r w:rsidRPr="008B4D66">
        <w:rPr>
          <w:b/>
          <w:lang w:eastAsia="fr-FR"/>
        </w:rPr>
        <w:t>top-10</w:t>
      </w:r>
      <w:r>
        <w:rPr>
          <w:lang w:eastAsia="fr-FR"/>
        </w:rPr>
        <w:t>, on utilise le module SelectKBest de Scikit-Learn, qui pour chaque variable nous calcule un score et nous renvoie un nombre prédéfini de top variables.</w:t>
      </w:r>
    </w:p>
    <w:p w:rsidR="00275FED" w:rsidRDefault="00275FED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>Transformation des variables</w:t>
      </w:r>
    </w:p>
    <w:p w:rsidR="00275FED" w:rsidRDefault="00275FED" w:rsidP="00317431">
      <w:pPr>
        <w:jc w:val="both"/>
        <w:rPr>
          <w:lang w:eastAsia="fr-FR"/>
        </w:rPr>
      </w:pPr>
      <w:r>
        <w:rPr>
          <w:lang w:eastAsia="fr-FR"/>
        </w:rPr>
        <w:t xml:space="preserve">Pour </w:t>
      </w:r>
      <w:r w:rsidR="00061B21">
        <w:rPr>
          <w:lang w:eastAsia="fr-FR"/>
        </w:rPr>
        <w:t>que nos variables suivent un comportement le plus proche d’une</w:t>
      </w:r>
      <w:r>
        <w:rPr>
          <w:lang w:eastAsia="fr-FR"/>
        </w:rPr>
        <w:t xml:space="preserve"> loi normale, nous appliquons une transformation numérique sur celles dont la représentation graphique est la plus éloignée d’une </w:t>
      </w:r>
      <w:r w:rsidRPr="008B4D66">
        <w:rPr>
          <w:b/>
          <w:lang w:eastAsia="fr-FR"/>
        </w:rPr>
        <w:t>courbe de Gauss</w:t>
      </w:r>
      <w:r>
        <w:rPr>
          <w:lang w:eastAsia="fr-FR"/>
        </w:rPr>
        <w:t>.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 xml:space="preserve">Ici, nous appliquons la fonction </w:t>
      </w:r>
      <w:r w:rsidRPr="008B4D66">
        <w:rPr>
          <w:b/>
          <w:lang w:eastAsia="fr-FR"/>
        </w:rPr>
        <w:t>logarithme népérien</w:t>
      </w:r>
      <w:r>
        <w:rPr>
          <w:lang w:eastAsia="fr-FR"/>
        </w:rPr>
        <w:t xml:space="preserve"> à 3  variables.</w:t>
      </w:r>
    </w:p>
    <w:p w:rsidR="00061B21" w:rsidRDefault="00061B21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lastRenderedPageBreak/>
        <w:t>Séparation du jeu de données en test et entraînement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>Maintenant que nous avons nos 10 variables explicatives et notre variable cible, nous allons pouvoir séparer notre jeu de données en jeu d’entraînement et jeu de test.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 xml:space="preserve">Le jeu d’entraînement représente les données sur lesquelles le modèle va s’entraîner : il va itérer un nombre de fois défini sur les données pour « apprendre » et faire les meilleures prédictions. 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>Une fois l’apprentissage effectué, on teste le modèle sur un jeu vierge (le jeu de test) pour évaluer l’apprentissage du modèle.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>Le plus souvent, on sépare le jeu de données du jeu d’entraînement avec la proportion suivante : 2</w:t>
      </w:r>
      <w:r w:rsidRPr="008B4D66">
        <w:rPr>
          <w:b/>
          <w:lang w:eastAsia="fr-FR"/>
        </w:rPr>
        <w:t>/3 pour le jeu d’entraînement, 1/3 pour le jeu de test</w:t>
      </w:r>
      <w:r>
        <w:rPr>
          <w:lang w:eastAsia="fr-FR"/>
        </w:rPr>
        <w:t>, ce qui est le cas ici.</w:t>
      </w:r>
    </w:p>
    <w:p w:rsidR="00061B21" w:rsidRDefault="00061B21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>Resampling</w:t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 xml:space="preserve">Particulièrement lorsqu’il s’agit de scoring (classification binaire), il est important de veiller à une égale répartition des données selon les 2 classes. Ici, il y a une </w:t>
      </w:r>
      <w:r w:rsidRPr="008B4D66">
        <w:rPr>
          <w:b/>
          <w:lang w:eastAsia="fr-FR"/>
        </w:rPr>
        <w:t>sur-représentation</w:t>
      </w:r>
      <w:r>
        <w:rPr>
          <w:lang w:eastAsia="fr-FR"/>
        </w:rPr>
        <w:t xml:space="preserve"> des clients ayant remboursé leur prêt.</w:t>
      </w:r>
    </w:p>
    <w:p w:rsidR="00061B21" w:rsidRDefault="00061B21" w:rsidP="00317431">
      <w:pPr>
        <w:jc w:val="both"/>
        <w:rPr>
          <w:lang w:eastAsia="fr-FR"/>
        </w:rPr>
      </w:pPr>
      <w:r w:rsidRPr="00061B21">
        <w:rPr>
          <w:noProof/>
          <w:lang w:eastAsia="fr-FR"/>
        </w:rPr>
        <w:drawing>
          <wp:inline distT="0" distB="0" distL="0" distR="0" wp14:anchorId="1BCC72B0" wp14:editId="0D5898EA">
            <wp:extent cx="4425411" cy="3169716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411" cy="316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61B21" w:rsidRDefault="00061B21" w:rsidP="00317431">
      <w:pPr>
        <w:jc w:val="both"/>
        <w:rPr>
          <w:lang w:eastAsia="fr-FR"/>
        </w:rPr>
      </w:pPr>
      <w:r>
        <w:rPr>
          <w:lang w:eastAsia="fr-FR"/>
        </w:rPr>
        <w:t xml:space="preserve">Pour pallier à ce problème et permettre au modèle d’apprendre le plus justement possible, on a utilisé la technique </w:t>
      </w:r>
      <w:r w:rsidRPr="008B4D66">
        <w:rPr>
          <w:b/>
          <w:lang w:eastAsia="fr-FR"/>
        </w:rPr>
        <w:t>SMOTE</w:t>
      </w:r>
      <w:r>
        <w:rPr>
          <w:lang w:eastAsia="fr-FR"/>
        </w:rPr>
        <w:t xml:space="preserve"> : elle permet de reconstituer des échantillons fictifs </w:t>
      </w:r>
      <w:r w:rsidR="008B4D66">
        <w:rPr>
          <w:lang w:eastAsia="fr-FR"/>
        </w:rPr>
        <w:t>pour la classe sous-représentée.</w:t>
      </w:r>
    </w:p>
    <w:p w:rsidR="00F53228" w:rsidRDefault="00F53228" w:rsidP="00317431">
      <w:pPr>
        <w:pStyle w:val="Titre"/>
        <w:jc w:val="both"/>
        <w:rPr>
          <w:rFonts w:eastAsia="Times New Roman"/>
          <w:color w:val="auto"/>
          <w:lang w:eastAsia="fr-FR"/>
        </w:rPr>
      </w:pPr>
    </w:p>
    <w:p w:rsidR="00694C4E" w:rsidRDefault="00694C4E" w:rsidP="00317431">
      <w:pPr>
        <w:pStyle w:val="Titre"/>
        <w:jc w:val="both"/>
        <w:rPr>
          <w:rFonts w:eastAsia="Times New Roman"/>
          <w:color w:val="auto"/>
          <w:lang w:eastAsia="fr-FR"/>
        </w:rPr>
      </w:pPr>
      <w:r w:rsidRPr="00694C4E">
        <w:rPr>
          <w:rFonts w:eastAsia="Times New Roman"/>
          <w:color w:val="auto"/>
          <w:lang w:eastAsia="fr-FR"/>
        </w:rPr>
        <w:lastRenderedPageBreak/>
        <w:t xml:space="preserve">La fonction coût métier, l'algorithme d'optimisation et la métrique d'évaluation </w:t>
      </w:r>
    </w:p>
    <w:p w:rsidR="008B4D66" w:rsidRDefault="008B4D66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>Fonction coût métier</w:t>
      </w:r>
    </w:p>
    <w:p w:rsidR="008B4D66" w:rsidRDefault="008B4D66" w:rsidP="00317431">
      <w:pPr>
        <w:jc w:val="both"/>
        <w:rPr>
          <w:lang w:eastAsia="fr-FR"/>
        </w:rPr>
      </w:pPr>
      <w:r>
        <w:rPr>
          <w:lang w:eastAsia="fr-FR"/>
        </w:rPr>
        <w:t>Chaque méthode de modélisation a sa fonction coût.</w:t>
      </w:r>
      <w:r w:rsidR="008D1BD5">
        <w:rPr>
          <w:lang w:eastAsia="fr-FR"/>
        </w:rPr>
        <w:t xml:space="preserve"> Ici, puisque notre meilleur modèle est le Random Forest, nous allons nous intéresser à la fonction coût du Random Forest pour un problème de classification binaire.</w:t>
      </w:r>
    </w:p>
    <w:p w:rsidR="008B4D66" w:rsidRDefault="00331E28" w:rsidP="00317431">
      <w:pPr>
        <w:jc w:val="both"/>
        <w:rPr>
          <w:lang w:eastAsia="fr-FR"/>
        </w:rPr>
      </w:pPr>
      <w:r>
        <w:rPr>
          <w:lang w:eastAsia="fr-FR"/>
        </w:rPr>
        <w:t>La fonction coût pour Random Forest en classification est la minimisation du coefficient de GINI pour chaque nœud de chaque arbre.</w:t>
      </w:r>
    </w:p>
    <w:p w:rsidR="008B4D66" w:rsidRDefault="008B4D66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>GridSearchCV</w:t>
      </w:r>
    </w:p>
    <w:p w:rsidR="008B4D66" w:rsidRDefault="008B4D66" w:rsidP="00317431">
      <w:pPr>
        <w:jc w:val="both"/>
        <w:rPr>
          <w:lang w:eastAsia="fr-FR"/>
        </w:rPr>
      </w:pPr>
      <w:r>
        <w:rPr>
          <w:lang w:eastAsia="fr-FR"/>
        </w:rPr>
        <w:t xml:space="preserve">Maintenant que nos données sont prêtes pour la modélisation, il s’agit de choisir le meilleur modèle de scoring en en testant 4. Nous mesurons leur performance après les avoir fine-tuné grâce au Grid SearchCV, c’est-à-dire après avoir trouvé les </w:t>
      </w:r>
      <w:r w:rsidRPr="008B4D66">
        <w:rPr>
          <w:b/>
          <w:lang w:eastAsia="fr-FR"/>
        </w:rPr>
        <w:t>meilleurs hyperpar</w:t>
      </w:r>
      <w:r>
        <w:rPr>
          <w:b/>
          <w:lang w:eastAsia="fr-FR"/>
        </w:rPr>
        <w:t>amè</w:t>
      </w:r>
      <w:r w:rsidRPr="008B4D66">
        <w:rPr>
          <w:b/>
          <w:lang w:eastAsia="fr-FR"/>
        </w:rPr>
        <w:t>t</w:t>
      </w:r>
      <w:r>
        <w:rPr>
          <w:b/>
          <w:lang w:eastAsia="fr-FR"/>
        </w:rPr>
        <w:t>r</w:t>
      </w:r>
      <w:r w:rsidRPr="008B4D66">
        <w:rPr>
          <w:b/>
          <w:lang w:eastAsia="fr-FR"/>
        </w:rPr>
        <w:t>es</w:t>
      </w:r>
      <w:r>
        <w:rPr>
          <w:lang w:eastAsia="fr-FR"/>
        </w:rPr>
        <w:t xml:space="preserve"> optimisant les performances du modèle pour nos données.</w:t>
      </w:r>
    </w:p>
    <w:p w:rsidR="008B4D66" w:rsidRDefault="00331E28" w:rsidP="00317431">
      <w:pPr>
        <w:pStyle w:val="Titre1"/>
        <w:jc w:val="both"/>
        <w:rPr>
          <w:lang w:eastAsia="fr-FR"/>
        </w:rPr>
      </w:pPr>
      <w:r>
        <w:rPr>
          <w:lang w:eastAsia="fr-FR"/>
        </w:rPr>
        <w:t xml:space="preserve">Métrique d’évaluation : </w:t>
      </w:r>
      <w:r w:rsidR="008B4D66">
        <w:rPr>
          <w:lang w:eastAsia="fr-FR"/>
        </w:rPr>
        <w:t>ROC_AUC</w:t>
      </w:r>
    </w:p>
    <w:p w:rsidR="008B4D66" w:rsidRDefault="00331E28" w:rsidP="00317431">
      <w:pPr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1AEF0DB8" wp14:editId="5FEE14F9">
            <wp:simplePos x="0" y="0"/>
            <wp:positionH relativeFrom="column">
              <wp:posOffset>-415290</wp:posOffset>
            </wp:positionH>
            <wp:positionV relativeFrom="paragraph">
              <wp:posOffset>60960</wp:posOffset>
            </wp:positionV>
            <wp:extent cx="2790190" cy="2305685"/>
            <wp:effectExtent l="0" t="0" r="0" b="0"/>
            <wp:wrapTight wrapText="bothSides">
              <wp:wrapPolygon edited="0">
                <wp:start x="0" y="0"/>
                <wp:lineTo x="0" y="21416"/>
                <wp:lineTo x="21384" y="21416"/>
                <wp:lineTo x="2138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Puisqu’il s’agit de remboursement de prêt, la situation très dommageable pour Prêt à dépenser serait qu’un client soit catégorisé comme bon payeur, alors qu’il est un mauvais payeur (faux négatif).</w:t>
      </w:r>
    </w:p>
    <w:p w:rsidR="00331E28" w:rsidRDefault="00331E28" w:rsidP="00317431">
      <w:pPr>
        <w:jc w:val="both"/>
        <w:rPr>
          <w:lang w:eastAsia="fr-FR"/>
        </w:rPr>
      </w:pPr>
      <w:r>
        <w:rPr>
          <w:lang w:eastAsia="fr-FR"/>
        </w:rPr>
        <w:t>On va donc chercher à maximiser le recall</w:t>
      </w:r>
      <w:r w:rsidR="00C01207">
        <w:rPr>
          <w:lang w:eastAsia="fr-FR"/>
        </w:rPr>
        <w:t xml:space="preserve"> ou TPR</w:t>
      </w:r>
      <w:r w:rsidR="00C074F8">
        <w:rPr>
          <w:lang w:eastAsia="fr-FR"/>
        </w:rPr>
        <w:t xml:space="preserve"> (True Positive Rate)</w:t>
      </w:r>
      <w:r>
        <w:rPr>
          <w:lang w:eastAsia="fr-FR"/>
        </w:rPr>
        <w:t>.</w:t>
      </w:r>
    </w:p>
    <w:p w:rsidR="00331E28" w:rsidRDefault="00331E28" w:rsidP="00317431">
      <w:pPr>
        <w:jc w:val="both"/>
        <w:rPr>
          <w:lang w:eastAsia="fr-FR"/>
        </w:rPr>
      </w:pPr>
      <w:r>
        <w:rPr>
          <w:lang w:eastAsia="fr-FR"/>
        </w:rPr>
        <w:t>En même temps, on veut pouvoir identifier les potentiels nouveaux clients bons payeurs, on va donc chercher à limiter le nombre de faux positifs (client catégorisé comme mauvais payeur alors qu’il est bon payeur).</w:t>
      </w:r>
    </w:p>
    <w:p w:rsidR="00331E28" w:rsidRDefault="00331E28" w:rsidP="00317431">
      <w:pPr>
        <w:jc w:val="both"/>
        <w:rPr>
          <w:lang w:eastAsia="fr-FR"/>
        </w:rPr>
      </w:pPr>
      <w:r>
        <w:rPr>
          <w:lang w:eastAsia="fr-FR"/>
        </w:rPr>
        <w:t xml:space="preserve">On va donc chercher à </w:t>
      </w:r>
      <w:r w:rsidR="00C074F8">
        <w:rPr>
          <w:lang w:eastAsia="fr-FR"/>
        </w:rPr>
        <w:t>minimiser</w:t>
      </w:r>
      <w:r>
        <w:rPr>
          <w:lang w:eastAsia="fr-FR"/>
        </w:rPr>
        <w:t xml:space="preserve"> </w:t>
      </w:r>
      <w:r w:rsidR="00C074F8">
        <w:rPr>
          <w:lang w:eastAsia="fr-FR"/>
        </w:rPr>
        <w:t>le FPR (False Positive Rate)</w:t>
      </w:r>
      <w:r>
        <w:rPr>
          <w:lang w:eastAsia="fr-FR"/>
        </w:rPr>
        <w:t>.</w:t>
      </w:r>
    </w:p>
    <w:p w:rsidR="00331E28" w:rsidRDefault="00331E28" w:rsidP="00317431">
      <w:pPr>
        <w:jc w:val="both"/>
        <w:rPr>
          <w:lang w:eastAsia="fr-FR"/>
        </w:rPr>
      </w:pPr>
      <w:r>
        <w:rPr>
          <w:lang w:eastAsia="fr-FR"/>
        </w:rPr>
        <w:t xml:space="preserve">On utilise ainsi la courbe ROC_AUC, qui prend en compte le recall en ordonnée, et </w:t>
      </w:r>
      <w:r w:rsidR="00C074F8">
        <w:rPr>
          <w:lang w:eastAsia="fr-FR"/>
        </w:rPr>
        <w:t xml:space="preserve">le FPR </w:t>
      </w:r>
      <w:r>
        <w:rPr>
          <w:lang w:eastAsia="fr-FR"/>
        </w:rPr>
        <w:t xml:space="preserve"> en abscisse.</w:t>
      </w:r>
    </w:p>
    <w:p w:rsidR="00331E28" w:rsidRDefault="00331E28" w:rsidP="00317431">
      <w:pPr>
        <w:jc w:val="both"/>
        <w:rPr>
          <w:lang w:eastAsia="fr-FR"/>
        </w:rPr>
      </w:pPr>
    </w:p>
    <w:p w:rsidR="00694C4E" w:rsidRPr="00694C4E" w:rsidRDefault="00694C4E" w:rsidP="00317431">
      <w:pPr>
        <w:jc w:val="both"/>
        <w:rPr>
          <w:lang w:eastAsia="fr-FR"/>
        </w:rPr>
      </w:pPr>
    </w:p>
    <w:p w:rsidR="00694C4E" w:rsidRDefault="00694C4E" w:rsidP="00317431">
      <w:pPr>
        <w:pStyle w:val="Titre"/>
        <w:jc w:val="both"/>
        <w:rPr>
          <w:rFonts w:eastAsia="Times New Roman"/>
          <w:color w:val="auto"/>
          <w:lang w:eastAsia="fr-FR"/>
        </w:rPr>
      </w:pPr>
      <w:r w:rsidRPr="00694C4E">
        <w:rPr>
          <w:rFonts w:eastAsia="Times New Roman"/>
          <w:color w:val="auto"/>
          <w:lang w:eastAsia="fr-FR"/>
        </w:rPr>
        <w:lastRenderedPageBreak/>
        <w:t xml:space="preserve">L’interprétabilité globale et locale du modèle </w:t>
      </w:r>
    </w:p>
    <w:p w:rsidR="00DE3B35" w:rsidRDefault="00DE3B35" w:rsidP="00317431">
      <w:pPr>
        <w:jc w:val="both"/>
        <w:rPr>
          <w:lang w:eastAsia="fr-FR"/>
        </w:rPr>
      </w:pPr>
      <w:r>
        <w:rPr>
          <w:lang w:eastAsia="fr-FR"/>
        </w:rPr>
        <w:t>Notre modèle est à destination d’un public néophyte (les conseillers de clientèle) qui devra présenter les résultats du modèle à ses clients, et être capable d’</w:t>
      </w:r>
      <w:r w:rsidR="00F53228">
        <w:rPr>
          <w:lang w:eastAsia="fr-FR"/>
        </w:rPr>
        <w:t xml:space="preserve">expliquer ces résultats. </w:t>
      </w:r>
      <w:r>
        <w:rPr>
          <w:lang w:eastAsia="fr-FR"/>
        </w:rPr>
        <w:t>C’est pourquoi nous avons créé un module pour expliquer les résultats du scoring.</w:t>
      </w:r>
    </w:p>
    <w:p w:rsidR="00DE3B35" w:rsidRDefault="00DE3B35" w:rsidP="00317431">
      <w:pPr>
        <w:jc w:val="both"/>
        <w:rPr>
          <w:lang w:eastAsia="fr-FR"/>
        </w:rPr>
      </w:pPr>
      <w:r>
        <w:rPr>
          <w:lang w:eastAsia="fr-FR"/>
        </w:rPr>
        <w:t xml:space="preserve">Nous avons utilisé deux approches : </w:t>
      </w:r>
      <w:r w:rsidRPr="00F53228">
        <w:rPr>
          <w:b/>
          <w:lang w:eastAsia="fr-FR"/>
        </w:rPr>
        <w:t>Shap</w:t>
      </w:r>
      <w:r>
        <w:rPr>
          <w:lang w:eastAsia="fr-FR"/>
        </w:rPr>
        <w:t xml:space="preserve"> et </w:t>
      </w:r>
      <w:r w:rsidRPr="00F53228">
        <w:rPr>
          <w:b/>
          <w:lang w:eastAsia="fr-FR"/>
        </w:rPr>
        <w:t>Lime</w:t>
      </w:r>
      <w:r w:rsidR="00317431">
        <w:rPr>
          <w:lang w:eastAsia="fr-FR"/>
        </w:rPr>
        <w:t xml:space="preserve"> (</w:t>
      </w:r>
      <w:r w:rsidR="00317431" w:rsidRPr="00317431">
        <w:rPr>
          <w:lang w:eastAsia="fr-FR"/>
        </w:rPr>
        <w:t>Local Interpretable Model-agnostic Explanation</w:t>
      </w:r>
      <w:r w:rsidR="00317431" w:rsidRPr="00317431">
        <w:rPr>
          <w:lang w:eastAsia="fr-FR"/>
        </w:rPr>
        <w:t>)</w:t>
      </w:r>
      <w:r w:rsidR="00F53228">
        <w:rPr>
          <w:lang w:eastAsia="fr-FR"/>
        </w:rPr>
        <w:t xml:space="preserve">. </w:t>
      </w:r>
      <w:r>
        <w:rPr>
          <w:lang w:eastAsia="fr-FR"/>
        </w:rPr>
        <w:t>L’avantage de ces deux librairies est qu’elles s’appliquent à n’importe quel modèle de Machine Learning, et en particulier les modèles « black box » comme les réseaux de neurones ou les modèles basés sur la descente de gradient</w:t>
      </w:r>
      <w:r w:rsidR="00F53228">
        <w:rPr>
          <w:lang w:eastAsia="fr-FR"/>
        </w:rPr>
        <w:t xml:space="preserve">.  </w:t>
      </w:r>
      <w:r w:rsidR="00317431">
        <w:rPr>
          <w:lang w:eastAsia="fr-FR"/>
        </w:rPr>
        <w:t>A noter que</w:t>
      </w:r>
      <w:r>
        <w:rPr>
          <w:lang w:eastAsia="fr-FR"/>
        </w:rPr>
        <w:t xml:space="preserve"> les modèles « white box » peuvent déjà s’interpréter seuls via les scores de feature importance.</w:t>
      </w:r>
    </w:p>
    <w:p w:rsidR="00317431" w:rsidRDefault="00317431" w:rsidP="00317431">
      <w:pPr>
        <w:jc w:val="both"/>
        <w:rPr>
          <w:lang w:eastAsia="fr-FR"/>
        </w:rPr>
      </w:pPr>
      <w:r>
        <w:rPr>
          <w:lang w:eastAsia="fr-FR"/>
        </w:rPr>
        <w:t>La différence entre une interprétation globale et une interprétation locale est le scope : en interprétation globale, on s’intéresse à l’ensemble du jeu de données, alors qu’en interprétation locale on zoom sur un client (dans notre cas) en particulier.</w:t>
      </w:r>
    </w:p>
    <w:p w:rsidR="00694C4E" w:rsidRDefault="00F53228" w:rsidP="00F53228">
      <w:pPr>
        <w:pStyle w:val="Titre1"/>
        <w:rPr>
          <w:lang w:eastAsia="fr-FR"/>
        </w:rPr>
      </w:pPr>
      <w:r>
        <w:rPr>
          <w:lang w:eastAsia="fr-FR"/>
        </w:rPr>
        <w:t xml:space="preserve">Nous avons utilisé Lime pour expliquer localement le modèle </w:t>
      </w:r>
    </w:p>
    <w:p w:rsidR="00317431" w:rsidRDefault="00F53228" w:rsidP="00317431">
      <w:pPr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D35BFE6" wp14:editId="120FE2A1">
            <wp:simplePos x="0" y="0"/>
            <wp:positionH relativeFrom="column">
              <wp:posOffset>2540</wp:posOffset>
            </wp:positionH>
            <wp:positionV relativeFrom="paragraph">
              <wp:posOffset>44450</wp:posOffset>
            </wp:positionV>
            <wp:extent cx="3552825" cy="2091055"/>
            <wp:effectExtent l="0" t="0" r="9525" b="4445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31">
        <w:rPr>
          <w:lang w:eastAsia="fr-FR"/>
        </w:rPr>
        <w:t>Pour un point donné, Lime perturbe aléatoirement les features, et récupère les prédictions pour ces points additionnels. Cela permet de dresser la situation pour un point donné.</w:t>
      </w:r>
    </w:p>
    <w:p w:rsidR="00317431" w:rsidRDefault="00317431" w:rsidP="00317431">
      <w:pPr>
        <w:jc w:val="both"/>
        <w:rPr>
          <w:lang w:eastAsia="fr-FR"/>
        </w:rPr>
      </w:pPr>
      <w:r>
        <w:rPr>
          <w:lang w:eastAsia="fr-FR"/>
        </w:rPr>
        <w:t>Ici, nous utilisons le TabularExplainer puisque nos données sont sous forme de dataframe.</w:t>
      </w:r>
    </w:p>
    <w:p w:rsidR="00041F6A" w:rsidRDefault="00041F6A" w:rsidP="00317431">
      <w:pPr>
        <w:jc w:val="both"/>
        <w:rPr>
          <w:lang w:eastAsia="fr-FR"/>
        </w:rPr>
      </w:pPr>
    </w:p>
    <w:p w:rsidR="00F53228" w:rsidRDefault="00F53228" w:rsidP="00F53228">
      <w:pPr>
        <w:pStyle w:val="Titre1"/>
        <w:rPr>
          <w:lang w:eastAsia="fr-FR"/>
        </w:rPr>
      </w:pPr>
      <w:r>
        <w:rPr>
          <w:lang w:eastAsia="fr-FR"/>
        </w:rPr>
        <w:t xml:space="preserve">Nous avons utilisé </w:t>
      </w:r>
      <w:r>
        <w:rPr>
          <w:lang w:eastAsia="fr-FR"/>
        </w:rPr>
        <w:t>Shap</w:t>
      </w:r>
      <w:r>
        <w:rPr>
          <w:lang w:eastAsia="fr-FR"/>
        </w:rPr>
        <w:t xml:space="preserve"> pour expliquer </w:t>
      </w:r>
      <w:r>
        <w:rPr>
          <w:lang w:eastAsia="fr-FR"/>
        </w:rPr>
        <w:t>glob</w:t>
      </w:r>
      <w:r>
        <w:rPr>
          <w:lang w:eastAsia="fr-FR"/>
        </w:rPr>
        <w:t xml:space="preserve">alement le modèle </w:t>
      </w:r>
    </w:p>
    <w:p w:rsidR="00F53228" w:rsidRDefault="00F53228" w:rsidP="00317431">
      <w:pPr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2C90609" wp14:editId="24F98B72">
            <wp:simplePos x="0" y="0"/>
            <wp:positionH relativeFrom="column">
              <wp:posOffset>2540</wp:posOffset>
            </wp:positionH>
            <wp:positionV relativeFrom="paragraph">
              <wp:posOffset>106680</wp:posOffset>
            </wp:positionV>
            <wp:extent cx="322199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55" y="21363"/>
                <wp:lineTo x="21455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6D0" w:rsidRDefault="007266D0" w:rsidP="00317431">
      <w:pPr>
        <w:jc w:val="both"/>
        <w:rPr>
          <w:lang w:eastAsia="fr-FR"/>
        </w:rPr>
      </w:pPr>
      <w:r>
        <w:rPr>
          <w:lang w:eastAsia="fr-FR"/>
        </w:rPr>
        <w:t>On ajoute chaque feature une par une au modèle et on évalue sa contribution à la prédiction. Pour « enlever » les autres feature</w:t>
      </w:r>
      <w:r w:rsidR="00B620FE">
        <w:rPr>
          <w:lang w:eastAsia="fr-FR"/>
        </w:rPr>
        <w:t>s, on les remplace</w:t>
      </w:r>
      <w:bookmarkStart w:id="0" w:name="_GoBack"/>
      <w:bookmarkEnd w:id="0"/>
      <w:r>
        <w:rPr>
          <w:lang w:eastAsia="fr-FR"/>
        </w:rPr>
        <w:t xml:space="preserve"> par leur moyenne ou leur médiane.</w:t>
      </w:r>
    </w:p>
    <w:p w:rsidR="007266D0" w:rsidRDefault="007266D0" w:rsidP="00317431">
      <w:pPr>
        <w:jc w:val="both"/>
        <w:rPr>
          <w:lang w:eastAsia="fr-FR"/>
        </w:rPr>
      </w:pPr>
      <w:r>
        <w:rPr>
          <w:lang w:eastAsia="fr-FR"/>
        </w:rPr>
        <w:t>Ici, nous avons utilisé un TreeExplainer puisque notre meilleure modèle est un algorithme basé sur des arbres de décision.</w:t>
      </w:r>
    </w:p>
    <w:p w:rsidR="00694C4E" w:rsidRPr="00694C4E" w:rsidRDefault="00694C4E" w:rsidP="00317431">
      <w:pPr>
        <w:pStyle w:val="Titre"/>
        <w:jc w:val="both"/>
        <w:rPr>
          <w:rFonts w:eastAsia="Times New Roman"/>
          <w:color w:val="auto"/>
          <w:lang w:eastAsia="fr-FR"/>
        </w:rPr>
      </w:pPr>
      <w:r w:rsidRPr="00694C4E">
        <w:rPr>
          <w:rFonts w:eastAsia="Times New Roman"/>
          <w:color w:val="auto"/>
          <w:lang w:eastAsia="fr-FR"/>
        </w:rPr>
        <w:lastRenderedPageBreak/>
        <w:t xml:space="preserve">Les limites et les améliorations possibles </w:t>
      </w:r>
    </w:p>
    <w:p w:rsidR="00F53228" w:rsidRDefault="00F53228" w:rsidP="00F53228">
      <w:pPr>
        <w:jc w:val="both"/>
      </w:pPr>
      <w:r>
        <w:t>En termes d’</w:t>
      </w:r>
      <w:r w:rsidRPr="00B620FE">
        <w:rPr>
          <w:b/>
        </w:rPr>
        <w:t>explicabilité du modèle</w:t>
      </w:r>
      <w:r>
        <w:t>, nous constatons les limites des deux approches.</w:t>
      </w:r>
    </w:p>
    <w:p w:rsidR="00F53228" w:rsidRDefault="00F53228" w:rsidP="00F53228">
      <w:pPr>
        <w:jc w:val="both"/>
        <w:rPr>
          <w:lang w:eastAsia="fr-FR"/>
        </w:rPr>
      </w:pPr>
      <w:r>
        <w:t xml:space="preserve">Par exemple, Lime </w:t>
      </w:r>
      <w:r>
        <w:rPr>
          <w:lang w:eastAsia="fr-FR"/>
        </w:rPr>
        <w:t>ne gère pas co</w:t>
      </w:r>
      <w:r>
        <w:rPr>
          <w:lang w:eastAsia="fr-FR"/>
        </w:rPr>
        <w:t xml:space="preserve">rrectement les données encodées, alors que </w:t>
      </w:r>
      <w:r>
        <w:rPr>
          <w:lang w:eastAsia="fr-FR"/>
        </w:rPr>
        <w:t xml:space="preserve">Shap </w:t>
      </w:r>
      <w:r>
        <w:rPr>
          <w:lang w:eastAsia="fr-FR"/>
        </w:rPr>
        <w:t>a besoin de l’</w:t>
      </w:r>
      <w:r>
        <w:rPr>
          <w:lang w:eastAsia="fr-FR"/>
        </w:rPr>
        <w:t xml:space="preserve">entièreté du dataframe sinon </w:t>
      </w:r>
      <w:r>
        <w:rPr>
          <w:lang w:eastAsia="fr-FR"/>
        </w:rPr>
        <w:t>il peut connaître des problèmes d’imprécision.</w:t>
      </w:r>
      <w:r w:rsidR="00B620FE">
        <w:rPr>
          <w:lang w:eastAsia="fr-FR"/>
        </w:rPr>
        <w:t xml:space="preserve"> Il faudrait trouver une manière optimale de combiner les deux approches.</w:t>
      </w:r>
    </w:p>
    <w:p w:rsidR="00B620FE" w:rsidRDefault="00B620FE" w:rsidP="00F53228">
      <w:pPr>
        <w:jc w:val="both"/>
        <w:rPr>
          <w:lang w:eastAsia="fr-FR"/>
        </w:rPr>
      </w:pPr>
      <w:r>
        <w:rPr>
          <w:lang w:eastAsia="fr-FR"/>
        </w:rPr>
        <w:t xml:space="preserve">En termes de choix de </w:t>
      </w:r>
      <w:r w:rsidRPr="00B620FE">
        <w:rPr>
          <w:b/>
          <w:lang w:eastAsia="fr-FR"/>
        </w:rPr>
        <w:t>métrique d’évaluation</w:t>
      </w:r>
      <w:r>
        <w:rPr>
          <w:lang w:eastAsia="fr-FR"/>
        </w:rPr>
        <w:t>, nous nous sommes basées sur notre intuition : peut-être faudrait-il ainsi plutôt choisir une métrique d’évaluation en fonction des besoins des équipes métiers.</w:t>
      </w:r>
    </w:p>
    <w:p w:rsidR="00B620FE" w:rsidRDefault="00B620FE" w:rsidP="00F53228">
      <w:pPr>
        <w:jc w:val="both"/>
        <w:rPr>
          <w:lang w:eastAsia="fr-FR"/>
        </w:rPr>
      </w:pPr>
      <w:r>
        <w:rPr>
          <w:lang w:eastAsia="fr-FR"/>
        </w:rPr>
        <w:t xml:space="preserve">En termes de </w:t>
      </w:r>
      <w:r w:rsidRPr="00B620FE">
        <w:rPr>
          <w:b/>
          <w:lang w:eastAsia="fr-FR"/>
        </w:rPr>
        <w:t>qualité des données</w:t>
      </w:r>
      <w:r>
        <w:rPr>
          <w:lang w:eastAsia="fr-FR"/>
        </w:rPr>
        <w:t>, il serait souhaitable d’avoir moins de données manquantes, d’avoir des données mises à jour à l’instant T. Il serait aussi intéressant de créer de nouvelles variables à partir des variables existantes en coordination avec les équipes métier.</w:t>
      </w:r>
    </w:p>
    <w:p w:rsidR="00B620FE" w:rsidRDefault="00B620FE" w:rsidP="00F53228">
      <w:pPr>
        <w:jc w:val="both"/>
      </w:pPr>
    </w:p>
    <w:p w:rsidR="00F53228" w:rsidRDefault="00F53228" w:rsidP="00B620FE">
      <w:pPr>
        <w:jc w:val="both"/>
      </w:pPr>
    </w:p>
    <w:sectPr w:rsidR="00F53228" w:rsidSect="00694C4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198E"/>
    <w:multiLevelType w:val="hybridMultilevel"/>
    <w:tmpl w:val="32C06B5A"/>
    <w:lvl w:ilvl="0" w:tplc="9FFC0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135CA"/>
    <w:multiLevelType w:val="multilevel"/>
    <w:tmpl w:val="8CE0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08"/>
    <w:rsid w:val="00041F6A"/>
    <w:rsid w:val="00061B21"/>
    <w:rsid w:val="0015382F"/>
    <w:rsid w:val="00275FED"/>
    <w:rsid w:val="00317431"/>
    <w:rsid w:val="00331E28"/>
    <w:rsid w:val="00385408"/>
    <w:rsid w:val="006236B8"/>
    <w:rsid w:val="00694C4E"/>
    <w:rsid w:val="007266D0"/>
    <w:rsid w:val="008B4D66"/>
    <w:rsid w:val="008D1BD5"/>
    <w:rsid w:val="0099109D"/>
    <w:rsid w:val="00B620FE"/>
    <w:rsid w:val="00C01207"/>
    <w:rsid w:val="00C074F8"/>
    <w:rsid w:val="00CA6ECA"/>
    <w:rsid w:val="00DE3B35"/>
    <w:rsid w:val="00F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94C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4C4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C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94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94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E3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94C4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4C4E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C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694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94C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94C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E3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EFAF44F9E24513B92830A4A54A09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666F91-6A9C-4D9F-ACB6-04ABDFDC25DC}"/>
      </w:docPartPr>
      <w:docPartBody>
        <w:p w:rsidR="009C36CE" w:rsidRDefault="0012424F" w:rsidP="0012424F">
          <w:pPr>
            <w:pStyle w:val="B3EFAF44F9E24513B92830A4A54A095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[Année]</w:t>
          </w:r>
        </w:p>
      </w:docPartBody>
    </w:docPart>
    <w:docPart>
      <w:docPartPr>
        <w:name w:val="C13D18A58E994572A255668C64F021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4AC77-107F-4809-A921-81EB8C511842}"/>
      </w:docPartPr>
      <w:docPartBody>
        <w:p w:rsidR="009C36CE" w:rsidRDefault="0012424F" w:rsidP="0012424F">
          <w:pPr>
            <w:pStyle w:val="C13D18A58E994572A255668C64F02160"/>
          </w:pPr>
          <w:r>
            <w:rPr>
              <w:color w:val="76923C" w:themeColor="accent3" w:themeShade="BF"/>
            </w:rPr>
            <w:t>[Nom de la société]</w:t>
          </w:r>
        </w:p>
      </w:docPartBody>
    </w:docPart>
    <w:docPart>
      <w:docPartPr>
        <w:name w:val="857992FBBF2F4876A8A8829A390A1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580601-2015-477C-A6D8-C671996ABC7A}"/>
      </w:docPartPr>
      <w:docPartBody>
        <w:p w:rsidR="009C36CE" w:rsidRDefault="0012424F" w:rsidP="0012424F">
          <w:pPr>
            <w:pStyle w:val="857992FBBF2F4876A8A8829A390A1F6E"/>
          </w:pPr>
          <w:r>
            <w:rPr>
              <w:b/>
              <w:bCs/>
              <w:caps/>
              <w:sz w:val="72"/>
              <w:szCs w:val="72"/>
            </w:rPr>
            <w:t>Tapez le titre du document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4F"/>
    <w:rsid w:val="0012424F"/>
    <w:rsid w:val="001276FC"/>
    <w:rsid w:val="001C3BAA"/>
    <w:rsid w:val="009C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EFAF44F9E24513B92830A4A54A095F">
    <w:name w:val="B3EFAF44F9E24513B92830A4A54A095F"/>
    <w:rsid w:val="0012424F"/>
  </w:style>
  <w:style w:type="paragraph" w:customStyle="1" w:styleId="C13D18A58E994572A255668C64F02160">
    <w:name w:val="C13D18A58E994572A255668C64F02160"/>
    <w:rsid w:val="0012424F"/>
  </w:style>
  <w:style w:type="paragraph" w:customStyle="1" w:styleId="65A466392EE24AEB938CFE0A939CC4FE">
    <w:name w:val="65A466392EE24AEB938CFE0A939CC4FE"/>
    <w:rsid w:val="0012424F"/>
  </w:style>
  <w:style w:type="paragraph" w:customStyle="1" w:styleId="02A276DD901F41F79FCAB0256FE9AE47">
    <w:name w:val="02A276DD901F41F79FCAB0256FE9AE47"/>
    <w:rsid w:val="0012424F"/>
  </w:style>
  <w:style w:type="paragraph" w:customStyle="1" w:styleId="2CC35591C62341F5B886A0CF54A5CEF5">
    <w:name w:val="2CC35591C62341F5B886A0CF54A5CEF5"/>
    <w:rsid w:val="0012424F"/>
  </w:style>
  <w:style w:type="paragraph" w:customStyle="1" w:styleId="BC79FEAE860A44948AB4FEB38405E1B8">
    <w:name w:val="BC79FEAE860A44948AB4FEB38405E1B8"/>
    <w:rsid w:val="0012424F"/>
  </w:style>
  <w:style w:type="paragraph" w:customStyle="1" w:styleId="01A6B4BF58994E6CB132365CE2D8E1E0">
    <w:name w:val="01A6B4BF58994E6CB132365CE2D8E1E0"/>
    <w:rsid w:val="0012424F"/>
  </w:style>
  <w:style w:type="paragraph" w:customStyle="1" w:styleId="857992FBBF2F4876A8A8829A390A1F6E">
    <w:name w:val="857992FBBF2F4876A8A8829A390A1F6E"/>
    <w:rsid w:val="0012424F"/>
  </w:style>
  <w:style w:type="paragraph" w:customStyle="1" w:styleId="B6B484EB12D54E868525A3350982AA3C">
    <w:name w:val="B6B484EB12D54E868525A3350982AA3C"/>
    <w:rsid w:val="0012424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3EFAF44F9E24513B92830A4A54A095F">
    <w:name w:val="B3EFAF44F9E24513B92830A4A54A095F"/>
    <w:rsid w:val="0012424F"/>
  </w:style>
  <w:style w:type="paragraph" w:customStyle="1" w:styleId="C13D18A58E994572A255668C64F02160">
    <w:name w:val="C13D18A58E994572A255668C64F02160"/>
    <w:rsid w:val="0012424F"/>
  </w:style>
  <w:style w:type="paragraph" w:customStyle="1" w:styleId="65A466392EE24AEB938CFE0A939CC4FE">
    <w:name w:val="65A466392EE24AEB938CFE0A939CC4FE"/>
    <w:rsid w:val="0012424F"/>
  </w:style>
  <w:style w:type="paragraph" w:customStyle="1" w:styleId="02A276DD901F41F79FCAB0256FE9AE47">
    <w:name w:val="02A276DD901F41F79FCAB0256FE9AE47"/>
    <w:rsid w:val="0012424F"/>
  </w:style>
  <w:style w:type="paragraph" w:customStyle="1" w:styleId="2CC35591C62341F5B886A0CF54A5CEF5">
    <w:name w:val="2CC35591C62341F5B886A0CF54A5CEF5"/>
    <w:rsid w:val="0012424F"/>
  </w:style>
  <w:style w:type="paragraph" w:customStyle="1" w:styleId="BC79FEAE860A44948AB4FEB38405E1B8">
    <w:name w:val="BC79FEAE860A44948AB4FEB38405E1B8"/>
    <w:rsid w:val="0012424F"/>
  </w:style>
  <w:style w:type="paragraph" w:customStyle="1" w:styleId="01A6B4BF58994E6CB132365CE2D8E1E0">
    <w:name w:val="01A6B4BF58994E6CB132365CE2D8E1E0"/>
    <w:rsid w:val="0012424F"/>
  </w:style>
  <w:style w:type="paragraph" w:customStyle="1" w:styleId="857992FBBF2F4876A8A8829A390A1F6E">
    <w:name w:val="857992FBBF2F4876A8A8829A390A1F6E"/>
    <w:rsid w:val="0012424F"/>
  </w:style>
  <w:style w:type="paragraph" w:customStyle="1" w:styleId="B6B484EB12D54E868525A3350982AA3C">
    <w:name w:val="B6B484EB12D54E868525A3350982AA3C"/>
    <w:rsid w:val="001242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>Projet de scoring pour Prêt à dépenser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6</Pages>
  <Words>1034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NOTE METHODOLOGIQUE</vt:lpstr>
    </vt:vector>
  </TitlesOfParts>
  <Company>Nadia Zabéti</Company>
  <LinksUpToDate>false</LinksUpToDate>
  <CharactersWithSpaces>6713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METHODOLOGIQUE</dc:title>
  <dc:subject/>
  <dc:creator>user</dc:creator>
  <cp:keywords/>
  <dc:description/>
  <cp:lastModifiedBy>user</cp:lastModifiedBy>
  <cp:revision>5</cp:revision>
  <dcterms:created xsi:type="dcterms:W3CDTF">2021-11-16T10:51:00Z</dcterms:created>
  <dcterms:modified xsi:type="dcterms:W3CDTF">2021-11-17T16:17:00Z</dcterms:modified>
</cp:coreProperties>
</file>